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4A3" w:rsidRPr="00E17D3C" w:rsidRDefault="00EA5669">
      <w:pPr>
        <w:spacing w:line="500" w:lineRule="exact"/>
        <w:jc w:val="center"/>
        <w:rPr>
          <w:rFonts w:ascii="宋体" w:eastAsia="宋体" w:hAnsi="宋体" w:cs="Times New Roman"/>
          <w:b/>
          <w:bCs/>
          <w:kern w:val="28"/>
          <w:sz w:val="32"/>
          <w:szCs w:val="32"/>
          <w:lang w:val="zh-CN"/>
        </w:rPr>
      </w:pPr>
      <w:r w:rsidRPr="00E17D3C">
        <w:rPr>
          <w:rFonts w:ascii="宋体" w:eastAsia="宋体" w:hAnsi="宋体" w:cs="Times New Roman" w:hint="eastAsia"/>
          <w:b/>
          <w:bCs/>
          <w:kern w:val="28"/>
          <w:sz w:val="32"/>
          <w:szCs w:val="32"/>
          <w:lang w:val="zh-CN"/>
        </w:rPr>
        <w:t>博远基金管理有限公司关于旗下公开募集证券投资基金</w:t>
      </w:r>
    </w:p>
    <w:p w:rsidR="004154A3" w:rsidRPr="00E17D3C" w:rsidRDefault="00EA5669">
      <w:pPr>
        <w:spacing w:line="500" w:lineRule="exact"/>
        <w:jc w:val="center"/>
        <w:rPr>
          <w:rFonts w:ascii="宋体" w:eastAsia="宋体" w:hAnsi="宋体" w:cs="Times New Roman"/>
          <w:b/>
          <w:bCs/>
          <w:kern w:val="28"/>
          <w:sz w:val="32"/>
          <w:szCs w:val="32"/>
          <w:lang w:val="zh-CN"/>
        </w:rPr>
      </w:pPr>
      <w:r w:rsidRPr="00E17D3C">
        <w:rPr>
          <w:rFonts w:ascii="宋体" w:eastAsia="宋体" w:hAnsi="宋体" w:cs="Times New Roman" w:hint="eastAsia"/>
          <w:b/>
          <w:bCs/>
          <w:kern w:val="28"/>
          <w:sz w:val="32"/>
          <w:szCs w:val="32"/>
          <w:lang w:val="zh-CN"/>
        </w:rPr>
        <w:t>产品风险等级划分结果的公告</w:t>
      </w:r>
    </w:p>
    <w:p w:rsidR="004154A3" w:rsidRPr="00E17D3C" w:rsidRDefault="004154A3">
      <w:pPr>
        <w:spacing w:line="500" w:lineRule="exact"/>
        <w:jc w:val="left"/>
        <w:rPr>
          <w:rFonts w:ascii="仿宋" w:eastAsia="仿宋" w:hAnsi="仿宋" w:cs="Times New Roman"/>
          <w:b/>
          <w:bCs/>
          <w:kern w:val="28"/>
          <w:sz w:val="28"/>
          <w:szCs w:val="28"/>
          <w:lang w:val="zh-CN"/>
        </w:rPr>
      </w:pP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根据《证券期货投资者适当性管理办法》、《基金募集机构投资者适当性管理实施指引（试行）》等法律规范和博远基金管理有限公司（以下简称“本公司”）的制度规定，本公司对旗下公开募集证券投资基金（</w:t>
      </w:r>
      <w:r w:rsidR="007959A2" w:rsidRPr="00E17D3C">
        <w:rPr>
          <w:rFonts w:ascii="仿宋" w:eastAsia="仿宋" w:hAnsi="仿宋" w:cs="Times New Roman" w:hint="eastAsia"/>
          <w:kern w:val="28"/>
          <w:sz w:val="28"/>
          <w:szCs w:val="28"/>
          <w:lang w:val="zh-CN"/>
        </w:rPr>
        <w:t>以下简称</w:t>
      </w:r>
      <w:bookmarkStart w:id="0" w:name="_GoBack"/>
      <w:bookmarkEnd w:id="0"/>
      <w:r w:rsidRPr="00E17D3C">
        <w:rPr>
          <w:rFonts w:ascii="仿宋" w:eastAsia="仿宋" w:hAnsi="仿宋" w:cs="Times New Roman" w:hint="eastAsia"/>
          <w:kern w:val="28"/>
          <w:sz w:val="28"/>
          <w:szCs w:val="28"/>
          <w:lang w:val="zh-CN"/>
        </w:rPr>
        <w:t>“公募基金”）的产品风险等级进行审慎评价和划分，现将相关事项公告如下：</w:t>
      </w:r>
    </w:p>
    <w:p w:rsidR="004154A3" w:rsidRPr="00E17D3C" w:rsidRDefault="004154A3">
      <w:pPr>
        <w:spacing w:line="500" w:lineRule="exact"/>
        <w:ind w:firstLine="576"/>
        <w:jc w:val="left"/>
        <w:rPr>
          <w:rFonts w:ascii="仿宋" w:eastAsia="仿宋" w:hAnsi="仿宋" w:cs="Times New Roman"/>
          <w:kern w:val="28"/>
          <w:sz w:val="28"/>
          <w:szCs w:val="28"/>
          <w:lang w:val="zh-CN"/>
        </w:rPr>
      </w:pPr>
    </w:p>
    <w:p w:rsidR="004154A3" w:rsidRPr="00E17D3C" w:rsidRDefault="00EA5669">
      <w:pPr>
        <w:spacing w:line="500" w:lineRule="exact"/>
        <w:ind w:firstLine="576"/>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一、产品风险等级划分方法</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公司旗下的公募基金产品风险等级按照由低到高顺序，依次划分为：</w:t>
      </w:r>
      <w:r w:rsidRPr="00E17D3C">
        <w:rPr>
          <w:rFonts w:ascii="仿宋" w:eastAsia="仿宋" w:hAnsi="仿宋" w:cs="Times New Roman"/>
          <w:kern w:val="28"/>
          <w:sz w:val="28"/>
          <w:szCs w:val="28"/>
          <w:lang w:val="zh-CN"/>
        </w:rPr>
        <w:t>R1（低</w:t>
      </w:r>
      <w:r w:rsidRPr="00E17D3C">
        <w:rPr>
          <w:rFonts w:ascii="仿宋" w:eastAsia="仿宋" w:hAnsi="仿宋" w:cs="Times New Roman" w:hint="eastAsia"/>
          <w:kern w:val="28"/>
          <w:sz w:val="28"/>
          <w:szCs w:val="28"/>
          <w:lang w:val="zh-CN"/>
        </w:rPr>
        <w:t>风险）、</w:t>
      </w:r>
      <w:r w:rsidRPr="00E17D3C">
        <w:rPr>
          <w:rFonts w:ascii="仿宋" w:eastAsia="仿宋" w:hAnsi="仿宋" w:cs="Times New Roman"/>
          <w:kern w:val="28"/>
          <w:sz w:val="28"/>
          <w:szCs w:val="28"/>
          <w:lang w:val="zh-CN"/>
        </w:rPr>
        <w:t>R2（中低风险）、R3（中风险）、R4（中高风险）、R5（高风险）五个</w:t>
      </w:r>
      <w:r w:rsidRPr="00E17D3C">
        <w:rPr>
          <w:rFonts w:ascii="仿宋" w:eastAsia="仿宋" w:hAnsi="仿宋" w:cs="Times New Roman" w:hint="eastAsia"/>
          <w:kern w:val="28"/>
          <w:sz w:val="28"/>
          <w:szCs w:val="28"/>
          <w:lang w:val="zh-CN"/>
        </w:rPr>
        <w:t>产品</w:t>
      </w:r>
      <w:r w:rsidRPr="00E17D3C">
        <w:rPr>
          <w:rFonts w:ascii="仿宋" w:eastAsia="仿宋" w:hAnsi="仿宋" w:cs="Times New Roman"/>
          <w:kern w:val="28"/>
          <w:sz w:val="28"/>
          <w:szCs w:val="28"/>
          <w:lang w:val="zh-CN"/>
        </w:rPr>
        <w:t>风险</w:t>
      </w:r>
      <w:r w:rsidRPr="00E17D3C">
        <w:rPr>
          <w:rFonts w:ascii="仿宋" w:eastAsia="仿宋" w:hAnsi="仿宋" w:cs="Times New Roman" w:hint="eastAsia"/>
          <w:kern w:val="28"/>
          <w:sz w:val="28"/>
          <w:szCs w:val="28"/>
          <w:lang w:val="zh-CN"/>
        </w:rPr>
        <w:t>等级。</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对于新设立公募基金产品风险等级的评价和划分，本公司主要从产品结构、产品类型、申赎安排、估值方法、投资者最低投资额等评价因子进行评价；对于存续运作的公募基金，本公司主要从杠杆情况、基金持仓风险、波动风险、流动性风险以及申赎安排、估值方法、投资者最低投资额等评价因子进行评价。对各个风险因子从小到大赋予1分-</w:t>
      </w:r>
      <w:r w:rsidRPr="00E17D3C">
        <w:rPr>
          <w:rFonts w:ascii="仿宋" w:eastAsia="仿宋" w:hAnsi="仿宋" w:cs="Times New Roman"/>
          <w:kern w:val="28"/>
          <w:sz w:val="28"/>
          <w:szCs w:val="28"/>
          <w:lang w:val="zh-CN"/>
        </w:rPr>
        <w:t>5</w:t>
      </w:r>
      <w:r w:rsidRPr="00E17D3C">
        <w:rPr>
          <w:rFonts w:ascii="仿宋" w:eastAsia="仿宋" w:hAnsi="仿宋" w:cs="Times New Roman" w:hint="eastAsia"/>
          <w:kern w:val="28"/>
          <w:sz w:val="28"/>
          <w:szCs w:val="28"/>
          <w:lang w:val="zh-CN"/>
        </w:rPr>
        <w:t>分风险分值，按照评价因子不同权重加权计算，得到被评价公募基金的风险综合评价分数，最后根据风险综合评价分数划分相应产品风险等级。</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未来，根据市场或者产品运作情况，本公司有权对公募基金的风险评价和产品风险等级划分方法进行调整，以更加符合产品风险收益特征描述及市场运行规律，更好地保护投资者权益。</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本公司将投资者分为普通投资者与专业投资者。其中按照风险承受能力水平，将普通投资者由低到高分为</w:t>
      </w:r>
      <w:r w:rsidRPr="00E17D3C">
        <w:rPr>
          <w:rFonts w:ascii="仿宋" w:eastAsia="仿宋" w:hAnsi="仿宋" w:cs="Times New Roman"/>
          <w:kern w:val="28"/>
          <w:sz w:val="28"/>
          <w:szCs w:val="28"/>
          <w:lang w:val="zh-CN"/>
        </w:rPr>
        <w:t>5个等级：C1（含最低风险承受能力</w:t>
      </w:r>
      <w:r w:rsidRPr="00E17D3C">
        <w:rPr>
          <w:rFonts w:ascii="仿宋" w:eastAsia="仿宋" w:hAnsi="仿宋" w:cs="Times New Roman" w:hint="eastAsia"/>
          <w:kern w:val="28"/>
          <w:sz w:val="28"/>
          <w:szCs w:val="28"/>
          <w:lang w:val="zh-CN"/>
        </w:rPr>
        <w:t>C</w:t>
      </w:r>
      <w:r w:rsidRPr="00E17D3C">
        <w:rPr>
          <w:rFonts w:ascii="仿宋" w:eastAsia="仿宋" w:hAnsi="仿宋" w:cs="Times New Roman"/>
          <w:kern w:val="28"/>
          <w:sz w:val="28"/>
          <w:szCs w:val="28"/>
          <w:lang w:val="zh-CN"/>
        </w:rPr>
        <w:t>0）（保守型）、C2（</w:t>
      </w:r>
      <w:r w:rsidRPr="00E17D3C">
        <w:rPr>
          <w:rFonts w:ascii="仿宋" w:eastAsia="仿宋" w:hAnsi="仿宋" w:cs="Times New Roman" w:hint="eastAsia"/>
          <w:kern w:val="28"/>
          <w:sz w:val="28"/>
          <w:szCs w:val="28"/>
          <w:lang w:val="zh-CN"/>
        </w:rPr>
        <w:t>谨慎</w:t>
      </w:r>
      <w:r w:rsidRPr="00E17D3C">
        <w:rPr>
          <w:rFonts w:ascii="仿宋" w:eastAsia="仿宋" w:hAnsi="仿宋" w:cs="Times New Roman"/>
          <w:kern w:val="28"/>
          <w:sz w:val="28"/>
          <w:szCs w:val="28"/>
          <w:lang w:val="zh-CN"/>
        </w:rPr>
        <w:t>型）、C3（</w:t>
      </w:r>
      <w:r w:rsidRPr="00E17D3C">
        <w:rPr>
          <w:rFonts w:ascii="仿宋" w:eastAsia="仿宋" w:hAnsi="仿宋" w:cs="Times New Roman" w:hint="eastAsia"/>
          <w:kern w:val="28"/>
          <w:sz w:val="28"/>
          <w:szCs w:val="28"/>
          <w:lang w:val="zh-CN"/>
        </w:rPr>
        <w:t>稳健</w:t>
      </w:r>
      <w:r w:rsidRPr="00E17D3C">
        <w:rPr>
          <w:rFonts w:ascii="仿宋" w:eastAsia="仿宋" w:hAnsi="仿宋" w:cs="Times New Roman"/>
          <w:kern w:val="28"/>
          <w:sz w:val="28"/>
          <w:szCs w:val="28"/>
          <w:lang w:val="zh-CN"/>
        </w:rPr>
        <w:t>型）、C4（积</w:t>
      </w:r>
      <w:r w:rsidRPr="00E17D3C">
        <w:rPr>
          <w:rFonts w:ascii="仿宋" w:eastAsia="仿宋" w:hAnsi="仿宋" w:cs="Times New Roman"/>
          <w:kern w:val="28"/>
          <w:sz w:val="28"/>
          <w:szCs w:val="28"/>
          <w:lang w:val="zh-CN"/>
        </w:rPr>
        <w:lastRenderedPageBreak/>
        <w:t>极型）、C5（激进型）。专业投资者可以购买所有风险等级的产品或者服务。对于普通投资者，根据普通投资者风险承受能力和产品的风险等级建立以下适当性匹配原则：</w:t>
      </w:r>
    </w:p>
    <w:tbl>
      <w:tblPr>
        <w:tblStyle w:val="a8"/>
        <w:tblW w:w="0" w:type="auto"/>
        <w:tblLook w:val="04A0"/>
      </w:tblPr>
      <w:tblGrid>
        <w:gridCol w:w="3397"/>
        <w:gridCol w:w="2977"/>
        <w:gridCol w:w="1922"/>
      </w:tblGrid>
      <w:tr w:rsidR="004154A3" w:rsidRPr="00E17D3C">
        <w:tc>
          <w:tcPr>
            <w:tcW w:w="3397" w:type="dxa"/>
            <w:vAlign w:val="center"/>
          </w:tcPr>
          <w:p w:rsidR="004154A3" w:rsidRPr="00E17D3C" w:rsidRDefault="00EA5669">
            <w:pPr>
              <w:spacing w:line="500" w:lineRule="exact"/>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投资者风险承受能力类型</w:t>
            </w:r>
          </w:p>
        </w:tc>
        <w:tc>
          <w:tcPr>
            <w:tcW w:w="2977"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产品风险等级匹配</w:t>
            </w:r>
          </w:p>
        </w:tc>
        <w:tc>
          <w:tcPr>
            <w:tcW w:w="1922"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产品风险等级不匹配</w:t>
            </w:r>
          </w:p>
        </w:tc>
      </w:tr>
      <w:tr w:rsidR="004154A3" w:rsidRPr="00E17D3C">
        <w:tc>
          <w:tcPr>
            <w:tcW w:w="3397"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C</w:t>
            </w:r>
            <w:r w:rsidRPr="00E17D3C">
              <w:rPr>
                <w:rFonts w:ascii="仿宋" w:eastAsia="仿宋" w:hAnsi="仿宋" w:cs="Times New Roman"/>
                <w:kern w:val="28"/>
                <w:sz w:val="28"/>
                <w:szCs w:val="28"/>
                <w:lang w:val="zh-CN"/>
              </w:rPr>
              <w:t>1</w:t>
            </w:r>
            <w:r w:rsidRPr="00E17D3C">
              <w:rPr>
                <w:rFonts w:ascii="仿宋" w:eastAsia="仿宋" w:hAnsi="仿宋" w:cs="Times New Roman" w:hint="eastAsia"/>
                <w:kern w:val="28"/>
                <w:sz w:val="28"/>
                <w:szCs w:val="28"/>
                <w:lang w:val="zh-CN"/>
              </w:rPr>
              <w:t>（含最低风险承受能力</w:t>
            </w:r>
            <w:r w:rsidRPr="00E17D3C">
              <w:rPr>
                <w:rFonts w:ascii="仿宋" w:eastAsia="仿宋" w:hAnsi="仿宋" w:cs="Times New Roman"/>
                <w:kern w:val="28"/>
                <w:sz w:val="28"/>
                <w:szCs w:val="28"/>
                <w:lang w:val="zh-CN"/>
              </w:rPr>
              <w:t>C0</w:t>
            </w:r>
            <w:r w:rsidRPr="00E17D3C">
              <w:rPr>
                <w:rFonts w:ascii="仿宋" w:eastAsia="仿宋" w:hAnsi="仿宋" w:cs="Times New Roman" w:hint="eastAsia"/>
                <w:kern w:val="28"/>
                <w:sz w:val="28"/>
                <w:szCs w:val="28"/>
                <w:lang w:val="zh-CN"/>
              </w:rPr>
              <w:t>级</w:t>
            </w:r>
            <w:r w:rsidRPr="00E17D3C">
              <w:rPr>
                <w:rFonts w:ascii="仿宋" w:eastAsia="仿宋" w:hAnsi="仿宋" w:cs="Times New Roman"/>
                <w:kern w:val="28"/>
                <w:sz w:val="28"/>
                <w:szCs w:val="28"/>
                <w:lang w:val="zh-CN"/>
              </w:rPr>
              <w:t>）（保守型）</w:t>
            </w:r>
          </w:p>
        </w:tc>
        <w:tc>
          <w:tcPr>
            <w:tcW w:w="297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1</w:t>
            </w:r>
          </w:p>
        </w:tc>
        <w:tc>
          <w:tcPr>
            <w:tcW w:w="1922"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2</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3</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4</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5</w:t>
            </w:r>
          </w:p>
        </w:tc>
      </w:tr>
      <w:tr w:rsidR="004154A3" w:rsidRPr="00E17D3C">
        <w:tc>
          <w:tcPr>
            <w:tcW w:w="3397"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C2（</w:t>
            </w:r>
            <w:r w:rsidRPr="00E17D3C">
              <w:rPr>
                <w:rFonts w:ascii="仿宋" w:eastAsia="仿宋" w:hAnsi="仿宋" w:cs="Times New Roman" w:hint="eastAsia"/>
                <w:kern w:val="28"/>
                <w:sz w:val="28"/>
                <w:szCs w:val="28"/>
                <w:lang w:val="zh-CN"/>
              </w:rPr>
              <w:t>谨慎</w:t>
            </w:r>
            <w:r w:rsidRPr="00E17D3C">
              <w:rPr>
                <w:rFonts w:ascii="仿宋" w:eastAsia="仿宋" w:hAnsi="仿宋" w:cs="Times New Roman"/>
                <w:kern w:val="28"/>
                <w:sz w:val="28"/>
                <w:szCs w:val="28"/>
                <w:lang w:val="zh-CN"/>
              </w:rPr>
              <w:t>型）</w:t>
            </w:r>
          </w:p>
        </w:tc>
        <w:tc>
          <w:tcPr>
            <w:tcW w:w="297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R1</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2</w:t>
            </w:r>
          </w:p>
        </w:tc>
        <w:tc>
          <w:tcPr>
            <w:tcW w:w="1922"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3</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4</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5</w:t>
            </w:r>
          </w:p>
        </w:tc>
      </w:tr>
      <w:tr w:rsidR="004154A3" w:rsidRPr="00E17D3C">
        <w:tc>
          <w:tcPr>
            <w:tcW w:w="3397"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C3（</w:t>
            </w:r>
            <w:r w:rsidRPr="00E17D3C">
              <w:rPr>
                <w:rFonts w:ascii="仿宋" w:eastAsia="仿宋" w:hAnsi="仿宋" w:cs="Times New Roman" w:hint="eastAsia"/>
                <w:kern w:val="28"/>
                <w:sz w:val="28"/>
                <w:szCs w:val="28"/>
                <w:lang w:val="zh-CN"/>
              </w:rPr>
              <w:t>稳健</w:t>
            </w:r>
            <w:r w:rsidRPr="00E17D3C">
              <w:rPr>
                <w:rFonts w:ascii="仿宋" w:eastAsia="仿宋" w:hAnsi="仿宋" w:cs="Times New Roman"/>
                <w:kern w:val="28"/>
                <w:sz w:val="28"/>
                <w:szCs w:val="28"/>
                <w:lang w:val="zh-CN"/>
              </w:rPr>
              <w:t>型）</w:t>
            </w:r>
          </w:p>
        </w:tc>
        <w:tc>
          <w:tcPr>
            <w:tcW w:w="297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R1</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2</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3</w:t>
            </w:r>
          </w:p>
        </w:tc>
        <w:tc>
          <w:tcPr>
            <w:tcW w:w="1922"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4</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5</w:t>
            </w:r>
          </w:p>
        </w:tc>
      </w:tr>
      <w:tr w:rsidR="004154A3" w:rsidRPr="00E17D3C">
        <w:tc>
          <w:tcPr>
            <w:tcW w:w="3397"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C4（积极型）</w:t>
            </w:r>
          </w:p>
        </w:tc>
        <w:tc>
          <w:tcPr>
            <w:tcW w:w="297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R1</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2</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3</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4</w:t>
            </w:r>
          </w:p>
        </w:tc>
        <w:tc>
          <w:tcPr>
            <w:tcW w:w="1922"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5</w:t>
            </w:r>
          </w:p>
        </w:tc>
      </w:tr>
      <w:tr w:rsidR="004154A3" w:rsidRPr="00E17D3C">
        <w:tc>
          <w:tcPr>
            <w:tcW w:w="3397"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C5（激进型）</w:t>
            </w:r>
          </w:p>
        </w:tc>
        <w:tc>
          <w:tcPr>
            <w:tcW w:w="297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R1</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2</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3</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4</w:t>
            </w:r>
            <w:r w:rsidRPr="00E17D3C">
              <w:rPr>
                <w:rFonts w:ascii="仿宋" w:eastAsia="仿宋" w:hAnsi="仿宋" w:cs="Times New Roman" w:hint="eastAsia"/>
                <w:kern w:val="28"/>
                <w:sz w:val="28"/>
                <w:szCs w:val="28"/>
                <w:lang w:val="zh-CN"/>
              </w:rPr>
              <w:t>、R</w:t>
            </w:r>
            <w:r w:rsidRPr="00E17D3C">
              <w:rPr>
                <w:rFonts w:ascii="仿宋" w:eastAsia="仿宋" w:hAnsi="仿宋" w:cs="Times New Roman"/>
                <w:kern w:val="28"/>
                <w:sz w:val="28"/>
                <w:szCs w:val="28"/>
                <w:lang w:val="zh-CN"/>
              </w:rPr>
              <w:t>5</w:t>
            </w:r>
          </w:p>
        </w:tc>
        <w:tc>
          <w:tcPr>
            <w:tcW w:w="1922"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w:t>
            </w:r>
          </w:p>
        </w:tc>
      </w:tr>
    </w:tbl>
    <w:p w:rsidR="004154A3" w:rsidRPr="00E17D3C" w:rsidRDefault="00EA5669">
      <w:pPr>
        <w:spacing w:line="500" w:lineRule="exact"/>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注：最低风险承受能力</w:t>
      </w:r>
      <w:r w:rsidRPr="00E17D3C">
        <w:rPr>
          <w:rFonts w:ascii="仿宋" w:eastAsia="仿宋" w:hAnsi="仿宋" w:cs="Times New Roman"/>
          <w:b/>
          <w:bCs/>
          <w:kern w:val="28"/>
          <w:sz w:val="28"/>
          <w:szCs w:val="28"/>
          <w:lang w:val="zh-CN"/>
        </w:rPr>
        <w:t>C0</w:t>
      </w:r>
      <w:r w:rsidRPr="00E17D3C">
        <w:rPr>
          <w:rFonts w:ascii="仿宋" w:eastAsia="仿宋" w:hAnsi="仿宋" w:cs="Times New Roman" w:hint="eastAsia"/>
          <w:b/>
          <w:bCs/>
          <w:kern w:val="28"/>
          <w:sz w:val="28"/>
          <w:szCs w:val="28"/>
          <w:lang w:val="zh-CN"/>
        </w:rPr>
        <w:t>级投资者不得购买高于其风险承受能力的基金产品或者服务。</w:t>
      </w:r>
    </w:p>
    <w:p w:rsidR="004154A3" w:rsidRPr="00E17D3C" w:rsidRDefault="004154A3">
      <w:pPr>
        <w:spacing w:line="500" w:lineRule="exact"/>
        <w:jc w:val="left"/>
        <w:rPr>
          <w:rFonts w:ascii="仿宋" w:eastAsia="仿宋" w:hAnsi="仿宋" w:cs="Times New Roman"/>
          <w:b/>
          <w:bCs/>
          <w:kern w:val="28"/>
          <w:sz w:val="28"/>
          <w:szCs w:val="28"/>
          <w:lang w:val="zh-CN"/>
        </w:rPr>
      </w:pPr>
    </w:p>
    <w:p w:rsidR="004154A3" w:rsidRPr="00E17D3C" w:rsidRDefault="00EA5669">
      <w:pPr>
        <w:spacing w:line="500" w:lineRule="exact"/>
        <w:ind w:firstLine="576"/>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二、根据本次评估结果，公司旗下</w:t>
      </w:r>
      <w:r w:rsidRPr="00E17D3C">
        <w:rPr>
          <w:rFonts w:ascii="仿宋" w:eastAsia="仿宋" w:hAnsi="仿宋" w:cs="Times New Roman"/>
          <w:b/>
          <w:bCs/>
          <w:kern w:val="28"/>
          <w:sz w:val="28"/>
          <w:szCs w:val="28"/>
          <w:lang w:val="zh-CN"/>
        </w:rPr>
        <w:t>8只公募基金</w:t>
      </w:r>
      <w:r w:rsidRPr="00E17D3C">
        <w:rPr>
          <w:rFonts w:ascii="仿宋" w:eastAsia="仿宋" w:hAnsi="仿宋" w:cs="Times New Roman" w:hint="eastAsia"/>
          <w:b/>
          <w:bCs/>
          <w:kern w:val="28"/>
          <w:sz w:val="28"/>
          <w:szCs w:val="28"/>
          <w:lang w:val="zh-CN"/>
        </w:rPr>
        <w:t>产品</w:t>
      </w:r>
      <w:r w:rsidRPr="00E17D3C">
        <w:rPr>
          <w:rFonts w:ascii="仿宋" w:eastAsia="仿宋" w:hAnsi="仿宋" w:cs="Times New Roman"/>
          <w:b/>
          <w:bCs/>
          <w:kern w:val="28"/>
          <w:sz w:val="28"/>
          <w:szCs w:val="28"/>
          <w:lang w:val="zh-CN"/>
        </w:rPr>
        <w:t>风险等级</w:t>
      </w:r>
      <w:r w:rsidRPr="00E17D3C">
        <w:rPr>
          <w:rFonts w:ascii="仿宋" w:eastAsia="仿宋" w:hAnsi="仿宋" w:cs="Times New Roman" w:hint="eastAsia"/>
          <w:b/>
          <w:bCs/>
          <w:kern w:val="28"/>
          <w:sz w:val="28"/>
          <w:szCs w:val="28"/>
          <w:lang w:val="zh-CN"/>
        </w:rPr>
        <w:t>均</w:t>
      </w:r>
      <w:r w:rsidRPr="00E17D3C">
        <w:rPr>
          <w:rFonts w:ascii="仿宋" w:eastAsia="仿宋" w:hAnsi="仿宋" w:cs="Times New Roman"/>
          <w:b/>
          <w:bCs/>
          <w:kern w:val="28"/>
          <w:sz w:val="28"/>
          <w:szCs w:val="28"/>
          <w:lang w:val="zh-CN"/>
        </w:rPr>
        <w:t>未发生变动，更新结果如下</w:t>
      </w:r>
      <w:r w:rsidRPr="00E17D3C">
        <w:rPr>
          <w:rFonts w:ascii="仿宋" w:eastAsia="仿宋" w:hAnsi="仿宋" w:cs="Times New Roman" w:hint="eastAsia"/>
          <w:b/>
          <w:bCs/>
          <w:kern w:val="28"/>
          <w:sz w:val="28"/>
          <w:szCs w:val="28"/>
          <w:lang w:val="zh-CN"/>
        </w:rPr>
        <w:t>（相关数据计算至2</w:t>
      </w:r>
      <w:r w:rsidRPr="00E17D3C">
        <w:rPr>
          <w:rFonts w:ascii="仿宋" w:eastAsia="仿宋" w:hAnsi="仿宋" w:cs="Times New Roman"/>
          <w:b/>
          <w:bCs/>
          <w:kern w:val="28"/>
          <w:sz w:val="28"/>
          <w:szCs w:val="28"/>
          <w:lang w:val="zh-CN"/>
        </w:rPr>
        <w:t>026</w:t>
      </w:r>
      <w:r w:rsidRPr="00E17D3C">
        <w:rPr>
          <w:rFonts w:ascii="仿宋" w:eastAsia="仿宋" w:hAnsi="仿宋" w:cs="Times New Roman" w:hint="eastAsia"/>
          <w:b/>
          <w:bCs/>
          <w:kern w:val="28"/>
          <w:sz w:val="28"/>
          <w:szCs w:val="28"/>
          <w:lang w:val="zh-CN"/>
        </w:rPr>
        <w:t>年3月3</w:t>
      </w:r>
      <w:r w:rsidRPr="00E17D3C">
        <w:rPr>
          <w:rFonts w:ascii="仿宋" w:eastAsia="仿宋" w:hAnsi="仿宋" w:cs="Times New Roman"/>
          <w:b/>
          <w:bCs/>
          <w:kern w:val="28"/>
          <w:sz w:val="28"/>
          <w:szCs w:val="28"/>
          <w:lang w:val="zh-CN"/>
        </w:rPr>
        <w:t>1</w:t>
      </w:r>
      <w:r w:rsidRPr="00E17D3C">
        <w:rPr>
          <w:rFonts w:ascii="仿宋" w:eastAsia="仿宋" w:hAnsi="仿宋" w:cs="Times New Roman" w:hint="eastAsia"/>
          <w:b/>
          <w:bCs/>
          <w:kern w:val="28"/>
          <w:sz w:val="28"/>
          <w:szCs w:val="28"/>
          <w:lang w:val="zh-CN"/>
        </w:rPr>
        <w:t>日）：</w:t>
      </w:r>
    </w:p>
    <w:tbl>
      <w:tblPr>
        <w:tblStyle w:val="a8"/>
        <w:tblW w:w="8296" w:type="dxa"/>
        <w:tblLook w:val="04A0"/>
      </w:tblPr>
      <w:tblGrid>
        <w:gridCol w:w="498"/>
        <w:gridCol w:w="5167"/>
        <w:gridCol w:w="1286"/>
        <w:gridCol w:w="1345"/>
      </w:tblGrid>
      <w:tr w:rsidR="004154A3" w:rsidRPr="00E17D3C">
        <w:tc>
          <w:tcPr>
            <w:tcW w:w="498"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序号</w:t>
            </w:r>
          </w:p>
        </w:tc>
        <w:tc>
          <w:tcPr>
            <w:tcW w:w="5167"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基金名称</w:t>
            </w:r>
          </w:p>
        </w:tc>
        <w:tc>
          <w:tcPr>
            <w:tcW w:w="1286"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更新前产品风险等级</w:t>
            </w:r>
          </w:p>
        </w:tc>
        <w:tc>
          <w:tcPr>
            <w:tcW w:w="1345" w:type="dxa"/>
            <w:vAlign w:val="center"/>
          </w:tcPr>
          <w:p w:rsidR="004154A3" w:rsidRPr="00E17D3C" w:rsidRDefault="00EA5669">
            <w:pPr>
              <w:spacing w:line="500" w:lineRule="exact"/>
              <w:jc w:val="center"/>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更新后产品风险等级</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1</w:t>
            </w:r>
          </w:p>
        </w:tc>
        <w:tc>
          <w:tcPr>
            <w:tcW w:w="516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hint="eastAsia"/>
                <w:color w:val="000000"/>
                <w:sz w:val="28"/>
                <w:szCs w:val="28"/>
              </w:rPr>
              <w:t>博远增强回报债券型证券投资基金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color w:val="000000"/>
                <w:sz w:val="28"/>
                <w:szCs w:val="28"/>
              </w:rPr>
            </w:pPr>
            <w:r w:rsidRPr="00E17D3C">
              <w:rPr>
                <w:rFonts w:ascii="仿宋" w:eastAsia="仿宋" w:hAnsi="仿宋"/>
                <w:b/>
                <w:color w:val="000000"/>
                <w:sz w:val="28"/>
                <w:szCs w:val="28"/>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2</w:t>
            </w:r>
          </w:p>
        </w:tc>
        <w:tc>
          <w:tcPr>
            <w:tcW w:w="516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hint="eastAsia"/>
                <w:color w:val="000000"/>
                <w:sz w:val="28"/>
                <w:szCs w:val="28"/>
              </w:rPr>
              <w:t>博远优享混合型证券投资基金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3</w:t>
            </w:r>
          </w:p>
        </w:tc>
        <w:tc>
          <w:tcPr>
            <w:tcW w:w="1345" w:type="dxa"/>
            <w:vAlign w:val="center"/>
          </w:tcPr>
          <w:p w:rsidR="004154A3" w:rsidRPr="00E17D3C" w:rsidRDefault="00EA5669">
            <w:pPr>
              <w:spacing w:line="500" w:lineRule="exact"/>
              <w:jc w:val="center"/>
              <w:rPr>
                <w:rFonts w:ascii="仿宋" w:eastAsia="仿宋" w:hAnsi="仿宋"/>
                <w:b/>
                <w:color w:val="000000"/>
                <w:sz w:val="28"/>
                <w:szCs w:val="28"/>
              </w:rPr>
            </w:pPr>
            <w:r w:rsidRPr="00E17D3C">
              <w:rPr>
                <w:rFonts w:ascii="仿宋" w:eastAsia="仿宋" w:hAnsi="仿宋"/>
                <w:b/>
                <w:color w:val="000000"/>
                <w:sz w:val="28"/>
                <w:szCs w:val="28"/>
              </w:rPr>
              <w:t>R3</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3</w:t>
            </w:r>
          </w:p>
        </w:tc>
        <w:tc>
          <w:tcPr>
            <w:tcW w:w="5167" w:type="dxa"/>
            <w:vAlign w:val="center"/>
          </w:tcPr>
          <w:p w:rsidR="004154A3" w:rsidRPr="00E17D3C" w:rsidRDefault="00EA5669">
            <w:pPr>
              <w:spacing w:line="500" w:lineRule="exact"/>
              <w:jc w:val="left"/>
              <w:rPr>
                <w:rFonts w:ascii="仿宋" w:eastAsia="仿宋" w:hAnsi="仿宋" w:cs="Times New Roman"/>
                <w:kern w:val="28"/>
                <w:sz w:val="28"/>
                <w:szCs w:val="28"/>
                <w:lang w:val="zh-CN"/>
              </w:rPr>
            </w:pPr>
            <w:r w:rsidRPr="00E17D3C">
              <w:rPr>
                <w:rFonts w:ascii="仿宋" w:eastAsia="仿宋" w:hAnsi="仿宋" w:hint="eastAsia"/>
                <w:color w:val="000000"/>
                <w:sz w:val="28"/>
                <w:szCs w:val="28"/>
              </w:rPr>
              <w:t>博远臻享3个月定期开放债券型证券投资基金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color w:val="000000"/>
                <w:sz w:val="28"/>
                <w:szCs w:val="28"/>
              </w:rPr>
            </w:pPr>
            <w:r w:rsidRPr="00E17D3C">
              <w:rPr>
                <w:rFonts w:ascii="仿宋" w:eastAsia="仿宋" w:hAnsi="仿宋"/>
                <w:b/>
                <w:color w:val="000000"/>
                <w:sz w:val="28"/>
                <w:szCs w:val="28"/>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4</w:t>
            </w:r>
          </w:p>
        </w:tc>
        <w:tc>
          <w:tcPr>
            <w:tcW w:w="5167" w:type="dxa"/>
            <w:vAlign w:val="center"/>
          </w:tcPr>
          <w:p w:rsidR="004154A3" w:rsidRPr="00E17D3C" w:rsidRDefault="00EA5669">
            <w:pPr>
              <w:spacing w:line="500" w:lineRule="exact"/>
              <w:jc w:val="left"/>
              <w:rPr>
                <w:rFonts w:ascii="仿宋" w:eastAsia="仿宋" w:hAnsi="仿宋"/>
                <w:color w:val="000000"/>
                <w:sz w:val="28"/>
                <w:szCs w:val="28"/>
              </w:rPr>
            </w:pPr>
            <w:r w:rsidRPr="00E17D3C">
              <w:rPr>
                <w:rFonts w:ascii="仿宋" w:eastAsia="仿宋" w:hAnsi="仿宋" w:hint="eastAsia"/>
                <w:color w:val="000000"/>
                <w:sz w:val="28"/>
                <w:szCs w:val="28"/>
              </w:rPr>
              <w:t>博远利兴纯债一年定期开放债券型发起式证券投资基金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bCs/>
                <w:sz w:val="28"/>
                <w:szCs w:val="28"/>
              </w:rPr>
            </w:pPr>
            <w:r w:rsidRPr="00E17D3C">
              <w:rPr>
                <w:rFonts w:ascii="仿宋" w:eastAsia="仿宋" w:hAnsi="仿宋"/>
                <w:b/>
                <w:color w:val="000000"/>
                <w:sz w:val="28"/>
                <w:szCs w:val="28"/>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5</w:t>
            </w:r>
          </w:p>
        </w:tc>
        <w:tc>
          <w:tcPr>
            <w:tcW w:w="5167" w:type="dxa"/>
            <w:vAlign w:val="center"/>
          </w:tcPr>
          <w:p w:rsidR="004154A3" w:rsidRPr="00E17D3C" w:rsidRDefault="00EA5669">
            <w:pPr>
              <w:spacing w:line="500" w:lineRule="exact"/>
              <w:jc w:val="left"/>
              <w:rPr>
                <w:rFonts w:ascii="仿宋" w:eastAsia="仿宋" w:hAnsi="仿宋"/>
                <w:color w:val="000000"/>
                <w:sz w:val="28"/>
                <w:szCs w:val="28"/>
              </w:rPr>
            </w:pPr>
            <w:r w:rsidRPr="00E17D3C">
              <w:rPr>
                <w:rFonts w:ascii="仿宋" w:eastAsia="仿宋" w:hAnsi="仿宋" w:hint="eastAsia"/>
                <w:color w:val="000000"/>
                <w:sz w:val="28"/>
                <w:szCs w:val="28"/>
              </w:rPr>
              <w:t>博远增益纯债债券型证券投资基金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bCs/>
                <w:sz w:val="28"/>
                <w:szCs w:val="28"/>
              </w:rPr>
            </w:pPr>
            <w:r w:rsidRPr="00E17D3C">
              <w:rPr>
                <w:rFonts w:ascii="仿宋" w:eastAsia="仿宋" w:hAnsi="仿宋"/>
                <w:b/>
                <w:color w:val="000000"/>
                <w:sz w:val="28"/>
                <w:szCs w:val="28"/>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6</w:t>
            </w:r>
          </w:p>
        </w:tc>
        <w:tc>
          <w:tcPr>
            <w:tcW w:w="5167" w:type="dxa"/>
            <w:vAlign w:val="center"/>
          </w:tcPr>
          <w:p w:rsidR="004154A3" w:rsidRPr="00E17D3C" w:rsidRDefault="00EA5669">
            <w:pPr>
              <w:spacing w:line="500" w:lineRule="exact"/>
              <w:jc w:val="left"/>
              <w:rPr>
                <w:rFonts w:ascii="仿宋" w:eastAsia="仿宋" w:hAnsi="仿宋"/>
                <w:color w:val="000000"/>
                <w:sz w:val="28"/>
                <w:szCs w:val="28"/>
              </w:rPr>
            </w:pPr>
            <w:r w:rsidRPr="00E17D3C">
              <w:rPr>
                <w:rFonts w:ascii="仿宋" w:eastAsia="仿宋" w:hAnsi="仿宋" w:hint="eastAsia"/>
                <w:color w:val="000000"/>
                <w:sz w:val="28"/>
                <w:szCs w:val="28"/>
              </w:rPr>
              <w:t>博远增睿纯债债券型证券投资基金</w:t>
            </w:r>
          </w:p>
        </w:tc>
        <w:tc>
          <w:tcPr>
            <w:tcW w:w="1286" w:type="dxa"/>
            <w:vAlign w:val="center"/>
          </w:tcPr>
          <w:p w:rsidR="004154A3" w:rsidRPr="00E17D3C" w:rsidRDefault="00EA5669">
            <w:pPr>
              <w:spacing w:line="500" w:lineRule="exact"/>
              <w:jc w:val="center"/>
              <w:rPr>
                <w:rFonts w:ascii="仿宋" w:eastAsia="仿宋" w:hAnsi="仿宋"/>
                <w:color w:val="000000"/>
                <w:sz w:val="28"/>
                <w:szCs w:val="28"/>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bCs/>
                <w:sz w:val="28"/>
                <w:szCs w:val="28"/>
              </w:rPr>
            </w:pPr>
            <w:r w:rsidRPr="00E17D3C">
              <w:rPr>
                <w:rFonts w:ascii="仿宋" w:eastAsia="仿宋" w:hAnsi="仿宋"/>
                <w:b/>
                <w:color w:val="000000"/>
                <w:sz w:val="28"/>
                <w:szCs w:val="28"/>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7</w:t>
            </w:r>
          </w:p>
        </w:tc>
        <w:tc>
          <w:tcPr>
            <w:tcW w:w="5167" w:type="dxa"/>
            <w:vAlign w:val="center"/>
          </w:tcPr>
          <w:p w:rsidR="004154A3" w:rsidRPr="00E17D3C" w:rsidRDefault="00EA5669">
            <w:pPr>
              <w:spacing w:line="500" w:lineRule="exact"/>
              <w:jc w:val="left"/>
              <w:rPr>
                <w:rFonts w:ascii="仿宋" w:eastAsia="仿宋" w:hAnsi="仿宋"/>
                <w:color w:val="000000"/>
                <w:sz w:val="28"/>
                <w:szCs w:val="28"/>
              </w:rPr>
            </w:pPr>
            <w:r w:rsidRPr="00E17D3C">
              <w:rPr>
                <w:rFonts w:ascii="仿宋" w:eastAsia="仿宋" w:hAnsi="仿宋" w:hint="eastAsia"/>
                <w:color w:val="000000"/>
                <w:sz w:val="28"/>
                <w:szCs w:val="28"/>
              </w:rPr>
              <w:t>博远增裕利率债债券型证券投资基金</w:t>
            </w:r>
          </w:p>
        </w:tc>
        <w:tc>
          <w:tcPr>
            <w:tcW w:w="1286" w:type="dxa"/>
            <w:vAlign w:val="center"/>
          </w:tcPr>
          <w:p w:rsidR="004154A3" w:rsidRPr="00E17D3C" w:rsidRDefault="00EA5669">
            <w:pPr>
              <w:spacing w:line="500" w:lineRule="exact"/>
              <w:jc w:val="center"/>
              <w:rPr>
                <w:rFonts w:ascii="仿宋" w:eastAsia="仿宋" w:hAnsi="仿宋"/>
                <w:b/>
                <w:bCs/>
                <w:sz w:val="28"/>
                <w:szCs w:val="28"/>
              </w:rPr>
            </w:pPr>
            <w:r w:rsidRPr="00E17D3C">
              <w:rPr>
                <w:rFonts w:ascii="仿宋" w:eastAsia="仿宋" w:hAnsi="仿宋" w:hint="eastAsia"/>
                <w:bCs/>
                <w:sz w:val="30"/>
                <w:szCs w:val="30"/>
              </w:rPr>
              <w:t>R2</w:t>
            </w:r>
          </w:p>
        </w:tc>
        <w:tc>
          <w:tcPr>
            <w:tcW w:w="1345" w:type="dxa"/>
            <w:vAlign w:val="center"/>
          </w:tcPr>
          <w:p w:rsidR="004154A3" w:rsidRPr="00E17D3C" w:rsidRDefault="00EA5669">
            <w:pPr>
              <w:spacing w:line="500" w:lineRule="exact"/>
              <w:jc w:val="center"/>
              <w:rPr>
                <w:rFonts w:ascii="仿宋" w:eastAsia="仿宋" w:hAnsi="仿宋"/>
                <w:b/>
                <w:color w:val="000000"/>
                <w:sz w:val="28"/>
                <w:szCs w:val="28"/>
              </w:rPr>
            </w:pPr>
            <w:r w:rsidRPr="00E17D3C">
              <w:rPr>
                <w:rFonts w:ascii="仿宋" w:eastAsia="仿宋" w:hAnsi="仿宋" w:hint="eastAsia"/>
                <w:b/>
                <w:bCs/>
                <w:sz w:val="30"/>
                <w:szCs w:val="30"/>
              </w:rPr>
              <w:t>R2</w:t>
            </w:r>
          </w:p>
        </w:tc>
      </w:tr>
      <w:tr w:rsidR="004154A3" w:rsidRPr="00E17D3C">
        <w:tc>
          <w:tcPr>
            <w:tcW w:w="498" w:type="dxa"/>
            <w:vAlign w:val="center"/>
          </w:tcPr>
          <w:p w:rsidR="004154A3" w:rsidRPr="00E17D3C" w:rsidRDefault="00EA5669">
            <w:pPr>
              <w:spacing w:line="500" w:lineRule="exact"/>
              <w:jc w:val="center"/>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8</w:t>
            </w:r>
          </w:p>
        </w:tc>
        <w:tc>
          <w:tcPr>
            <w:tcW w:w="5167" w:type="dxa"/>
            <w:vAlign w:val="center"/>
          </w:tcPr>
          <w:p w:rsidR="004154A3" w:rsidRPr="00E17D3C" w:rsidRDefault="00EA5669">
            <w:pPr>
              <w:spacing w:line="500" w:lineRule="exact"/>
              <w:jc w:val="left"/>
              <w:rPr>
                <w:rFonts w:ascii="仿宋" w:eastAsia="仿宋" w:hAnsi="仿宋"/>
                <w:color w:val="000000"/>
                <w:sz w:val="30"/>
                <w:szCs w:val="30"/>
              </w:rPr>
            </w:pPr>
            <w:r w:rsidRPr="00E17D3C">
              <w:rPr>
                <w:rFonts w:ascii="仿宋" w:eastAsia="仿宋" w:hAnsi="仿宋" w:hint="eastAsia"/>
                <w:color w:val="000000"/>
                <w:sz w:val="28"/>
                <w:szCs w:val="28"/>
              </w:rPr>
              <w:t>博远增汇纯债债券型证券投资基金</w:t>
            </w:r>
          </w:p>
        </w:tc>
        <w:tc>
          <w:tcPr>
            <w:tcW w:w="1286" w:type="dxa"/>
            <w:vAlign w:val="center"/>
          </w:tcPr>
          <w:p w:rsidR="004154A3" w:rsidRPr="00E17D3C" w:rsidRDefault="00EA5669">
            <w:pPr>
              <w:spacing w:line="500" w:lineRule="exact"/>
              <w:jc w:val="center"/>
              <w:rPr>
                <w:rFonts w:ascii="仿宋" w:eastAsia="仿宋" w:hAnsi="仿宋"/>
                <w:bCs/>
                <w:sz w:val="30"/>
                <w:szCs w:val="30"/>
              </w:rPr>
            </w:pPr>
            <w:r w:rsidRPr="00E17D3C">
              <w:rPr>
                <w:rFonts w:ascii="仿宋" w:eastAsia="仿宋" w:hAnsi="仿宋" w:hint="eastAsia"/>
                <w:bCs/>
                <w:sz w:val="28"/>
                <w:szCs w:val="28"/>
              </w:rPr>
              <w:t>R</w:t>
            </w:r>
            <w:r w:rsidRPr="00E17D3C">
              <w:rPr>
                <w:rFonts w:ascii="仿宋" w:eastAsia="仿宋" w:hAnsi="仿宋"/>
                <w:bCs/>
                <w:sz w:val="28"/>
                <w:szCs w:val="28"/>
              </w:rPr>
              <w:t>2</w:t>
            </w:r>
          </w:p>
        </w:tc>
        <w:tc>
          <w:tcPr>
            <w:tcW w:w="1345" w:type="dxa"/>
            <w:vAlign w:val="center"/>
          </w:tcPr>
          <w:p w:rsidR="004154A3" w:rsidRPr="00E17D3C" w:rsidRDefault="00EA5669">
            <w:pPr>
              <w:spacing w:line="500" w:lineRule="exact"/>
              <w:jc w:val="center"/>
              <w:rPr>
                <w:rFonts w:ascii="仿宋" w:eastAsia="仿宋" w:hAnsi="仿宋"/>
                <w:b/>
                <w:bCs/>
                <w:sz w:val="30"/>
                <w:szCs w:val="30"/>
              </w:rPr>
            </w:pPr>
            <w:r w:rsidRPr="00E17D3C">
              <w:rPr>
                <w:rFonts w:ascii="仿宋" w:eastAsia="仿宋" w:hAnsi="仿宋"/>
                <w:b/>
                <w:color w:val="000000"/>
                <w:sz w:val="28"/>
                <w:szCs w:val="28"/>
              </w:rPr>
              <w:t>R2</w:t>
            </w:r>
          </w:p>
        </w:tc>
      </w:tr>
    </w:tbl>
    <w:p w:rsidR="004154A3" w:rsidRPr="00E17D3C" w:rsidRDefault="004154A3">
      <w:pPr>
        <w:spacing w:line="500" w:lineRule="exact"/>
        <w:jc w:val="left"/>
        <w:rPr>
          <w:rFonts w:ascii="仿宋" w:eastAsia="仿宋" w:hAnsi="仿宋" w:cs="Times New Roman"/>
          <w:b/>
          <w:kern w:val="28"/>
          <w:sz w:val="28"/>
          <w:szCs w:val="28"/>
          <w:lang w:val="zh-CN"/>
        </w:rPr>
      </w:pPr>
    </w:p>
    <w:p w:rsidR="004154A3" w:rsidRPr="00E17D3C" w:rsidRDefault="00EA5669">
      <w:pPr>
        <w:spacing w:line="500" w:lineRule="exact"/>
        <w:ind w:firstLine="576"/>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三、投资者可通过以下方式向本公司咨询相关详情</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客服电话：</w:t>
      </w:r>
      <w:r w:rsidRPr="00E17D3C">
        <w:rPr>
          <w:rFonts w:ascii="仿宋" w:eastAsia="仿宋" w:hAnsi="仿宋" w:cs="Times New Roman"/>
          <w:kern w:val="28"/>
          <w:sz w:val="28"/>
          <w:szCs w:val="28"/>
          <w:lang w:val="zh-CN"/>
        </w:rPr>
        <w:t>0755-29395858</w:t>
      </w:r>
    </w:p>
    <w:p w:rsidR="004154A3" w:rsidRPr="00E17D3C" w:rsidRDefault="00EA5669">
      <w:pPr>
        <w:spacing w:line="500" w:lineRule="exact"/>
        <w:ind w:firstLineChars="200" w:firstLine="560"/>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网址：</w:t>
      </w:r>
      <w:hyperlink r:id="rId6" w:history="1">
        <w:r w:rsidRPr="00E17D3C">
          <w:rPr>
            <w:rStyle w:val="a9"/>
            <w:rFonts w:ascii="仿宋" w:eastAsia="仿宋" w:hAnsi="仿宋" w:cs="Times New Roman"/>
            <w:kern w:val="28"/>
            <w:sz w:val="28"/>
            <w:szCs w:val="28"/>
            <w:lang w:val="zh-CN"/>
          </w:rPr>
          <w:t>www.boyuanfunds.com</w:t>
        </w:r>
      </w:hyperlink>
    </w:p>
    <w:p w:rsidR="004154A3" w:rsidRPr="00E17D3C" w:rsidRDefault="004154A3">
      <w:pPr>
        <w:spacing w:line="500" w:lineRule="exact"/>
        <w:ind w:firstLine="576"/>
        <w:jc w:val="left"/>
        <w:rPr>
          <w:rFonts w:ascii="仿宋" w:eastAsia="仿宋" w:hAnsi="仿宋" w:cs="Times New Roman"/>
          <w:b/>
          <w:bCs/>
          <w:kern w:val="28"/>
          <w:sz w:val="28"/>
          <w:szCs w:val="28"/>
          <w:lang w:val="zh-CN"/>
        </w:rPr>
      </w:pPr>
    </w:p>
    <w:p w:rsidR="004154A3" w:rsidRPr="00E17D3C" w:rsidRDefault="00EA5669">
      <w:pPr>
        <w:spacing w:line="500" w:lineRule="exact"/>
        <w:ind w:firstLine="576"/>
        <w:jc w:val="left"/>
        <w:rPr>
          <w:rFonts w:ascii="仿宋" w:eastAsia="仿宋" w:hAnsi="仿宋" w:cs="Times New Roman"/>
          <w:b/>
          <w:bCs/>
          <w:kern w:val="28"/>
          <w:sz w:val="28"/>
          <w:szCs w:val="28"/>
          <w:lang w:val="zh-CN"/>
        </w:rPr>
      </w:pPr>
      <w:r w:rsidRPr="00E17D3C">
        <w:rPr>
          <w:rFonts w:ascii="仿宋" w:eastAsia="仿宋" w:hAnsi="仿宋" w:cs="Times New Roman" w:hint="eastAsia"/>
          <w:b/>
          <w:bCs/>
          <w:kern w:val="28"/>
          <w:sz w:val="28"/>
          <w:szCs w:val="28"/>
          <w:lang w:val="zh-CN"/>
        </w:rPr>
        <w:t>风险提示：</w:t>
      </w:r>
    </w:p>
    <w:p w:rsidR="004154A3" w:rsidRPr="00E17D3C" w:rsidRDefault="00EA5669">
      <w:pPr>
        <w:spacing w:line="500" w:lineRule="exact"/>
        <w:ind w:firstLine="576"/>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1、销售机构（包括基金管理人直销机构和其他销售机构）根据相关法律法规对公募基金进行风险评价和产品风险等级划分，不同的销售机构采用的评价方法也不同，因此不同销售机构的产品风险等级划分结果可能存在不同，投资者在购买公募基金产品时需按照销售机构的要求完成风险承受能力与产品风险等级之间的匹配检验。</w:t>
      </w:r>
      <w:r w:rsidRPr="00E17D3C">
        <w:rPr>
          <w:rFonts w:ascii="仿宋" w:eastAsia="仿宋" w:hAnsi="仿宋" w:cs="Times New Roman" w:hint="eastAsia"/>
          <w:b/>
          <w:kern w:val="28"/>
          <w:sz w:val="28"/>
          <w:szCs w:val="28"/>
          <w:lang w:val="zh-CN"/>
        </w:rPr>
        <w:t>上述公募基金产品风险评级结果适用于本公司的直销客户，其他销售机构向投资者推介本公司旗下公募基金产品时，所依据的公募基金产品风险等级评价结果不得低于本公司作出的风险等级评价结果。</w:t>
      </w:r>
    </w:p>
    <w:p w:rsidR="004154A3" w:rsidRPr="00E17D3C" w:rsidRDefault="00EA5669">
      <w:pPr>
        <w:spacing w:line="500" w:lineRule="exact"/>
        <w:ind w:firstLine="576"/>
        <w:rPr>
          <w:rFonts w:ascii="仿宋" w:eastAsia="仿宋" w:hAnsi="仿宋" w:cs="Times New Roman"/>
          <w:kern w:val="28"/>
          <w:sz w:val="28"/>
          <w:szCs w:val="28"/>
          <w:lang w:val="zh-CN"/>
        </w:rPr>
      </w:pPr>
      <w:r w:rsidRPr="00E17D3C">
        <w:rPr>
          <w:rFonts w:ascii="仿宋" w:eastAsia="仿宋" w:hAnsi="仿宋" w:cs="Times New Roman"/>
          <w:b/>
          <w:bCs/>
          <w:kern w:val="28"/>
          <w:sz w:val="28"/>
          <w:szCs w:val="28"/>
          <w:lang w:val="zh-CN"/>
        </w:rPr>
        <w:t>2、投资者购买公募基金产品后，所购买的公募基金产品风险等级可能因市场或运作情况等影响而发生调整，并可能超出投资者自身风险承受能力，从而可能产生不利后果和损失。</w:t>
      </w:r>
      <w:r w:rsidRPr="00E17D3C">
        <w:rPr>
          <w:rFonts w:ascii="仿宋" w:eastAsia="仿宋" w:hAnsi="仿宋" w:cs="Times New Roman" w:hint="eastAsia"/>
          <w:kern w:val="28"/>
          <w:sz w:val="28"/>
          <w:szCs w:val="28"/>
          <w:lang w:val="zh-CN"/>
        </w:rPr>
        <w:t>投资者应及时关注本次公募基金产品风险等级的变化并谨慎决策，以确保自身的投资决策与风险承受能力相匹配。</w:t>
      </w:r>
    </w:p>
    <w:p w:rsidR="004154A3" w:rsidRPr="00E17D3C" w:rsidRDefault="00EA5669">
      <w:pPr>
        <w:spacing w:line="500" w:lineRule="exact"/>
        <w:ind w:firstLine="576"/>
        <w:rPr>
          <w:rFonts w:ascii="仿宋" w:eastAsia="仿宋" w:hAnsi="仿宋" w:cs="Times New Roman"/>
          <w:kern w:val="28"/>
          <w:sz w:val="28"/>
          <w:szCs w:val="28"/>
          <w:lang w:val="zh-CN"/>
        </w:rPr>
      </w:pPr>
      <w:r w:rsidRPr="00E17D3C">
        <w:rPr>
          <w:rFonts w:ascii="仿宋" w:eastAsia="仿宋" w:hAnsi="仿宋" w:cs="Times New Roman"/>
          <w:b/>
          <w:bCs/>
          <w:kern w:val="28"/>
          <w:sz w:val="28"/>
          <w:szCs w:val="28"/>
          <w:lang w:val="zh-CN"/>
        </w:rPr>
        <w:t>3、本公司承诺以诚实信用、勤勉尽责的原则管理和运用基金财产，但不保证基金一定盈利，也不保证最低收益。基金的过往业绩并不代表其将来表现。</w:t>
      </w:r>
      <w:r w:rsidRPr="00E17D3C">
        <w:rPr>
          <w:rFonts w:ascii="仿宋" w:eastAsia="仿宋" w:hAnsi="仿宋" w:cs="Times New Roman" w:hint="eastAsia"/>
          <w:kern w:val="28"/>
          <w:sz w:val="28"/>
          <w:szCs w:val="28"/>
          <w:lang w:val="zh-CN"/>
        </w:rPr>
        <w:t>投资有风险，敬请投资者认真阅读基金的基金合同、招募说明书、基金产品资料概要等相关法律文件及销售机构业务规则等信息，全面认识基金的风险收益特征和产品特性，并充分考虑自身的风险承受能力，理性判断市场，谨慎做出投资决策，并自行承担投资风险。本公告的解释权归本公司所有。</w:t>
      </w:r>
    </w:p>
    <w:p w:rsidR="004154A3" w:rsidRPr="00E17D3C" w:rsidRDefault="00EA5669">
      <w:pPr>
        <w:spacing w:line="500" w:lineRule="exact"/>
        <w:ind w:firstLine="576"/>
        <w:jc w:val="lef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特此公告。</w:t>
      </w:r>
    </w:p>
    <w:p w:rsidR="004154A3" w:rsidRPr="00E17D3C" w:rsidRDefault="004154A3">
      <w:pPr>
        <w:spacing w:line="500" w:lineRule="exact"/>
        <w:ind w:firstLine="576"/>
        <w:jc w:val="right"/>
        <w:rPr>
          <w:rFonts w:ascii="仿宋" w:eastAsia="仿宋" w:hAnsi="仿宋" w:cs="Times New Roman"/>
          <w:kern w:val="28"/>
          <w:sz w:val="28"/>
          <w:szCs w:val="28"/>
          <w:lang w:val="zh-CN"/>
        </w:rPr>
      </w:pPr>
    </w:p>
    <w:p w:rsidR="004154A3" w:rsidRPr="00E17D3C" w:rsidRDefault="00EA5669">
      <w:pPr>
        <w:spacing w:line="500" w:lineRule="exact"/>
        <w:ind w:firstLine="576"/>
        <w:jc w:val="right"/>
        <w:rPr>
          <w:rFonts w:ascii="仿宋" w:eastAsia="仿宋" w:hAnsi="仿宋" w:cs="Times New Roman"/>
          <w:kern w:val="28"/>
          <w:sz w:val="28"/>
          <w:szCs w:val="28"/>
          <w:lang w:val="zh-CN"/>
        </w:rPr>
      </w:pPr>
      <w:r w:rsidRPr="00E17D3C">
        <w:rPr>
          <w:rFonts w:ascii="仿宋" w:eastAsia="仿宋" w:hAnsi="仿宋" w:cs="Times New Roman" w:hint="eastAsia"/>
          <w:kern w:val="28"/>
          <w:sz w:val="28"/>
          <w:szCs w:val="28"/>
          <w:lang w:val="zh-CN"/>
        </w:rPr>
        <w:t>博远基金管理有限公司</w:t>
      </w:r>
    </w:p>
    <w:p w:rsidR="004154A3" w:rsidRDefault="00EA5669">
      <w:pPr>
        <w:spacing w:line="500" w:lineRule="exact"/>
        <w:ind w:firstLine="576"/>
        <w:jc w:val="right"/>
        <w:rPr>
          <w:rFonts w:ascii="仿宋" w:eastAsia="仿宋" w:hAnsi="仿宋" w:cs="Times New Roman"/>
          <w:kern w:val="28"/>
          <w:sz w:val="28"/>
          <w:szCs w:val="28"/>
          <w:lang w:val="zh-CN"/>
        </w:rPr>
      </w:pPr>
      <w:r w:rsidRPr="00E17D3C">
        <w:rPr>
          <w:rFonts w:ascii="仿宋" w:eastAsia="仿宋" w:hAnsi="仿宋" w:cs="Times New Roman"/>
          <w:kern w:val="28"/>
          <w:sz w:val="28"/>
          <w:szCs w:val="28"/>
          <w:lang w:val="zh-CN"/>
        </w:rPr>
        <w:t>2026</w:t>
      </w:r>
      <w:r w:rsidRPr="00E17D3C">
        <w:rPr>
          <w:rFonts w:ascii="仿宋" w:eastAsia="仿宋" w:hAnsi="仿宋" w:cs="Times New Roman" w:hint="eastAsia"/>
          <w:kern w:val="28"/>
          <w:sz w:val="28"/>
          <w:szCs w:val="28"/>
          <w:lang w:val="zh-CN"/>
        </w:rPr>
        <w:t>年</w:t>
      </w:r>
      <w:r w:rsidRPr="00E17D3C">
        <w:rPr>
          <w:rFonts w:ascii="仿宋" w:eastAsia="仿宋" w:hAnsi="仿宋" w:cs="Times New Roman"/>
          <w:kern w:val="28"/>
          <w:sz w:val="28"/>
          <w:szCs w:val="28"/>
          <w:lang w:val="zh-CN"/>
        </w:rPr>
        <w:t>4月18</w:t>
      </w:r>
      <w:r w:rsidRPr="00E17D3C">
        <w:rPr>
          <w:rFonts w:ascii="仿宋" w:eastAsia="仿宋" w:hAnsi="仿宋" w:cs="Times New Roman" w:hint="eastAsia"/>
          <w:kern w:val="28"/>
          <w:sz w:val="28"/>
          <w:szCs w:val="28"/>
          <w:lang w:val="zh-CN"/>
        </w:rPr>
        <w:t>日</w:t>
      </w:r>
    </w:p>
    <w:sectPr w:rsidR="004154A3" w:rsidSect="009717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651" w:rsidRDefault="00A25651">
      <w:r>
        <w:separator/>
      </w:r>
    </w:p>
  </w:endnote>
  <w:endnote w:type="continuationSeparator" w:id="0">
    <w:p w:rsidR="00A25651" w:rsidRDefault="00A25651">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065256"/>
      <w:docPartObj>
        <w:docPartGallery w:val="AutoText"/>
      </w:docPartObj>
    </w:sdtPr>
    <w:sdtContent>
      <w:p w:rsidR="004154A3" w:rsidRDefault="009717BD">
        <w:pPr>
          <w:pStyle w:val="a5"/>
          <w:jc w:val="center"/>
        </w:pPr>
        <w:r>
          <w:fldChar w:fldCharType="begin"/>
        </w:r>
        <w:r w:rsidR="00EA5669">
          <w:instrText>PAGE   \* MERGEFORMAT</w:instrText>
        </w:r>
        <w:r>
          <w:fldChar w:fldCharType="separate"/>
        </w:r>
        <w:r w:rsidR="00CC45C2" w:rsidRPr="00CC45C2">
          <w:rPr>
            <w:noProof/>
            <w:lang w:val="zh-CN"/>
          </w:rPr>
          <w:t>1</w:t>
        </w:r>
        <w:r>
          <w:fldChar w:fldCharType="end"/>
        </w:r>
      </w:p>
    </w:sdtContent>
  </w:sdt>
  <w:p w:rsidR="004154A3" w:rsidRDefault="004154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651" w:rsidRDefault="00A25651">
      <w:r>
        <w:separator/>
      </w:r>
    </w:p>
  </w:footnote>
  <w:footnote w:type="continuationSeparator" w:id="0">
    <w:p w:rsidR="00A25651" w:rsidRDefault="00A25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0AB4"/>
    <w:rsid w:val="000050EA"/>
    <w:rsid w:val="000258EB"/>
    <w:rsid w:val="000334DF"/>
    <w:rsid w:val="00043FF3"/>
    <w:rsid w:val="00076D35"/>
    <w:rsid w:val="00082672"/>
    <w:rsid w:val="00097216"/>
    <w:rsid w:val="000B0916"/>
    <w:rsid w:val="000C5506"/>
    <w:rsid w:val="000D757B"/>
    <w:rsid w:val="000E22FA"/>
    <w:rsid w:val="00110179"/>
    <w:rsid w:val="00114745"/>
    <w:rsid w:val="0013623C"/>
    <w:rsid w:val="00160136"/>
    <w:rsid w:val="001A2CB3"/>
    <w:rsid w:val="001A3B77"/>
    <w:rsid w:val="001B41EE"/>
    <w:rsid w:val="001C05B6"/>
    <w:rsid w:val="001D3013"/>
    <w:rsid w:val="001E6FEE"/>
    <w:rsid w:val="0024026E"/>
    <w:rsid w:val="00296D39"/>
    <w:rsid w:val="002B0CC7"/>
    <w:rsid w:val="002D5F0C"/>
    <w:rsid w:val="002F60CA"/>
    <w:rsid w:val="00301B88"/>
    <w:rsid w:val="003075C7"/>
    <w:rsid w:val="003446FE"/>
    <w:rsid w:val="00353275"/>
    <w:rsid w:val="00362166"/>
    <w:rsid w:val="003C3303"/>
    <w:rsid w:val="003E0396"/>
    <w:rsid w:val="00411197"/>
    <w:rsid w:val="00412587"/>
    <w:rsid w:val="00414C7E"/>
    <w:rsid w:val="004154A3"/>
    <w:rsid w:val="00417CF7"/>
    <w:rsid w:val="00440E35"/>
    <w:rsid w:val="0047215D"/>
    <w:rsid w:val="00477608"/>
    <w:rsid w:val="004A73E0"/>
    <w:rsid w:val="004B1048"/>
    <w:rsid w:val="004D78A2"/>
    <w:rsid w:val="004F527C"/>
    <w:rsid w:val="004F7354"/>
    <w:rsid w:val="005436C0"/>
    <w:rsid w:val="00565B32"/>
    <w:rsid w:val="00582923"/>
    <w:rsid w:val="005A31E6"/>
    <w:rsid w:val="005A3DAA"/>
    <w:rsid w:val="005B6C14"/>
    <w:rsid w:val="005D0A87"/>
    <w:rsid w:val="005F433F"/>
    <w:rsid w:val="0060271D"/>
    <w:rsid w:val="006141FB"/>
    <w:rsid w:val="00631843"/>
    <w:rsid w:val="00643C07"/>
    <w:rsid w:val="00666859"/>
    <w:rsid w:val="006D5D53"/>
    <w:rsid w:val="006E0AB4"/>
    <w:rsid w:val="006E37B2"/>
    <w:rsid w:val="006F3DE5"/>
    <w:rsid w:val="00701010"/>
    <w:rsid w:val="00716A5D"/>
    <w:rsid w:val="00731820"/>
    <w:rsid w:val="00732467"/>
    <w:rsid w:val="00740932"/>
    <w:rsid w:val="00774F7B"/>
    <w:rsid w:val="0077518D"/>
    <w:rsid w:val="00787AFB"/>
    <w:rsid w:val="007959A2"/>
    <w:rsid w:val="007A453C"/>
    <w:rsid w:val="007B6E57"/>
    <w:rsid w:val="007C2CDF"/>
    <w:rsid w:val="007D7794"/>
    <w:rsid w:val="0083762E"/>
    <w:rsid w:val="00850E9B"/>
    <w:rsid w:val="00851108"/>
    <w:rsid w:val="0085378B"/>
    <w:rsid w:val="008B395F"/>
    <w:rsid w:val="008C7066"/>
    <w:rsid w:val="008E1C1E"/>
    <w:rsid w:val="009027B3"/>
    <w:rsid w:val="00920A5B"/>
    <w:rsid w:val="0092667B"/>
    <w:rsid w:val="00937478"/>
    <w:rsid w:val="0096549C"/>
    <w:rsid w:val="009716B3"/>
    <w:rsid w:val="009717BD"/>
    <w:rsid w:val="00974EE7"/>
    <w:rsid w:val="009A651E"/>
    <w:rsid w:val="009B4C11"/>
    <w:rsid w:val="009E120F"/>
    <w:rsid w:val="00A0184C"/>
    <w:rsid w:val="00A060FA"/>
    <w:rsid w:val="00A25447"/>
    <w:rsid w:val="00A25651"/>
    <w:rsid w:val="00A3116C"/>
    <w:rsid w:val="00A4176D"/>
    <w:rsid w:val="00A51D23"/>
    <w:rsid w:val="00A572AC"/>
    <w:rsid w:val="00A64E01"/>
    <w:rsid w:val="00A74EA0"/>
    <w:rsid w:val="00AC301B"/>
    <w:rsid w:val="00AD74E3"/>
    <w:rsid w:val="00AF4657"/>
    <w:rsid w:val="00B25A1E"/>
    <w:rsid w:val="00B27523"/>
    <w:rsid w:val="00B54F39"/>
    <w:rsid w:val="00B706B9"/>
    <w:rsid w:val="00B96B6A"/>
    <w:rsid w:val="00BA4A49"/>
    <w:rsid w:val="00BB2870"/>
    <w:rsid w:val="00BB35D2"/>
    <w:rsid w:val="00BB558D"/>
    <w:rsid w:val="00BB7754"/>
    <w:rsid w:val="00BD590D"/>
    <w:rsid w:val="00C1362B"/>
    <w:rsid w:val="00C262B0"/>
    <w:rsid w:val="00C2640A"/>
    <w:rsid w:val="00C95340"/>
    <w:rsid w:val="00CA2C4F"/>
    <w:rsid w:val="00CC45C2"/>
    <w:rsid w:val="00CC4FD2"/>
    <w:rsid w:val="00CE3121"/>
    <w:rsid w:val="00CF1FBC"/>
    <w:rsid w:val="00D12582"/>
    <w:rsid w:val="00D222DB"/>
    <w:rsid w:val="00D8298B"/>
    <w:rsid w:val="00D902C1"/>
    <w:rsid w:val="00D97D3B"/>
    <w:rsid w:val="00DA69AB"/>
    <w:rsid w:val="00DA76CA"/>
    <w:rsid w:val="00DD3B10"/>
    <w:rsid w:val="00DE21B9"/>
    <w:rsid w:val="00DE5344"/>
    <w:rsid w:val="00DE590C"/>
    <w:rsid w:val="00DF60BF"/>
    <w:rsid w:val="00E02A34"/>
    <w:rsid w:val="00E17D3C"/>
    <w:rsid w:val="00E34E06"/>
    <w:rsid w:val="00E70C44"/>
    <w:rsid w:val="00E81AD7"/>
    <w:rsid w:val="00E85062"/>
    <w:rsid w:val="00E85AC9"/>
    <w:rsid w:val="00E86162"/>
    <w:rsid w:val="00EA5669"/>
    <w:rsid w:val="00EE74AA"/>
    <w:rsid w:val="00EF0F0A"/>
    <w:rsid w:val="00F103B5"/>
    <w:rsid w:val="00F42630"/>
    <w:rsid w:val="00F46F0B"/>
    <w:rsid w:val="00F54D15"/>
    <w:rsid w:val="00F66D26"/>
    <w:rsid w:val="00F67C5F"/>
    <w:rsid w:val="00F76582"/>
    <w:rsid w:val="00FA4533"/>
    <w:rsid w:val="00FC355D"/>
    <w:rsid w:val="243667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7B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717BD"/>
    <w:pPr>
      <w:jc w:val="left"/>
    </w:pPr>
  </w:style>
  <w:style w:type="paragraph" w:styleId="a4">
    <w:name w:val="Balloon Text"/>
    <w:basedOn w:val="a"/>
    <w:link w:val="Char0"/>
    <w:uiPriority w:val="99"/>
    <w:semiHidden/>
    <w:unhideWhenUsed/>
    <w:qFormat/>
    <w:rsid w:val="009717BD"/>
    <w:rPr>
      <w:sz w:val="18"/>
      <w:szCs w:val="18"/>
    </w:rPr>
  </w:style>
  <w:style w:type="paragraph" w:styleId="a5">
    <w:name w:val="footer"/>
    <w:basedOn w:val="a"/>
    <w:link w:val="Char1"/>
    <w:uiPriority w:val="99"/>
    <w:unhideWhenUsed/>
    <w:qFormat/>
    <w:rsid w:val="009717B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717B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9717BD"/>
    <w:rPr>
      <w:b/>
      <w:bCs/>
    </w:rPr>
  </w:style>
  <w:style w:type="table" w:styleId="a8">
    <w:name w:val="Table Grid"/>
    <w:basedOn w:val="a1"/>
    <w:uiPriority w:val="39"/>
    <w:rsid w:val="009717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9717BD"/>
    <w:rPr>
      <w:color w:val="0563C1" w:themeColor="hyperlink"/>
      <w:u w:val="single"/>
    </w:rPr>
  </w:style>
  <w:style w:type="character" w:styleId="aa">
    <w:name w:val="annotation reference"/>
    <w:basedOn w:val="a0"/>
    <w:uiPriority w:val="99"/>
    <w:semiHidden/>
    <w:unhideWhenUsed/>
    <w:qFormat/>
    <w:rsid w:val="009717BD"/>
    <w:rPr>
      <w:sz w:val="21"/>
      <w:szCs w:val="21"/>
    </w:rPr>
  </w:style>
  <w:style w:type="character" w:customStyle="1" w:styleId="Char2">
    <w:name w:val="页眉 Char"/>
    <w:basedOn w:val="a0"/>
    <w:link w:val="a6"/>
    <w:uiPriority w:val="99"/>
    <w:qFormat/>
    <w:rsid w:val="009717BD"/>
    <w:rPr>
      <w:sz w:val="18"/>
      <w:szCs w:val="18"/>
    </w:rPr>
  </w:style>
  <w:style w:type="character" w:customStyle="1" w:styleId="Char1">
    <w:name w:val="页脚 Char"/>
    <w:basedOn w:val="a0"/>
    <w:link w:val="a5"/>
    <w:uiPriority w:val="99"/>
    <w:qFormat/>
    <w:rsid w:val="009717BD"/>
    <w:rPr>
      <w:sz w:val="18"/>
      <w:szCs w:val="18"/>
    </w:rPr>
  </w:style>
  <w:style w:type="character" w:customStyle="1" w:styleId="Char0">
    <w:name w:val="批注框文本 Char"/>
    <w:basedOn w:val="a0"/>
    <w:link w:val="a4"/>
    <w:uiPriority w:val="99"/>
    <w:semiHidden/>
    <w:qFormat/>
    <w:rsid w:val="009717BD"/>
    <w:rPr>
      <w:sz w:val="18"/>
      <w:szCs w:val="18"/>
    </w:rPr>
  </w:style>
  <w:style w:type="character" w:customStyle="1" w:styleId="Char">
    <w:name w:val="批注文字 Char"/>
    <w:basedOn w:val="a0"/>
    <w:link w:val="a3"/>
    <w:uiPriority w:val="99"/>
    <w:semiHidden/>
    <w:qFormat/>
    <w:rsid w:val="009717BD"/>
  </w:style>
  <w:style w:type="character" w:customStyle="1" w:styleId="Char3">
    <w:name w:val="批注主题 Char"/>
    <w:basedOn w:val="Char"/>
    <w:link w:val="a7"/>
    <w:uiPriority w:val="99"/>
    <w:semiHidden/>
    <w:qFormat/>
    <w:rsid w:val="009717BD"/>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yuanfund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4</DocSecurity>
  <Lines>13</Lines>
  <Paragraphs>3</Paragraphs>
  <ScaleCrop>false</ScaleCrop>
  <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博远基金管理有限公司关于旗下公开募集证券投资基金产品风险等级划分结果的公告</dc:title>
  <dc:creator>郑林波</dc:creator>
  <cp:lastModifiedBy>ZHONGM</cp:lastModifiedBy>
  <cp:revision>2</cp:revision>
  <dcterms:created xsi:type="dcterms:W3CDTF">2026-04-17T16:01:00Z</dcterms:created>
  <dcterms:modified xsi:type="dcterms:W3CDTF">2026-04-17T16:01:00Z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eyJoZGlkIjoiNDcxNDk3Nzg2NDUyZTA2MjA5Nzg3NzZlNGNhMWQxNDAiLCJ1c2VySWQiOiIzODI1NDIwMDUifQ==</vt:lpwstr>
  </property>
  <property fmtid="{D5CDD505-2E9C-101B-9397-08002B2CF9AE}" pid="3" name="KSOProductBuildVer">
    <vt:lpwstr>2052-12.1.0.25225</vt:lpwstr>
  </property>
  <property fmtid="{D5CDD505-2E9C-101B-9397-08002B2CF9AE}" pid="4" name="ICV">
    <vt:lpwstr>9B5F29F8CD6B427F92A2683FB6AFB3AC_13</vt:lpwstr>
  </property>
</Properties>
</file>