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CA" w:rsidRDefault="00CA1A04" w:rsidP="00A8609D">
      <w:pPr>
        <w:spacing w:before="180" w:line="418" w:lineRule="auto"/>
        <w:ind w:left="45" w:right="85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2"/>
          <w:sz w:val="28"/>
          <w:szCs w:val="28"/>
        </w:rPr>
        <w:t>南方</w:t>
      </w:r>
      <w:r w:rsidR="00BF7070">
        <w:rPr>
          <w:rFonts w:ascii="宋体" w:eastAsia="宋体" w:hAnsi="宋体" w:cs="宋体"/>
          <w:spacing w:val="-2"/>
          <w:sz w:val="28"/>
          <w:szCs w:val="28"/>
        </w:rPr>
        <w:t>基金管理</w:t>
      </w:r>
      <w:r>
        <w:rPr>
          <w:rFonts w:ascii="宋体" w:eastAsia="宋体" w:hAnsi="宋体" w:cs="宋体" w:hint="eastAsia"/>
          <w:spacing w:val="-2"/>
          <w:sz w:val="28"/>
          <w:szCs w:val="28"/>
        </w:rPr>
        <w:t>股份</w:t>
      </w:r>
      <w:r w:rsidR="00BF7070">
        <w:rPr>
          <w:rFonts w:ascii="宋体" w:eastAsia="宋体" w:hAnsi="宋体" w:cs="宋体"/>
          <w:spacing w:val="-2"/>
          <w:sz w:val="28"/>
          <w:szCs w:val="28"/>
        </w:rPr>
        <w:t>有限公司关于</w:t>
      </w:r>
      <w:r w:rsidR="00B44BCA">
        <w:rPr>
          <w:rFonts w:ascii="宋体" w:eastAsia="宋体" w:hAnsi="宋体" w:cs="宋体" w:hint="eastAsia"/>
          <w:spacing w:val="-2"/>
          <w:sz w:val="28"/>
          <w:szCs w:val="28"/>
        </w:rPr>
        <w:t>旗下部分</w:t>
      </w:r>
      <w:r w:rsidR="00BF7070">
        <w:rPr>
          <w:rFonts w:ascii="宋体" w:eastAsia="宋体" w:hAnsi="宋体" w:cs="宋体"/>
          <w:spacing w:val="1"/>
          <w:sz w:val="28"/>
          <w:szCs w:val="28"/>
        </w:rPr>
        <w:t>基金调</w:t>
      </w:r>
      <w:r w:rsidR="00BF7070" w:rsidRPr="00660D76">
        <w:rPr>
          <w:rFonts w:ascii="宋体" w:eastAsia="宋体" w:hAnsi="宋体" w:cs="宋体"/>
          <w:spacing w:val="-2"/>
          <w:sz w:val="28"/>
          <w:szCs w:val="28"/>
        </w:rPr>
        <w:t>整</w:t>
      </w:r>
      <w:r w:rsidR="00660D76" w:rsidRPr="00660D76">
        <w:rPr>
          <w:rFonts w:ascii="宋体" w:eastAsia="宋体" w:hAnsi="宋体" w:cs="宋体" w:hint="eastAsia"/>
          <w:spacing w:val="-2"/>
          <w:sz w:val="28"/>
          <w:szCs w:val="28"/>
        </w:rPr>
        <w:t>申购业务限额</w:t>
      </w:r>
      <w:r w:rsidR="00BF7070" w:rsidRPr="00660D76">
        <w:rPr>
          <w:rFonts w:ascii="宋体" w:eastAsia="宋体" w:hAnsi="宋体" w:cs="宋体"/>
          <w:spacing w:val="-2"/>
          <w:sz w:val="28"/>
          <w:szCs w:val="28"/>
        </w:rPr>
        <w:t>并修改招募说明书</w:t>
      </w:r>
      <w:r w:rsidR="00BF7070">
        <w:rPr>
          <w:rFonts w:ascii="宋体" w:eastAsia="宋体" w:hAnsi="宋体" w:cs="宋体"/>
          <w:sz w:val="28"/>
          <w:szCs w:val="28"/>
        </w:rPr>
        <w:t>的公告</w:t>
      </w:r>
    </w:p>
    <w:p w:rsidR="003361CA" w:rsidRDefault="003361CA">
      <w:pPr>
        <w:spacing w:line="392" w:lineRule="auto"/>
      </w:pPr>
    </w:p>
    <w:p w:rsidR="003361CA" w:rsidRPr="00BF7070" w:rsidRDefault="00BF7070" w:rsidP="00BF7070">
      <w:pPr>
        <w:spacing w:before="78" w:line="360" w:lineRule="auto"/>
        <w:ind w:left="22" w:right="12" w:firstLine="483"/>
        <w:rPr>
          <w:rFonts w:ascii="宋体" w:eastAsia="宋体" w:hAnsi="宋体" w:cs="宋体"/>
        </w:rPr>
      </w:pPr>
      <w:r w:rsidRPr="00BF7070">
        <w:rPr>
          <w:rFonts w:ascii="宋体" w:eastAsia="宋体" w:hAnsi="宋体" w:cs="宋体"/>
          <w:spacing w:val="-18"/>
        </w:rPr>
        <w:t>为</w:t>
      </w:r>
      <w:r w:rsidRPr="00BF7070">
        <w:rPr>
          <w:rFonts w:ascii="宋体" w:eastAsia="宋体" w:hAnsi="宋体" w:cs="宋体"/>
          <w:spacing w:val="-11"/>
        </w:rPr>
        <w:t>更好地满足投资者的投资需求，根据《中华人民共和国证券投资基金法》、</w:t>
      </w:r>
      <w:r w:rsidRPr="00BF7070">
        <w:rPr>
          <w:rFonts w:ascii="宋体" w:eastAsia="宋体" w:hAnsi="宋体" w:cs="宋体"/>
          <w:spacing w:val="-4"/>
        </w:rPr>
        <w:t>《公开募集证券投资基金运作</w:t>
      </w:r>
      <w:r w:rsidRPr="00BF7070">
        <w:rPr>
          <w:rFonts w:ascii="宋体" w:eastAsia="宋体" w:hAnsi="宋体" w:cs="宋体"/>
          <w:spacing w:val="-3"/>
        </w:rPr>
        <w:t>管</w:t>
      </w:r>
      <w:r w:rsidRPr="00BF7070">
        <w:rPr>
          <w:rFonts w:ascii="宋体" w:eastAsia="宋体" w:hAnsi="宋体" w:cs="宋体"/>
          <w:spacing w:val="-2"/>
        </w:rPr>
        <w:t>理办法》和</w:t>
      </w:r>
      <w:r w:rsidRPr="00BF7070">
        <w:rPr>
          <w:rFonts w:ascii="宋体" w:eastAsia="宋体" w:hAnsi="宋体" w:cs="宋体"/>
          <w:spacing w:val="-10"/>
        </w:rPr>
        <w:t>基金合同的</w:t>
      </w:r>
      <w:r w:rsidRPr="001635AC">
        <w:rPr>
          <w:rFonts w:ascii="宋体" w:eastAsia="宋体" w:hAnsi="宋体" w:cs="宋体"/>
          <w:spacing w:val="-11"/>
        </w:rPr>
        <w:t>有关规定，</w:t>
      </w:r>
      <w:r w:rsidR="00CA1A04" w:rsidRPr="001635AC">
        <w:rPr>
          <w:rFonts w:ascii="宋体" w:eastAsia="宋体" w:hAnsi="宋体" w:cs="宋体" w:hint="eastAsia"/>
          <w:spacing w:val="-11"/>
        </w:rPr>
        <w:t>南方</w:t>
      </w:r>
      <w:r w:rsidRPr="001635AC">
        <w:rPr>
          <w:rFonts w:ascii="宋体" w:eastAsia="宋体" w:hAnsi="宋体" w:cs="宋体"/>
          <w:spacing w:val="-11"/>
        </w:rPr>
        <w:t>基金管理</w:t>
      </w:r>
      <w:r w:rsidR="00CA1A04" w:rsidRPr="001635AC">
        <w:rPr>
          <w:rFonts w:ascii="宋体" w:eastAsia="宋体" w:hAnsi="宋体" w:cs="宋体" w:hint="eastAsia"/>
          <w:spacing w:val="-11"/>
        </w:rPr>
        <w:t>股份</w:t>
      </w:r>
      <w:r w:rsidRPr="001635AC">
        <w:rPr>
          <w:rFonts w:ascii="宋体" w:eastAsia="宋体" w:hAnsi="宋体" w:cs="宋体"/>
          <w:spacing w:val="-11"/>
        </w:rPr>
        <w:t>有限公司 (以下简称“本公司”</w:t>
      </w:r>
      <w:r w:rsidR="00B02EFF" w:rsidRPr="001635AC">
        <w:rPr>
          <w:rFonts w:ascii="宋体" w:eastAsia="宋体" w:hAnsi="宋体" w:cs="宋体" w:hint="eastAsia"/>
          <w:spacing w:val="-11"/>
        </w:rPr>
        <w:t>或“基金管理人”</w:t>
      </w:r>
      <w:r w:rsidRPr="001635AC">
        <w:rPr>
          <w:rFonts w:ascii="宋体" w:eastAsia="宋体" w:hAnsi="宋体" w:cs="宋体"/>
          <w:spacing w:val="-11"/>
        </w:rPr>
        <w:t>) 决定调整</w:t>
      </w:r>
      <w:r w:rsidR="004B087D" w:rsidRPr="001635AC">
        <w:rPr>
          <w:rFonts w:ascii="宋体" w:eastAsia="宋体" w:hAnsi="宋体" w:cs="宋体" w:hint="eastAsia"/>
          <w:spacing w:val="-11"/>
        </w:rPr>
        <w:t>旗下部分</w:t>
      </w:r>
      <w:r w:rsidRPr="001635AC">
        <w:rPr>
          <w:rFonts w:ascii="宋体" w:eastAsia="宋体" w:hAnsi="宋体" w:cs="宋体"/>
          <w:spacing w:val="-11"/>
        </w:rPr>
        <w:t>基金的</w:t>
      </w:r>
      <w:r w:rsidR="00660D76" w:rsidRPr="001635AC">
        <w:rPr>
          <w:rFonts w:ascii="宋体" w:eastAsia="宋体" w:hAnsi="宋体" w:cs="宋体" w:hint="eastAsia"/>
          <w:spacing w:val="-11"/>
        </w:rPr>
        <w:t>申购业务限额</w:t>
      </w:r>
      <w:r w:rsidR="00662500" w:rsidRPr="00662500">
        <w:rPr>
          <w:rFonts w:ascii="宋体" w:eastAsia="宋体" w:hAnsi="宋体" w:cs="宋体" w:hint="eastAsia"/>
          <w:spacing w:val="-11"/>
        </w:rPr>
        <w:t>并</w:t>
      </w:r>
      <w:r w:rsidR="00662500">
        <w:rPr>
          <w:rFonts w:ascii="宋体" w:eastAsia="宋体" w:hAnsi="宋体" w:cs="宋体" w:hint="eastAsia"/>
          <w:spacing w:val="-11"/>
        </w:rPr>
        <w:t>相应</w:t>
      </w:r>
      <w:r w:rsidR="00662500" w:rsidRPr="00662500">
        <w:rPr>
          <w:rFonts w:ascii="宋体" w:eastAsia="宋体" w:hAnsi="宋体" w:cs="宋体" w:hint="eastAsia"/>
          <w:spacing w:val="-11"/>
        </w:rPr>
        <w:t>修改招募说明书</w:t>
      </w:r>
      <w:r w:rsidRPr="001635AC">
        <w:rPr>
          <w:rFonts w:ascii="宋体" w:eastAsia="宋体" w:hAnsi="宋体" w:cs="宋体"/>
          <w:spacing w:val="-11"/>
        </w:rPr>
        <w:t>，</w:t>
      </w:r>
      <w:r w:rsidR="007C6FAF" w:rsidRPr="001635AC">
        <w:rPr>
          <w:rFonts w:ascii="宋体" w:eastAsia="宋体" w:hAnsi="宋体" w:cs="宋体" w:hint="eastAsia"/>
          <w:spacing w:val="-11"/>
        </w:rPr>
        <w:t>现将相关修改事项公告如下</w:t>
      </w:r>
      <w:r w:rsidRPr="001635AC">
        <w:rPr>
          <w:rFonts w:ascii="宋体" w:eastAsia="宋体" w:hAnsi="宋体" w:cs="宋体"/>
          <w:spacing w:val="-11"/>
        </w:rPr>
        <w:t>：</w:t>
      </w:r>
    </w:p>
    <w:p w:rsidR="00662500" w:rsidRDefault="00BF7070" w:rsidP="00662500">
      <w:pPr>
        <w:spacing w:before="78" w:line="360" w:lineRule="auto"/>
        <w:ind w:left="28" w:right="623" w:firstLine="493"/>
        <w:rPr>
          <w:rFonts w:ascii="宋体" w:eastAsia="宋体" w:hAnsi="宋体" w:cs="宋体"/>
          <w:b/>
          <w:spacing w:val="-2"/>
        </w:rPr>
      </w:pPr>
      <w:r w:rsidRPr="00BF7070">
        <w:rPr>
          <w:rFonts w:ascii="宋体" w:eastAsia="宋体" w:hAnsi="宋体" w:cs="宋体"/>
          <w:b/>
          <w:spacing w:val="-20"/>
        </w:rPr>
        <w:t>一</w:t>
      </w:r>
      <w:r w:rsidRPr="00BF7070">
        <w:rPr>
          <w:rFonts w:ascii="宋体" w:eastAsia="宋体" w:hAnsi="宋体" w:cs="宋体"/>
          <w:b/>
          <w:spacing w:val="-14"/>
        </w:rPr>
        <w:t xml:space="preserve">、 </w:t>
      </w:r>
      <w:r w:rsidR="00662500" w:rsidRPr="004B087D">
        <w:rPr>
          <w:rFonts w:ascii="宋体" w:eastAsia="宋体" w:hAnsi="宋体" w:cs="宋体" w:hint="eastAsia"/>
          <w:b/>
          <w:spacing w:val="-2"/>
        </w:rPr>
        <w:t>相关基金名单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6823"/>
      </w:tblGrid>
      <w:tr w:rsidR="00CE0B2C" w:rsidRPr="00DD63D7" w:rsidTr="00CE0B2C">
        <w:trPr>
          <w:trHeight w:val="15"/>
          <w:jc w:val="center"/>
        </w:trPr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CE0B2C" w:rsidRPr="00DD63D7" w:rsidRDefault="00CE0B2C" w:rsidP="00CE0B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noProof w:val="0"/>
                <w:snapToGrid/>
                <w:szCs w:val="28"/>
              </w:rPr>
            </w:pPr>
          </w:p>
        </w:tc>
        <w:tc>
          <w:tcPr>
            <w:tcW w:w="6823" w:type="dxa"/>
            <w:shd w:val="clear" w:color="auto" w:fill="auto"/>
            <w:vAlign w:val="center"/>
          </w:tcPr>
          <w:p w:rsidR="00CE0B2C" w:rsidRPr="00DD63D7" w:rsidRDefault="00CE0B2C" w:rsidP="00A01420">
            <w:pPr>
              <w:jc w:val="center"/>
              <w:rPr>
                <w:rFonts w:ascii="宋体" w:eastAsia="宋体" w:hAnsi="宋体" w:cs="宋体"/>
                <w:b/>
                <w:noProof w:val="0"/>
                <w:snapToGrid/>
                <w:szCs w:val="28"/>
              </w:rPr>
            </w:pPr>
            <w:r w:rsidRPr="00DD63D7">
              <w:rPr>
                <w:rFonts w:ascii="宋体" w:eastAsia="宋体" w:hAnsi="宋体" w:cs="宋体" w:hint="eastAsia"/>
                <w:b/>
                <w:noProof w:val="0"/>
                <w:snapToGrid/>
                <w:szCs w:val="28"/>
              </w:rPr>
              <w:t>基金</w:t>
            </w:r>
          </w:p>
        </w:tc>
      </w:tr>
      <w:tr w:rsidR="00EA58A8" w:rsidRPr="00DD63D7" w:rsidTr="00CE0B2C">
        <w:trPr>
          <w:trHeight w:val="15"/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EA58A8" w:rsidRPr="00DD63D7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szCs w:val="28"/>
              </w:rPr>
              <w:t>1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南方稳利1年持有期债券型证券投资基金</w:t>
            </w:r>
          </w:p>
        </w:tc>
      </w:tr>
      <w:tr w:rsidR="00EA58A8" w:rsidRPr="00DD63D7" w:rsidTr="00CE0B2C">
        <w:trPr>
          <w:trHeight w:val="15"/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EA58A8" w:rsidRPr="00DD63D7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szCs w:val="28"/>
              </w:rPr>
              <w:t>2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南方旺元60天滚动持有中短债债券型证券投资基金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center"/>
            <w:hideMark/>
          </w:tcPr>
          <w:p w:rsidR="00EA58A8" w:rsidRPr="00DD63D7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szCs w:val="28"/>
              </w:rPr>
              <w:t>3</w:t>
            </w:r>
          </w:p>
        </w:tc>
        <w:tc>
          <w:tcPr>
            <w:tcW w:w="6823" w:type="dxa"/>
            <w:shd w:val="clear" w:color="auto" w:fill="auto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南方永元一年持有期债券型证券投资基金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hideMark/>
          </w:tcPr>
          <w:p w:rsidR="00EA58A8" w:rsidRPr="00DD63D7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szCs w:val="28"/>
              </w:rPr>
              <w:t>4</w:t>
            </w:r>
          </w:p>
        </w:tc>
        <w:tc>
          <w:tcPr>
            <w:tcW w:w="6823" w:type="dxa"/>
            <w:shd w:val="clear" w:color="auto" w:fill="auto"/>
            <w:vAlign w:val="bottom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南方月月享30天滚动持有债券型发起式证券投资基金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  <w:hideMark/>
          </w:tcPr>
          <w:p w:rsidR="00EA58A8" w:rsidRPr="00DD63D7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南方稳鑫6个月持有期债券型证券投资基金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  <w:hideMark/>
          </w:tcPr>
          <w:p w:rsidR="00EA58A8" w:rsidRPr="00DD63D7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6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南方稳瑞90天持有期债券型证券投资基金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  <w:hideMark/>
          </w:tcPr>
          <w:p w:rsidR="00EA58A8" w:rsidRPr="00DD63D7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7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南方惠享稳健添利债券型证券投资基金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EA58A8" w:rsidRPr="00DD498A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8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南方金添利三年定期开放债券型证券投资基金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EA58A8" w:rsidRPr="00DD63D7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9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南方睿阳稳健添利6个月持有期债券型证券投资基金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EA58A8" w:rsidRPr="00662500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  <w:t>10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南方稳福120天持有期债券型证券投资基金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EA58A8" w:rsidRPr="003A3AB8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1</w:t>
            </w:r>
            <w:r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  <w:t>1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jc w:val="center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南方尊享稳健增利债券型证券投资基金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EA58A8" w:rsidRPr="00FF066C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1</w:t>
            </w:r>
            <w:r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  <w:t>2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南方稳信180天持有期债券型证券投资基金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EA58A8" w:rsidRPr="00FF066C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1</w:t>
            </w:r>
            <w:r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  <w:t>3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南方泽享稳健添利债券型证券投资基金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EA58A8" w:rsidRPr="00FF066C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1</w:t>
            </w:r>
            <w:r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  <w:t>4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南方益稳稳健增利债券型证券投资基金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EA58A8" w:rsidRPr="00FF066C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1</w:t>
            </w:r>
            <w:r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  <w:t>5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南方稳航120天滚动持有债券型证券投资基金</w:t>
            </w:r>
          </w:p>
        </w:tc>
      </w:tr>
      <w:tr w:rsidR="00EA58A8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EA58A8" w:rsidRPr="00FF066C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1</w:t>
            </w:r>
            <w:r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  <w:t>6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EA58A8" w:rsidRPr="003946E5" w:rsidRDefault="00EA58A8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pacing w:val="-18"/>
              </w:rPr>
            </w:pPr>
            <w:r w:rsidRPr="003946E5">
              <w:rPr>
                <w:rFonts w:ascii="宋体" w:eastAsia="宋体" w:hAnsi="宋体" w:cs="宋体" w:hint="eastAsia"/>
                <w:spacing w:val="-18"/>
              </w:rPr>
              <w:t>南方惠益稳健添利债券型证券投资基金</w:t>
            </w:r>
          </w:p>
        </w:tc>
      </w:tr>
      <w:tr w:rsidR="009367E3" w:rsidRPr="00DD63D7" w:rsidTr="003946E5">
        <w:trPr>
          <w:trHeight w:val="15"/>
          <w:jc w:val="center"/>
        </w:trPr>
        <w:tc>
          <w:tcPr>
            <w:tcW w:w="1110" w:type="dxa"/>
            <w:shd w:val="clear" w:color="auto" w:fill="auto"/>
            <w:vAlign w:val="bottom"/>
          </w:tcPr>
          <w:p w:rsidR="009367E3" w:rsidRDefault="009367E3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</w:pPr>
            <w:r>
              <w:rPr>
                <w:rFonts w:ascii="宋体" w:eastAsia="宋体" w:hAnsi="宋体" w:cs="宋体" w:hint="eastAsia"/>
                <w:noProof w:val="0"/>
                <w:snapToGrid/>
                <w:color w:val="auto"/>
                <w:szCs w:val="28"/>
              </w:rPr>
              <w:t>1</w:t>
            </w:r>
            <w:r>
              <w:rPr>
                <w:rFonts w:ascii="宋体" w:eastAsia="宋体" w:hAnsi="宋体" w:cs="宋体"/>
                <w:noProof w:val="0"/>
                <w:snapToGrid/>
                <w:color w:val="auto"/>
                <w:szCs w:val="28"/>
              </w:rPr>
              <w:t>7</w:t>
            </w:r>
          </w:p>
        </w:tc>
        <w:tc>
          <w:tcPr>
            <w:tcW w:w="6823" w:type="dxa"/>
            <w:shd w:val="clear" w:color="auto" w:fill="auto"/>
            <w:vAlign w:val="center"/>
          </w:tcPr>
          <w:p w:rsidR="009367E3" w:rsidRPr="003946E5" w:rsidRDefault="009367E3" w:rsidP="00EA58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pacing w:val="-18"/>
              </w:rPr>
            </w:pPr>
            <w:r w:rsidRPr="009367E3">
              <w:rPr>
                <w:rFonts w:ascii="宋体" w:eastAsia="宋体" w:hAnsi="宋体" w:cs="宋体" w:hint="eastAsia"/>
                <w:spacing w:val="-18"/>
              </w:rPr>
              <w:t>南方中证同业存单AAA指数7天持有期证券投资基金</w:t>
            </w:r>
          </w:p>
        </w:tc>
      </w:tr>
    </w:tbl>
    <w:p w:rsidR="007F7836" w:rsidRDefault="007F7836" w:rsidP="00BF7070">
      <w:pPr>
        <w:spacing w:line="360" w:lineRule="auto"/>
        <w:ind w:left="507"/>
        <w:rPr>
          <w:rFonts w:ascii="宋体" w:eastAsia="宋体" w:hAnsi="宋体" w:cs="宋体"/>
          <w:b/>
          <w:spacing w:val="-14"/>
        </w:rPr>
      </w:pPr>
    </w:p>
    <w:p w:rsidR="003361CA" w:rsidRPr="00BF7070" w:rsidRDefault="00AD2FBD" w:rsidP="00BF7070">
      <w:pPr>
        <w:spacing w:line="360" w:lineRule="auto"/>
        <w:ind w:left="507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  <w:spacing w:val="-14"/>
        </w:rPr>
        <w:t>二、</w:t>
      </w:r>
      <w:r w:rsidRPr="00AD2FBD">
        <w:rPr>
          <w:rFonts w:ascii="宋体" w:eastAsia="宋体" w:hAnsi="宋体" w:cs="宋体" w:hint="eastAsia"/>
          <w:b/>
          <w:spacing w:val="-14"/>
        </w:rPr>
        <w:t>调整申购业务限额</w:t>
      </w:r>
      <w:r w:rsidR="007F7836">
        <w:rPr>
          <w:rFonts w:ascii="宋体" w:eastAsia="宋体" w:hAnsi="宋体" w:cs="宋体" w:hint="eastAsia"/>
          <w:b/>
          <w:spacing w:val="-14"/>
        </w:rPr>
        <w:t>并相应修改招募说明书</w:t>
      </w:r>
    </w:p>
    <w:p w:rsidR="007F7836" w:rsidRDefault="00AD2FBD" w:rsidP="002939EB">
      <w:pPr>
        <w:spacing w:before="78" w:line="360" w:lineRule="auto"/>
        <w:ind w:left="22" w:right="12" w:firstLine="483"/>
        <w:rPr>
          <w:rFonts w:ascii="宋体" w:eastAsia="宋体" w:hAnsi="宋体" w:cs="宋体"/>
          <w:spacing w:val="-18"/>
        </w:rPr>
      </w:pPr>
      <w:r w:rsidRPr="001A4CB0">
        <w:rPr>
          <w:rFonts w:ascii="宋体" w:eastAsia="宋体" w:hAnsi="宋体" w:cs="宋体"/>
          <w:spacing w:val="-18"/>
        </w:rPr>
        <w:t>自</w:t>
      </w:r>
      <w:r w:rsidRPr="001A4CB0">
        <w:rPr>
          <w:rFonts w:ascii="宋体" w:eastAsia="宋体" w:hAnsi="宋体" w:cs="宋体" w:hint="eastAsia"/>
          <w:spacing w:val="-18"/>
        </w:rPr>
        <w:t>2</w:t>
      </w:r>
      <w:r w:rsidRPr="001A4CB0">
        <w:rPr>
          <w:rFonts w:ascii="宋体" w:eastAsia="宋体" w:hAnsi="宋体" w:cs="宋体"/>
          <w:spacing w:val="-18"/>
        </w:rPr>
        <w:t>02</w:t>
      </w:r>
      <w:r w:rsidR="00576D45">
        <w:rPr>
          <w:rFonts w:ascii="宋体" w:eastAsia="宋体" w:hAnsi="宋体" w:cs="宋体" w:hint="eastAsia"/>
          <w:spacing w:val="-18"/>
        </w:rPr>
        <w:t>6</w:t>
      </w:r>
      <w:r w:rsidRPr="001A4CB0">
        <w:rPr>
          <w:rFonts w:ascii="宋体" w:eastAsia="宋体" w:hAnsi="宋体" w:cs="宋体" w:hint="eastAsia"/>
          <w:spacing w:val="-18"/>
        </w:rPr>
        <w:t>年</w:t>
      </w:r>
      <w:r w:rsidR="00576D45">
        <w:rPr>
          <w:rFonts w:ascii="宋体" w:eastAsia="宋体" w:hAnsi="宋体" w:cs="宋体" w:hint="eastAsia"/>
          <w:spacing w:val="-18"/>
        </w:rPr>
        <w:t>4</w:t>
      </w:r>
      <w:r w:rsidRPr="001A4CB0">
        <w:rPr>
          <w:rFonts w:ascii="宋体" w:eastAsia="宋体" w:hAnsi="宋体" w:cs="宋体" w:hint="eastAsia"/>
          <w:spacing w:val="-18"/>
        </w:rPr>
        <w:t>月</w:t>
      </w:r>
      <w:r w:rsidR="00D407A7">
        <w:rPr>
          <w:rFonts w:ascii="宋体" w:eastAsia="宋体" w:hAnsi="宋体" w:cs="宋体"/>
          <w:spacing w:val="-18"/>
        </w:rPr>
        <w:t>17</w:t>
      </w:r>
      <w:bookmarkStart w:id="0" w:name="_GoBack"/>
      <w:bookmarkEnd w:id="0"/>
      <w:r w:rsidRPr="001A4CB0">
        <w:rPr>
          <w:rFonts w:ascii="宋体" w:eastAsia="宋体" w:hAnsi="宋体" w:cs="宋体" w:hint="eastAsia"/>
          <w:spacing w:val="-18"/>
        </w:rPr>
        <w:t>日</w:t>
      </w:r>
      <w:r w:rsidRPr="001A4CB0">
        <w:rPr>
          <w:rFonts w:ascii="宋体" w:eastAsia="宋体" w:hAnsi="宋体" w:cs="宋体"/>
          <w:spacing w:val="-18"/>
        </w:rPr>
        <w:t>起</w:t>
      </w:r>
      <w:r w:rsidRPr="001A4CB0">
        <w:rPr>
          <w:rFonts w:ascii="宋体" w:eastAsia="宋体" w:hAnsi="宋体" w:cs="宋体" w:hint="eastAsia"/>
          <w:spacing w:val="-18"/>
        </w:rPr>
        <w:t>，</w:t>
      </w:r>
      <w:r w:rsidRPr="00AD2FBD">
        <w:rPr>
          <w:rFonts w:ascii="宋体" w:eastAsia="宋体" w:hAnsi="宋体" w:cs="宋体" w:hint="eastAsia"/>
          <w:spacing w:val="-18"/>
        </w:rPr>
        <w:t>上述基金</w:t>
      </w:r>
      <w:r>
        <w:rPr>
          <w:rFonts w:ascii="宋体" w:eastAsia="宋体" w:hAnsi="宋体" w:cs="宋体" w:hint="eastAsia"/>
          <w:spacing w:val="-18"/>
        </w:rPr>
        <w:t>的申购业务限额调整为：本基金</w:t>
      </w:r>
      <w:r w:rsidR="00BF7070" w:rsidRPr="002939EB">
        <w:rPr>
          <w:rFonts w:ascii="宋体" w:eastAsia="宋体" w:hAnsi="宋体" w:cs="宋体"/>
          <w:spacing w:val="-18"/>
        </w:rPr>
        <w:t>单一投资者单日申购金额不超过 1000 万元(个人投资者</w:t>
      </w:r>
      <w:r w:rsidR="007C6FAF" w:rsidRPr="002939EB">
        <w:rPr>
          <w:rFonts w:ascii="宋体" w:eastAsia="宋体" w:hAnsi="宋体" w:cs="宋体" w:hint="eastAsia"/>
          <w:spacing w:val="-18"/>
        </w:rPr>
        <w:t>、</w:t>
      </w:r>
      <w:r w:rsidR="00BF7070" w:rsidRPr="002939EB">
        <w:rPr>
          <w:rFonts w:ascii="宋体" w:eastAsia="宋体" w:hAnsi="宋体" w:cs="宋体"/>
          <w:spacing w:val="-18"/>
        </w:rPr>
        <w:t>公募资产管理产品</w:t>
      </w:r>
      <w:r>
        <w:rPr>
          <w:rFonts w:ascii="宋体" w:eastAsia="宋体" w:hAnsi="宋体" w:cs="宋体" w:hint="eastAsia"/>
          <w:spacing w:val="-18"/>
        </w:rPr>
        <w:t>、</w:t>
      </w:r>
      <w:r w:rsidRPr="00AD2FBD">
        <w:rPr>
          <w:rFonts w:ascii="宋体" w:eastAsia="宋体" w:hAnsi="宋体" w:cs="宋体" w:hint="eastAsia"/>
          <w:spacing w:val="-18"/>
        </w:rPr>
        <w:t>职业年金</w:t>
      </w:r>
      <w:r w:rsidR="007F7836">
        <w:rPr>
          <w:rFonts w:ascii="宋体" w:eastAsia="宋体" w:hAnsi="宋体" w:cs="宋体" w:hint="eastAsia"/>
          <w:spacing w:val="-18"/>
        </w:rPr>
        <w:t>和</w:t>
      </w:r>
      <w:r w:rsidRPr="00AD2FBD">
        <w:rPr>
          <w:rFonts w:ascii="宋体" w:eastAsia="宋体" w:hAnsi="宋体" w:cs="宋体" w:hint="eastAsia"/>
          <w:spacing w:val="-18"/>
        </w:rPr>
        <w:t>企业年金计划</w:t>
      </w:r>
      <w:r w:rsidR="003A3AB8">
        <w:rPr>
          <w:rFonts w:ascii="宋体" w:eastAsia="宋体" w:hAnsi="宋体" w:cs="宋体" w:hint="eastAsia"/>
          <w:spacing w:val="-18"/>
        </w:rPr>
        <w:t>、养老金产品</w:t>
      </w:r>
      <w:r w:rsidR="004D6DF6">
        <w:rPr>
          <w:rFonts w:ascii="宋体" w:eastAsia="宋体" w:hAnsi="宋体" w:cs="宋体" w:hint="eastAsia"/>
          <w:spacing w:val="-18"/>
        </w:rPr>
        <w:t>和</w:t>
      </w:r>
      <w:r w:rsidR="009A6AF3">
        <w:rPr>
          <w:rFonts w:ascii="宋体" w:eastAsia="宋体" w:hAnsi="宋体" w:cs="宋体" w:hint="eastAsia"/>
          <w:spacing w:val="-18"/>
        </w:rPr>
        <w:t>基金</w:t>
      </w:r>
      <w:r w:rsidR="004D6DF6" w:rsidRPr="004D6DF6">
        <w:rPr>
          <w:rFonts w:ascii="宋体" w:eastAsia="宋体" w:hAnsi="宋体" w:cs="宋体" w:hint="eastAsia"/>
          <w:spacing w:val="-18"/>
        </w:rPr>
        <w:t>管理人自有资金</w:t>
      </w:r>
      <w:r w:rsidR="00BF7070" w:rsidRPr="002939EB">
        <w:rPr>
          <w:rFonts w:ascii="宋体" w:eastAsia="宋体" w:hAnsi="宋体" w:cs="宋体"/>
          <w:spacing w:val="-18"/>
        </w:rPr>
        <w:t>除外)。</w:t>
      </w:r>
    </w:p>
    <w:p w:rsidR="007F7836" w:rsidRDefault="007F7836" w:rsidP="002939EB">
      <w:pPr>
        <w:spacing w:before="78" w:line="360" w:lineRule="auto"/>
        <w:ind w:left="22" w:right="12" w:firstLine="483"/>
        <w:rPr>
          <w:rFonts w:ascii="宋体" w:eastAsia="宋体" w:hAnsi="宋体" w:cs="宋体"/>
          <w:spacing w:val="-18"/>
        </w:rPr>
      </w:pPr>
      <w:r w:rsidRPr="007F7836">
        <w:rPr>
          <w:rFonts w:ascii="宋体" w:eastAsia="宋体" w:hAnsi="宋体" w:cs="宋体" w:hint="eastAsia"/>
          <w:spacing w:val="-18"/>
        </w:rPr>
        <w:t>本公司将</w:t>
      </w:r>
      <w:r>
        <w:rPr>
          <w:rFonts w:ascii="宋体" w:eastAsia="宋体" w:hAnsi="宋体" w:cs="宋体" w:hint="eastAsia"/>
          <w:spacing w:val="-18"/>
        </w:rPr>
        <w:t>据此相</w:t>
      </w:r>
      <w:r w:rsidR="00CA68E9">
        <w:rPr>
          <w:rFonts w:ascii="宋体" w:eastAsia="宋体" w:hAnsi="宋体" w:cs="宋体" w:hint="eastAsia"/>
          <w:spacing w:val="-18"/>
        </w:rPr>
        <w:t>应</w:t>
      </w:r>
      <w:r>
        <w:rPr>
          <w:rFonts w:ascii="宋体" w:eastAsia="宋体" w:hAnsi="宋体" w:cs="宋体" w:hint="eastAsia"/>
          <w:spacing w:val="-18"/>
        </w:rPr>
        <w:t>修改</w:t>
      </w:r>
      <w:r w:rsidRPr="007F7836">
        <w:rPr>
          <w:rFonts w:ascii="宋体" w:eastAsia="宋体" w:hAnsi="宋体" w:cs="宋体" w:hint="eastAsia"/>
          <w:spacing w:val="-18"/>
        </w:rPr>
        <w:t>上述基金</w:t>
      </w:r>
      <w:r w:rsidRPr="002939EB">
        <w:rPr>
          <w:rFonts w:ascii="宋体" w:eastAsia="宋体" w:hAnsi="宋体" w:cs="宋体"/>
          <w:spacing w:val="-18"/>
        </w:rPr>
        <w:t>招募说明书</w:t>
      </w:r>
      <w:r w:rsidR="00CA68E9">
        <w:rPr>
          <w:rFonts w:ascii="宋体" w:eastAsia="宋体" w:hAnsi="宋体" w:cs="宋体" w:hint="eastAsia"/>
          <w:spacing w:val="-18"/>
        </w:rPr>
        <w:t>的相关条款。</w:t>
      </w:r>
    </w:p>
    <w:p w:rsidR="007F7836" w:rsidRDefault="007F7836" w:rsidP="002939EB">
      <w:pPr>
        <w:spacing w:before="78" w:line="360" w:lineRule="auto"/>
        <w:ind w:left="22" w:right="12" w:firstLine="483"/>
        <w:rPr>
          <w:rFonts w:ascii="宋体" w:eastAsia="宋体" w:hAnsi="宋体" w:cs="宋体"/>
          <w:spacing w:val="-18"/>
        </w:rPr>
      </w:pPr>
    </w:p>
    <w:p w:rsidR="003361CA" w:rsidRPr="002939EB" w:rsidRDefault="004B087D" w:rsidP="002939EB">
      <w:pPr>
        <w:spacing w:before="78" w:line="360" w:lineRule="auto"/>
        <w:ind w:left="22" w:right="12" w:firstLine="483"/>
        <w:rPr>
          <w:rFonts w:ascii="宋体" w:eastAsia="宋体" w:hAnsi="宋体" w:cs="宋体"/>
          <w:b/>
          <w:spacing w:val="-18"/>
        </w:rPr>
      </w:pPr>
      <w:r w:rsidRPr="002939EB">
        <w:rPr>
          <w:rFonts w:ascii="宋体" w:eastAsia="宋体" w:hAnsi="宋体" w:cs="宋体" w:hint="eastAsia"/>
          <w:b/>
          <w:spacing w:val="-18"/>
        </w:rPr>
        <w:t>三、</w:t>
      </w:r>
      <w:r w:rsidR="00BF7070" w:rsidRPr="002939EB">
        <w:rPr>
          <w:rFonts w:ascii="宋体" w:eastAsia="宋体" w:hAnsi="宋体" w:cs="宋体"/>
          <w:b/>
          <w:spacing w:val="-18"/>
        </w:rPr>
        <w:t>重要提示</w:t>
      </w:r>
    </w:p>
    <w:p w:rsidR="003361CA" w:rsidRPr="002939EB" w:rsidRDefault="00BF7070" w:rsidP="002939EB">
      <w:pPr>
        <w:spacing w:before="78" w:line="360" w:lineRule="auto"/>
        <w:ind w:left="22" w:right="12" w:firstLine="483"/>
        <w:rPr>
          <w:rFonts w:ascii="宋体" w:eastAsia="宋体" w:hAnsi="宋体" w:cs="宋体"/>
          <w:spacing w:val="-18"/>
        </w:rPr>
      </w:pPr>
      <w:r w:rsidRPr="002939EB">
        <w:rPr>
          <w:rFonts w:ascii="宋体" w:eastAsia="宋体" w:hAnsi="宋体" w:cs="宋体"/>
          <w:spacing w:val="-18"/>
        </w:rPr>
        <w:t>1 、</w:t>
      </w:r>
      <w:r w:rsidR="007C6FAF" w:rsidRPr="002939EB">
        <w:rPr>
          <w:rFonts w:ascii="宋体" w:eastAsia="宋体" w:hAnsi="宋体" w:cs="宋体" w:hint="eastAsia"/>
          <w:spacing w:val="-18"/>
        </w:rPr>
        <w:t>本公告仅对</w:t>
      </w:r>
      <w:r w:rsidR="004B087D" w:rsidRPr="002939EB">
        <w:rPr>
          <w:rFonts w:ascii="宋体" w:eastAsia="宋体" w:hAnsi="宋体" w:cs="宋体" w:hint="eastAsia"/>
          <w:spacing w:val="-18"/>
        </w:rPr>
        <w:t>上述</w:t>
      </w:r>
      <w:r w:rsidR="007C6FAF" w:rsidRPr="002939EB">
        <w:rPr>
          <w:rFonts w:ascii="宋体" w:eastAsia="宋体" w:hAnsi="宋体" w:cs="宋体" w:hint="eastAsia"/>
          <w:spacing w:val="-18"/>
        </w:rPr>
        <w:t>基金调整申购业务限额事项予以说明。投资者欲了解</w:t>
      </w:r>
      <w:r w:rsidR="004B087D" w:rsidRPr="002939EB">
        <w:rPr>
          <w:rFonts w:ascii="宋体" w:eastAsia="宋体" w:hAnsi="宋体" w:cs="宋体" w:hint="eastAsia"/>
          <w:spacing w:val="-18"/>
        </w:rPr>
        <w:t>基金的详细情况，请查阅</w:t>
      </w:r>
      <w:r w:rsidR="007C6FAF" w:rsidRPr="002939EB">
        <w:rPr>
          <w:rFonts w:ascii="宋体" w:eastAsia="宋体" w:hAnsi="宋体" w:cs="宋体" w:hint="eastAsia"/>
          <w:spacing w:val="-18"/>
        </w:rPr>
        <w:t>基金招募说明书及其更新。</w:t>
      </w:r>
    </w:p>
    <w:p w:rsidR="00BF7070" w:rsidRPr="00BF7070" w:rsidRDefault="00BF7070" w:rsidP="00BF15F5">
      <w:pPr>
        <w:spacing w:before="78" w:line="360" w:lineRule="auto"/>
        <w:ind w:left="22" w:right="12" w:firstLine="483"/>
        <w:rPr>
          <w:rFonts w:ascii="宋体" w:eastAsia="宋体" w:hAnsi="宋体"/>
          <w:noProof w:val="0"/>
          <w:snapToGrid/>
        </w:rPr>
      </w:pPr>
      <w:r w:rsidRPr="002939EB">
        <w:rPr>
          <w:rFonts w:ascii="宋体" w:eastAsia="宋体" w:hAnsi="宋体" w:cs="宋体" w:hint="eastAsia"/>
          <w:spacing w:val="-18"/>
        </w:rPr>
        <w:lastRenderedPageBreak/>
        <w:t>2、投资人可访问本</w:t>
      </w:r>
      <w:r w:rsidR="00B02EFF" w:rsidRPr="002939EB">
        <w:rPr>
          <w:rFonts w:ascii="宋体" w:eastAsia="宋体" w:hAnsi="宋体" w:cs="宋体" w:hint="eastAsia"/>
          <w:spacing w:val="-18"/>
        </w:rPr>
        <w:t>公司</w:t>
      </w:r>
      <w:r w:rsidRPr="002939EB">
        <w:rPr>
          <w:rFonts w:ascii="宋体" w:eastAsia="宋体" w:hAnsi="宋体" w:cs="宋体" w:hint="eastAsia"/>
          <w:spacing w:val="-18"/>
        </w:rPr>
        <w:t>网站(www.nffund.com)或拨打客户服务电话（400－889－8899）咨询相关情况。</w:t>
      </w:r>
    </w:p>
    <w:p w:rsidR="00BF7070" w:rsidRPr="00BF7070" w:rsidRDefault="00BF7070" w:rsidP="00BF7070">
      <w:pPr>
        <w:spacing w:before="78" w:line="360" w:lineRule="auto"/>
        <w:ind w:left="28" w:right="623" w:firstLine="493"/>
        <w:jc w:val="right"/>
        <w:rPr>
          <w:rFonts w:ascii="宋体" w:eastAsia="宋体" w:hAnsi="宋体" w:cs="Times New Roman"/>
          <w:spacing w:val="-4"/>
        </w:rPr>
      </w:pPr>
      <w:r w:rsidRPr="00BF7070">
        <w:rPr>
          <w:rFonts w:ascii="宋体" w:eastAsia="宋体" w:hAnsi="宋体" w:cs="Times New Roman" w:hint="eastAsia"/>
          <w:spacing w:val="-4"/>
        </w:rPr>
        <w:t>南方基金管理股份有限公司</w:t>
      </w:r>
    </w:p>
    <w:p w:rsidR="003361CA" w:rsidRDefault="007F7836" w:rsidP="00BF7070">
      <w:pPr>
        <w:spacing w:before="78" w:line="360" w:lineRule="auto"/>
        <w:ind w:left="28" w:right="623" w:firstLine="493"/>
        <w:jc w:val="right"/>
        <w:rPr>
          <w:rFonts w:ascii="宋体" w:eastAsia="宋体" w:hAnsi="宋体" w:cs="宋体"/>
          <w:sz w:val="24"/>
          <w:szCs w:val="24"/>
        </w:rPr>
      </w:pPr>
      <w:r w:rsidRPr="00BF7070">
        <w:rPr>
          <w:rFonts w:ascii="宋体" w:eastAsia="宋体" w:hAnsi="宋体" w:cs="Times New Roman" w:hint="eastAsia"/>
          <w:spacing w:val="-4"/>
        </w:rPr>
        <w:t>2</w:t>
      </w:r>
      <w:r w:rsidRPr="00BF7070">
        <w:rPr>
          <w:rFonts w:ascii="宋体" w:eastAsia="宋体" w:hAnsi="宋体" w:cs="Times New Roman"/>
          <w:spacing w:val="-4"/>
        </w:rPr>
        <w:t>02</w:t>
      </w:r>
      <w:r w:rsidR="00576D45">
        <w:rPr>
          <w:rFonts w:ascii="宋体" w:eastAsia="宋体" w:hAnsi="宋体" w:cs="Times New Roman" w:hint="eastAsia"/>
          <w:spacing w:val="-4"/>
        </w:rPr>
        <w:t>6</w:t>
      </w:r>
      <w:r w:rsidR="00BF7070" w:rsidRPr="00BF7070">
        <w:rPr>
          <w:rFonts w:ascii="宋体" w:eastAsia="宋体" w:hAnsi="宋体" w:cs="Times New Roman" w:hint="eastAsia"/>
          <w:spacing w:val="-4"/>
        </w:rPr>
        <w:t>年</w:t>
      </w:r>
      <w:r w:rsidR="00576D45">
        <w:rPr>
          <w:rFonts w:ascii="宋体" w:eastAsia="宋体" w:hAnsi="宋体" w:cs="Times New Roman" w:hint="eastAsia"/>
          <w:spacing w:val="-4"/>
        </w:rPr>
        <w:t>4</w:t>
      </w:r>
      <w:r w:rsidR="00BF7070" w:rsidRPr="00BF7070">
        <w:rPr>
          <w:rFonts w:ascii="宋体" w:eastAsia="宋体" w:hAnsi="宋体" w:cs="Times New Roman" w:hint="eastAsia"/>
          <w:spacing w:val="-4"/>
        </w:rPr>
        <w:t>月</w:t>
      </w:r>
      <w:r w:rsidR="00937E3F">
        <w:rPr>
          <w:rFonts w:ascii="宋体" w:eastAsia="宋体" w:hAnsi="宋体" w:cs="Times New Roman"/>
          <w:spacing w:val="-4"/>
        </w:rPr>
        <w:t>17</w:t>
      </w:r>
      <w:r w:rsidR="00BF7070">
        <w:rPr>
          <w:rFonts w:ascii="宋体" w:eastAsia="宋体" w:hAnsi="宋体" w:cs="Times New Roman" w:hint="eastAsia"/>
          <w:spacing w:val="-4"/>
        </w:rPr>
        <w:t>日</w:t>
      </w:r>
    </w:p>
    <w:sectPr w:rsidR="003361CA" w:rsidSect="00CC272F">
      <w:footerReference w:type="default" r:id="rId7"/>
      <w:pgSz w:w="11907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C6" w:rsidRDefault="007B47C6" w:rsidP="00361F0C">
      <w:r>
        <w:separator/>
      </w:r>
    </w:p>
  </w:endnote>
  <w:endnote w:type="continuationSeparator" w:id="0">
    <w:p w:rsidR="007B47C6" w:rsidRDefault="007B47C6" w:rsidP="00361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0868253"/>
      <w:docPartObj>
        <w:docPartGallery w:val="Page Numbers (Bottom of Page)"/>
        <w:docPartUnique/>
      </w:docPartObj>
    </w:sdtPr>
    <w:sdtContent>
      <w:p w:rsidR="005731C3" w:rsidRDefault="00D564FB">
        <w:pPr>
          <w:pStyle w:val="a8"/>
          <w:jc w:val="center"/>
        </w:pPr>
        <w:r>
          <w:fldChar w:fldCharType="begin"/>
        </w:r>
        <w:r w:rsidR="005731C3">
          <w:instrText>PAGE   \* MERGEFORMAT</w:instrText>
        </w:r>
        <w:r>
          <w:fldChar w:fldCharType="separate"/>
        </w:r>
        <w:r w:rsidR="00A61C4F" w:rsidRPr="00A61C4F">
          <w:rPr>
            <w:lang w:val="zh-CN"/>
          </w:rPr>
          <w:t>1</w:t>
        </w:r>
        <w:r>
          <w:fldChar w:fldCharType="end"/>
        </w:r>
      </w:p>
    </w:sdtContent>
  </w:sdt>
  <w:p w:rsidR="005731C3" w:rsidRDefault="005731C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C6" w:rsidRDefault="007B47C6" w:rsidP="00361F0C">
      <w:r>
        <w:separator/>
      </w:r>
    </w:p>
  </w:footnote>
  <w:footnote w:type="continuationSeparator" w:id="0">
    <w:p w:rsidR="007B47C6" w:rsidRDefault="007B47C6" w:rsidP="00361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trackRevisions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3361CA"/>
    <w:rsid w:val="0000054B"/>
    <w:rsid w:val="000255B9"/>
    <w:rsid w:val="00062846"/>
    <w:rsid w:val="00071E4E"/>
    <w:rsid w:val="000D2737"/>
    <w:rsid w:val="00155325"/>
    <w:rsid w:val="001635AC"/>
    <w:rsid w:val="001731C3"/>
    <w:rsid w:val="001A4CB0"/>
    <w:rsid w:val="001C1BEA"/>
    <w:rsid w:val="001C2AE1"/>
    <w:rsid w:val="001C49AF"/>
    <w:rsid w:val="001F3E6B"/>
    <w:rsid w:val="00254CDE"/>
    <w:rsid w:val="00287E06"/>
    <w:rsid w:val="002939EB"/>
    <w:rsid w:val="002B5413"/>
    <w:rsid w:val="003361CA"/>
    <w:rsid w:val="00361F0C"/>
    <w:rsid w:val="003946E5"/>
    <w:rsid w:val="003A3AB8"/>
    <w:rsid w:val="003C4EFA"/>
    <w:rsid w:val="003F5528"/>
    <w:rsid w:val="004032D1"/>
    <w:rsid w:val="00457103"/>
    <w:rsid w:val="004710B8"/>
    <w:rsid w:val="004B087D"/>
    <w:rsid w:val="004C30E9"/>
    <w:rsid w:val="004D6DF6"/>
    <w:rsid w:val="004F2B48"/>
    <w:rsid w:val="005731C3"/>
    <w:rsid w:val="00576D45"/>
    <w:rsid w:val="00630FD5"/>
    <w:rsid w:val="0064668A"/>
    <w:rsid w:val="00660D76"/>
    <w:rsid w:val="00662500"/>
    <w:rsid w:val="006B72C7"/>
    <w:rsid w:val="006F5129"/>
    <w:rsid w:val="00707BC0"/>
    <w:rsid w:val="00730D5B"/>
    <w:rsid w:val="007B47C6"/>
    <w:rsid w:val="007C6FAF"/>
    <w:rsid w:val="007D34B6"/>
    <w:rsid w:val="007F7836"/>
    <w:rsid w:val="00857748"/>
    <w:rsid w:val="00873872"/>
    <w:rsid w:val="00920722"/>
    <w:rsid w:val="009367E3"/>
    <w:rsid w:val="00937E3F"/>
    <w:rsid w:val="00940097"/>
    <w:rsid w:val="009A6AF3"/>
    <w:rsid w:val="009B4A37"/>
    <w:rsid w:val="009F176F"/>
    <w:rsid w:val="00A01420"/>
    <w:rsid w:val="00A3715D"/>
    <w:rsid w:val="00A3765B"/>
    <w:rsid w:val="00A61C4F"/>
    <w:rsid w:val="00A7488A"/>
    <w:rsid w:val="00A8609D"/>
    <w:rsid w:val="00AD2FBD"/>
    <w:rsid w:val="00AD6BEB"/>
    <w:rsid w:val="00AF08DD"/>
    <w:rsid w:val="00AF4124"/>
    <w:rsid w:val="00B02EFF"/>
    <w:rsid w:val="00B44BCA"/>
    <w:rsid w:val="00B705EF"/>
    <w:rsid w:val="00BF15F5"/>
    <w:rsid w:val="00BF7070"/>
    <w:rsid w:val="00C03F6E"/>
    <w:rsid w:val="00C40D26"/>
    <w:rsid w:val="00C40E11"/>
    <w:rsid w:val="00C46571"/>
    <w:rsid w:val="00C6513B"/>
    <w:rsid w:val="00C8437C"/>
    <w:rsid w:val="00CA1A04"/>
    <w:rsid w:val="00CA68E9"/>
    <w:rsid w:val="00CC272F"/>
    <w:rsid w:val="00CD5E44"/>
    <w:rsid w:val="00CE0B2C"/>
    <w:rsid w:val="00D407A7"/>
    <w:rsid w:val="00D564FB"/>
    <w:rsid w:val="00D70B1E"/>
    <w:rsid w:val="00D91CF0"/>
    <w:rsid w:val="00DC7EAA"/>
    <w:rsid w:val="00DD498A"/>
    <w:rsid w:val="00DD63D7"/>
    <w:rsid w:val="00DE1783"/>
    <w:rsid w:val="00E41B98"/>
    <w:rsid w:val="00E74F1A"/>
    <w:rsid w:val="00E87FB9"/>
    <w:rsid w:val="00E979C0"/>
    <w:rsid w:val="00EA58A8"/>
    <w:rsid w:val="00ED0F4A"/>
    <w:rsid w:val="00EE15BC"/>
    <w:rsid w:val="00F375EA"/>
    <w:rsid w:val="00F72101"/>
    <w:rsid w:val="00FC3C4E"/>
    <w:rsid w:val="00FF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D564FB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564F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4032D1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4032D1"/>
  </w:style>
  <w:style w:type="character" w:customStyle="1" w:styleId="Char">
    <w:name w:val="批注文字 Char"/>
    <w:basedOn w:val="a0"/>
    <w:link w:val="a4"/>
    <w:uiPriority w:val="99"/>
    <w:semiHidden/>
    <w:rsid w:val="004032D1"/>
    <w:rPr>
      <w:noProof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032D1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4032D1"/>
    <w:rPr>
      <w:b/>
      <w:bCs/>
      <w:noProof/>
    </w:rPr>
  </w:style>
  <w:style w:type="paragraph" w:styleId="a6">
    <w:name w:val="Balloon Text"/>
    <w:basedOn w:val="a"/>
    <w:link w:val="Char1"/>
    <w:uiPriority w:val="99"/>
    <w:semiHidden/>
    <w:unhideWhenUsed/>
    <w:rsid w:val="004032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32D1"/>
    <w:rPr>
      <w:noProof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361F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361F0C"/>
    <w:rPr>
      <w:noProof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361F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361F0C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1B8-23A2-4752-8745-EB61C944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4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dcterms:created xsi:type="dcterms:W3CDTF">2026-04-16T16:04:00Z</dcterms:created>
  <dcterms:modified xsi:type="dcterms:W3CDTF">2026-04-16T16:04:00Z</dcterms:modified>
</cp:coreProperties>
</file>