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301" w:rsidRDefault="00720B68">
      <w:pPr>
        <w:spacing w:line="360" w:lineRule="auto"/>
        <w:jc w:val="center"/>
        <w:rPr>
          <w:rFonts w:ascii="Times New Roman" w:hAnsi="Times New Roman"/>
          <w:b/>
          <w:sz w:val="30"/>
          <w:szCs w:val="30"/>
        </w:rPr>
      </w:pPr>
      <w:r>
        <w:rPr>
          <w:rFonts w:ascii="Times New Roman" w:hAnsi="Times New Roman" w:hint="eastAsia"/>
          <w:b/>
          <w:sz w:val="30"/>
          <w:szCs w:val="30"/>
        </w:rPr>
        <w:t>富国基金管理有限公司关于旗下基金投资关联方承销期内</w:t>
      </w:r>
    </w:p>
    <w:p w:rsidR="00C57301" w:rsidRDefault="00720B68">
      <w:pPr>
        <w:spacing w:line="360" w:lineRule="auto"/>
        <w:jc w:val="center"/>
        <w:rPr>
          <w:rFonts w:ascii="Times New Roman" w:hAnsi="Times New Roman"/>
          <w:b/>
          <w:sz w:val="30"/>
          <w:szCs w:val="30"/>
        </w:rPr>
      </w:pPr>
      <w:r>
        <w:rPr>
          <w:rFonts w:ascii="Times New Roman" w:hAnsi="Times New Roman" w:hint="eastAsia"/>
          <w:b/>
          <w:sz w:val="30"/>
          <w:szCs w:val="30"/>
        </w:rPr>
        <w:t>承销证券的公告</w:t>
      </w:r>
    </w:p>
    <w:p w:rsidR="00C57301" w:rsidRDefault="00720B68">
      <w:pPr>
        <w:spacing w:line="360" w:lineRule="auto"/>
        <w:ind w:firstLineChars="200" w:firstLine="480"/>
        <w:rPr>
          <w:rFonts w:ascii="Times New Roman" w:hAnsi="Times New Roman"/>
          <w:sz w:val="24"/>
          <w:szCs w:val="24"/>
        </w:rPr>
      </w:pPr>
      <w:r>
        <w:rPr>
          <w:rFonts w:ascii="Times New Roman" w:hAnsi="Times New Roman" w:hint="eastAsia"/>
          <w:sz w:val="24"/>
          <w:szCs w:val="24"/>
        </w:rPr>
        <w:t>根据《中华人民共和国证券投资基金法》《公开募集证券投资基金运作管理办法》《公开募集证券投资基金信息披露管理办法》及相关基金基金合同、招募说明书等有关规定，经履行适当审批程序，富国基金管理有限公司（“本公司”）旗下部分基金参与了长春长光辰芯微电子股份有限公司（</w:t>
      </w:r>
      <w:r>
        <w:rPr>
          <w:rFonts w:ascii="Times New Roman" w:hAnsi="Times New Roman" w:hint="eastAsia"/>
          <w:sz w:val="24"/>
          <w:szCs w:val="24"/>
        </w:rPr>
        <w:t>证券简称：</w:t>
      </w:r>
      <w:r>
        <w:rPr>
          <w:rFonts w:ascii="Times New Roman" w:hAnsi="Times New Roman" w:hint="eastAsia"/>
          <w:sz w:val="24"/>
          <w:szCs w:val="24"/>
        </w:rPr>
        <w:t>长光辰芯</w:t>
      </w:r>
      <w:r>
        <w:rPr>
          <w:rFonts w:ascii="Times New Roman" w:hAnsi="Times New Roman" w:hint="eastAsia"/>
          <w:sz w:val="24"/>
          <w:szCs w:val="24"/>
        </w:rPr>
        <w:t>；</w:t>
      </w:r>
      <w:r>
        <w:rPr>
          <w:rFonts w:ascii="Times New Roman" w:hAnsi="Times New Roman" w:hint="eastAsia"/>
          <w:sz w:val="24"/>
          <w:szCs w:val="24"/>
        </w:rPr>
        <w:t>交易代码：</w:t>
      </w:r>
      <w:r>
        <w:rPr>
          <w:rFonts w:ascii="Times New Roman" w:hAnsi="Times New Roman" w:hint="eastAsia"/>
          <w:sz w:val="24"/>
          <w:szCs w:val="24"/>
        </w:rPr>
        <w:t>3277</w:t>
      </w:r>
      <w:r>
        <w:rPr>
          <w:rFonts w:ascii="Times New Roman" w:hAnsi="Times New Roman" w:hint="eastAsia"/>
          <w:sz w:val="24"/>
          <w:szCs w:val="24"/>
        </w:rPr>
        <w:t>.HK</w:t>
      </w:r>
      <w:r>
        <w:rPr>
          <w:rFonts w:ascii="Times New Roman" w:hAnsi="Times New Roman" w:hint="eastAsia"/>
          <w:sz w:val="24"/>
          <w:szCs w:val="24"/>
        </w:rPr>
        <w:t>）公开发售股票并在香港联合交易所上市（“本次发行”）的</w:t>
      </w:r>
      <w:r>
        <w:rPr>
          <w:rFonts w:ascii="Times New Roman" w:hAnsi="Times New Roman" w:hint="eastAsia"/>
          <w:kern w:val="0"/>
          <w:sz w:val="24"/>
          <w:szCs w:val="24"/>
        </w:rPr>
        <w:t>申请</w:t>
      </w:r>
      <w:r>
        <w:rPr>
          <w:rFonts w:ascii="Times New Roman" w:hAnsi="Times New Roman" w:hint="eastAsia"/>
          <w:sz w:val="24"/>
          <w:szCs w:val="24"/>
        </w:rPr>
        <w:t>，本公司股东国泰海通证券股份有限公司的子公司国泰君安证券</w:t>
      </w:r>
      <w:r>
        <w:rPr>
          <w:rFonts w:ascii="Times New Roman" w:hAnsi="Times New Roman" w:hint="eastAsia"/>
          <w:sz w:val="24"/>
          <w:szCs w:val="24"/>
        </w:rPr>
        <w:t>(</w:t>
      </w:r>
      <w:r>
        <w:rPr>
          <w:rFonts w:ascii="Times New Roman" w:hAnsi="Times New Roman" w:hint="eastAsia"/>
          <w:sz w:val="24"/>
          <w:szCs w:val="24"/>
        </w:rPr>
        <w:t>香港</w:t>
      </w:r>
      <w:r>
        <w:rPr>
          <w:rFonts w:ascii="Times New Roman" w:hAnsi="Times New Roman" w:hint="eastAsia"/>
          <w:sz w:val="24"/>
          <w:szCs w:val="24"/>
        </w:rPr>
        <w:t>)</w:t>
      </w:r>
      <w:r>
        <w:rPr>
          <w:rFonts w:ascii="Times New Roman" w:hAnsi="Times New Roman" w:hint="eastAsia"/>
          <w:sz w:val="24"/>
          <w:szCs w:val="24"/>
        </w:rPr>
        <w:t>有限公司</w:t>
      </w:r>
      <w:r>
        <w:rPr>
          <w:rFonts w:ascii="Times New Roman" w:hAnsi="Times New Roman"/>
          <w:sz w:val="24"/>
          <w:szCs w:val="24"/>
        </w:rPr>
        <w:t>为本次发行的</w:t>
      </w:r>
      <w:r>
        <w:rPr>
          <w:rFonts w:ascii="Times New Roman" w:hAnsi="Times New Roman" w:hint="eastAsia"/>
          <w:sz w:val="24"/>
          <w:szCs w:val="24"/>
        </w:rPr>
        <w:t>联席保荐人和</w:t>
      </w:r>
      <w:r>
        <w:rPr>
          <w:rFonts w:ascii="Times New Roman" w:hAnsi="Times New Roman" w:hint="eastAsia"/>
          <w:sz w:val="24"/>
          <w:szCs w:val="24"/>
        </w:rPr>
        <w:t>整体协调人。本次发行价格为</w:t>
      </w:r>
      <w:r>
        <w:rPr>
          <w:rFonts w:ascii="Times New Roman" w:hAnsi="Times New Roman" w:hint="eastAsia"/>
          <w:sz w:val="24"/>
          <w:szCs w:val="24"/>
        </w:rPr>
        <w:t>39.88</w:t>
      </w:r>
      <w:r>
        <w:rPr>
          <w:rFonts w:ascii="Times New Roman" w:hAnsi="Times New Roman" w:hint="eastAsia"/>
          <w:sz w:val="24"/>
          <w:szCs w:val="24"/>
        </w:rPr>
        <w:t>港元</w:t>
      </w:r>
      <w:r>
        <w:rPr>
          <w:rFonts w:ascii="Times New Roman" w:hAnsi="Times New Roman" w:hint="eastAsia"/>
          <w:sz w:val="24"/>
          <w:szCs w:val="24"/>
        </w:rPr>
        <w:t>/</w:t>
      </w:r>
      <w:r>
        <w:rPr>
          <w:rFonts w:ascii="Times New Roman" w:hAnsi="Times New Roman" w:hint="eastAsia"/>
          <w:sz w:val="24"/>
          <w:szCs w:val="24"/>
        </w:rPr>
        <w:t>股，由发行人、整体协调人与全球协调人通过</w:t>
      </w:r>
      <w:r>
        <w:rPr>
          <w:rFonts w:ascii="Times New Roman" w:hAnsi="Times New Roman" w:hint="eastAsia"/>
          <w:sz w:val="24"/>
          <w:szCs w:val="24"/>
        </w:rPr>
        <w:t>协商</w:t>
      </w:r>
      <w:r>
        <w:rPr>
          <w:rFonts w:ascii="Times New Roman" w:hAnsi="Times New Roman" w:hint="eastAsia"/>
          <w:sz w:val="24"/>
          <w:szCs w:val="24"/>
        </w:rPr>
        <w:t>确定。</w:t>
      </w:r>
      <w:r>
        <w:rPr>
          <w:rFonts w:ascii="Times New Roman" w:hAnsi="Times New Roman" w:hint="eastAsia"/>
          <w:sz w:val="24"/>
          <w:szCs w:val="24"/>
        </w:rPr>
        <w:t xml:space="preserve"> </w:t>
      </w:r>
    </w:p>
    <w:p w:rsidR="00C57301" w:rsidRDefault="00720B68">
      <w:pPr>
        <w:spacing w:line="360" w:lineRule="auto"/>
        <w:ind w:firstLineChars="200" w:firstLine="480"/>
        <w:rPr>
          <w:rFonts w:ascii="Times New Roman" w:hAnsi="Times New Roman"/>
          <w:sz w:val="24"/>
          <w:szCs w:val="24"/>
        </w:rPr>
      </w:pPr>
      <w:r>
        <w:rPr>
          <w:rFonts w:ascii="Times New Roman" w:hAnsi="Times New Roman" w:hint="eastAsia"/>
          <w:sz w:val="24"/>
          <w:szCs w:val="24"/>
        </w:rPr>
        <w:t>现将本公司旗下基金获配信息公告如下：</w:t>
      </w:r>
      <w:r>
        <w:rPr>
          <w:rFonts w:ascii="Times New Roman" w:hAnsi="Times New Roman" w:hint="eastAsia"/>
          <w:sz w:val="24"/>
          <w:szCs w:val="24"/>
        </w:rPr>
        <w:t xml:space="preserve"> </w:t>
      </w:r>
    </w:p>
    <w:tbl>
      <w:tblPr>
        <w:tblW w:w="8593" w:type="dxa"/>
        <w:tblInd w:w="93" w:type="dxa"/>
        <w:tblLayout w:type="fixed"/>
        <w:tblLook w:val="04A0"/>
      </w:tblPr>
      <w:tblGrid>
        <w:gridCol w:w="5113"/>
        <w:gridCol w:w="1755"/>
        <w:gridCol w:w="1725"/>
      </w:tblGrid>
      <w:tr w:rsidR="00C57301">
        <w:trPr>
          <w:trHeight w:val="270"/>
        </w:trPr>
        <w:tc>
          <w:tcPr>
            <w:tcW w:w="5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7301" w:rsidRDefault="00720B68">
            <w:pPr>
              <w:spacing w:line="360" w:lineRule="auto"/>
              <w:ind w:firstLineChars="200" w:firstLine="480"/>
              <w:jc w:val="center"/>
              <w:rPr>
                <w:rFonts w:ascii="Times New Roman" w:hAnsi="Times New Roman"/>
                <w:sz w:val="24"/>
                <w:szCs w:val="24"/>
              </w:rPr>
            </w:pPr>
            <w:r>
              <w:rPr>
                <w:rFonts w:ascii="Times New Roman" w:hAnsi="Times New Roman" w:hint="eastAsia"/>
                <w:sz w:val="24"/>
                <w:szCs w:val="24"/>
              </w:rPr>
              <w:t>基金名称</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7301" w:rsidRDefault="00720B68">
            <w:pPr>
              <w:spacing w:line="360" w:lineRule="auto"/>
              <w:rPr>
                <w:rFonts w:ascii="Times New Roman" w:hAnsi="Times New Roman"/>
                <w:sz w:val="24"/>
                <w:szCs w:val="24"/>
              </w:rPr>
            </w:pPr>
            <w:r>
              <w:rPr>
                <w:rFonts w:ascii="Times New Roman" w:hAnsi="Times New Roman" w:hint="eastAsia"/>
                <w:sz w:val="24"/>
                <w:szCs w:val="24"/>
              </w:rPr>
              <w:t>获配数量（股）</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7301" w:rsidRDefault="00720B68">
            <w:pPr>
              <w:spacing w:line="360" w:lineRule="auto"/>
              <w:rPr>
                <w:rFonts w:ascii="Times New Roman" w:hAnsi="Times New Roman"/>
                <w:sz w:val="24"/>
                <w:szCs w:val="24"/>
              </w:rPr>
            </w:pPr>
            <w:r>
              <w:rPr>
                <w:rFonts w:ascii="Times New Roman" w:hAnsi="Times New Roman" w:hint="eastAsia"/>
                <w:sz w:val="24"/>
                <w:szCs w:val="24"/>
              </w:rPr>
              <w:t>总金额</w:t>
            </w:r>
            <w:r>
              <w:rPr>
                <w:rFonts w:ascii="Times New Roman" w:hAnsi="Times New Roman" w:hint="eastAsia"/>
                <w:sz w:val="24"/>
                <w:szCs w:val="24"/>
              </w:rPr>
              <w:t>(</w:t>
            </w:r>
            <w:r>
              <w:rPr>
                <w:rFonts w:ascii="Times New Roman" w:hAnsi="Times New Roman" w:hint="eastAsia"/>
                <w:sz w:val="24"/>
                <w:szCs w:val="24"/>
              </w:rPr>
              <w:t>港元</w:t>
            </w:r>
            <w:r>
              <w:rPr>
                <w:rFonts w:ascii="Times New Roman" w:hAnsi="Times New Roman" w:hint="eastAsia"/>
                <w:sz w:val="24"/>
                <w:szCs w:val="24"/>
              </w:rPr>
              <w:t>)</w:t>
            </w:r>
          </w:p>
        </w:tc>
      </w:tr>
      <w:tr w:rsidR="00C57301">
        <w:trPr>
          <w:trHeight w:val="270"/>
        </w:trPr>
        <w:tc>
          <w:tcPr>
            <w:tcW w:w="5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7301" w:rsidRDefault="00720B68">
            <w:pPr>
              <w:spacing w:line="360" w:lineRule="auto"/>
              <w:rPr>
                <w:rFonts w:ascii="Times New Roman" w:hAnsi="Times New Roman"/>
                <w:sz w:val="24"/>
                <w:szCs w:val="24"/>
              </w:rPr>
            </w:pPr>
            <w:r>
              <w:rPr>
                <w:rFonts w:ascii="Times New Roman" w:hAnsi="Times New Roman" w:hint="eastAsia"/>
                <w:sz w:val="24"/>
                <w:szCs w:val="24"/>
              </w:rPr>
              <w:t>富国中国中小盘（香港上市）混合型证券投资基金</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7301" w:rsidRDefault="00720B68">
            <w:pPr>
              <w:spacing w:line="360" w:lineRule="auto"/>
              <w:rPr>
                <w:rFonts w:ascii="Times New Roman" w:hAnsi="Times New Roman"/>
                <w:sz w:val="24"/>
                <w:szCs w:val="24"/>
              </w:rPr>
            </w:pPr>
            <w:r>
              <w:rPr>
                <w:rFonts w:ascii="Times New Roman" w:hAnsi="Times New Roman" w:hint="eastAsia"/>
                <w:sz w:val="24"/>
                <w:szCs w:val="24"/>
              </w:rPr>
              <w:t xml:space="preserve">758,900.00 </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7301" w:rsidRDefault="00720B68">
            <w:pPr>
              <w:spacing w:line="360" w:lineRule="auto"/>
              <w:rPr>
                <w:rFonts w:ascii="Times New Roman" w:hAnsi="Times New Roman"/>
                <w:sz w:val="24"/>
                <w:szCs w:val="24"/>
              </w:rPr>
            </w:pPr>
            <w:r>
              <w:rPr>
                <w:rFonts w:ascii="Times New Roman" w:hAnsi="Times New Roman" w:hint="eastAsia"/>
                <w:sz w:val="24"/>
                <w:szCs w:val="24"/>
              </w:rPr>
              <w:t xml:space="preserve">30,264,932.00 </w:t>
            </w:r>
          </w:p>
        </w:tc>
      </w:tr>
      <w:tr w:rsidR="00C57301">
        <w:trPr>
          <w:trHeight w:val="270"/>
        </w:trPr>
        <w:tc>
          <w:tcPr>
            <w:tcW w:w="5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7301" w:rsidRDefault="00720B68">
            <w:pPr>
              <w:spacing w:line="360" w:lineRule="auto"/>
              <w:rPr>
                <w:rFonts w:ascii="Times New Roman" w:hAnsi="Times New Roman"/>
                <w:sz w:val="24"/>
                <w:szCs w:val="24"/>
              </w:rPr>
            </w:pPr>
            <w:r>
              <w:rPr>
                <w:rFonts w:ascii="Times New Roman" w:hAnsi="Times New Roman" w:hint="eastAsia"/>
                <w:sz w:val="24"/>
                <w:szCs w:val="24"/>
              </w:rPr>
              <w:t>富国全球科技互联网股票型证券投资基金（</w:t>
            </w:r>
            <w:r>
              <w:rPr>
                <w:rFonts w:ascii="Times New Roman" w:hAnsi="Times New Roman" w:hint="eastAsia"/>
                <w:sz w:val="24"/>
                <w:szCs w:val="24"/>
              </w:rPr>
              <w:t>QDII</w:t>
            </w:r>
            <w:r>
              <w:rPr>
                <w:rFonts w:ascii="Times New Roman" w:hAnsi="Times New Roman" w:hint="eastAsia"/>
                <w:sz w:val="24"/>
                <w:szCs w:val="24"/>
              </w:rPr>
              <w:t>）</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7301" w:rsidRDefault="00720B68">
            <w:pPr>
              <w:spacing w:line="360" w:lineRule="auto"/>
              <w:rPr>
                <w:rFonts w:ascii="Times New Roman" w:hAnsi="Times New Roman"/>
                <w:sz w:val="24"/>
                <w:szCs w:val="24"/>
              </w:rPr>
            </w:pPr>
            <w:r>
              <w:rPr>
                <w:rFonts w:ascii="Times New Roman" w:hAnsi="Times New Roman" w:hint="eastAsia"/>
                <w:sz w:val="24"/>
                <w:szCs w:val="24"/>
              </w:rPr>
              <w:t xml:space="preserve">628,100.00 </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7301" w:rsidRDefault="00720B68">
            <w:pPr>
              <w:spacing w:line="360" w:lineRule="auto"/>
              <w:rPr>
                <w:rFonts w:ascii="Times New Roman" w:hAnsi="Times New Roman"/>
                <w:sz w:val="24"/>
                <w:szCs w:val="24"/>
              </w:rPr>
            </w:pPr>
            <w:r>
              <w:rPr>
                <w:rFonts w:ascii="Times New Roman" w:hAnsi="Times New Roman" w:hint="eastAsia"/>
                <w:sz w:val="24"/>
                <w:szCs w:val="24"/>
              </w:rPr>
              <w:t xml:space="preserve">25,048,628.00 </w:t>
            </w:r>
          </w:p>
        </w:tc>
      </w:tr>
      <w:tr w:rsidR="00C57301">
        <w:trPr>
          <w:trHeight w:val="270"/>
        </w:trPr>
        <w:tc>
          <w:tcPr>
            <w:tcW w:w="5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7301" w:rsidRDefault="00720B68">
            <w:pPr>
              <w:spacing w:line="360" w:lineRule="auto"/>
              <w:rPr>
                <w:rFonts w:ascii="Times New Roman" w:hAnsi="Times New Roman"/>
                <w:sz w:val="24"/>
                <w:szCs w:val="24"/>
              </w:rPr>
            </w:pPr>
            <w:r>
              <w:rPr>
                <w:rFonts w:ascii="Times New Roman" w:hAnsi="Times New Roman" w:hint="eastAsia"/>
                <w:sz w:val="24"/>
                <w:szCs w:val="24"/>
              </w:rPr>
              <w:t>富国蓝筹精选股票型证券投资基金（</w:t>
            </w:r>
            <w:r>
              <w:rPr>
                <w:rFonts w:ascii="Times New Roman" w:hAnsi="Times New Roman" w:hint="eastAsia"/>
                <w:sz w:val="24"/>
                <w:szCs w:val="24"/>
              </w:rPr>
              <w:t>QDII</w:t>
            </w:r>
            <w:r>
              <w:rPr>
                <w:rFonts w:ascii="Times New Roman" w:hAnsi="Times New Roman" w:hint="eastAsia"/>
                <w:sz w:val="24"/>
                <w:szCs w:val="24"/>
              </w:rPr>
              <w:t>）</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7301" w:rsidRDefault="00720B68">
            <w:pPr>
              <w:spacing w:line="360" w:lineRule="auto"/>
              <w:rPr>
                <w:rFonts w:ascii="Times New Roman" w:hAnsi="Times New Roman"/>
                <w:sz w:val="24"/>
                <w:szCs w:val="24"/>
              </w:rPr>
            </w:pPr>
            <w:r>
              <w:rPr>
                <w:rFonts w:ascii="Times New Roman" w:hAnsi="Times New Roman" w:hint="eastAsia"/>
                <w:sz w:val="24"/>
                <w:szCs w:val="24"/>
              </w:rPr>
              <w:t xml:space="preserve">458,000.00 </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7301" w:rsidRDefault="00720B68">
            <w:pPr>
              <w:spacing w:line="360" w:lineRule="auto"/>
              <w:rPr>
                <w:rFonts w:ascii="Times New Roman" w:hAnsi="Times New Roman"/>
                <w:sz w:val="24"/>
                <w:szCs w:val="24"/>
              </w:rPr>
            </w:pPr>
            <w:r>
              <w:rPr>
                <w:rFonts w:ascii="Times New Roman" w:hAnsi="Times New Roman" w:hint="eastAsia"/>
                <w:sz w:val="24"/>
                <w:szCs w:val="24"/>
              </w:rPr>
              <w:t xml:space="preserve">18,265,040.00 </w:t>
            </w:r>
          </w:p>
        </w:tc>
      </w:tr>
      <w:tr w:rsidR="00C57301">
        <w:trPr>
          <w:trHeight w:val="270"/>
        </w:trPr>
        <w:tc>
          <w:tcPr>
            <w:tcW w:w="5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7301" w:rsidRDefault="00720B68">
            <w:pPr>
              <w:spacing w:line="360" w:lineRule="auto"/>
              <w:rPr>
                <w:rFonts w:ascii="Times New Roman" w:hAnsi="Times New Roman"/>
                <w:sz w:val="24"/>
                <w:szCs w:val="24"/>
              </w:rPr>
            </w:pPr>
            <w:r>
              <w:rPr>
                <w:rFonts w:ascii="Times New Roman" w:hAnsi="Times New Roman" w:hint="eastAsia"/>
                <w:sz w:val="24"/>
                <w:szCs w:val="24"/>
              </w:rPr>
              <w:t>富国红利精选混合型证券投资基金（</w:t>
            </w:r>
            <w:r>
              <w:rPr>
                <w:rFonts w:ascii="Times New Roman" w:hAnsi="Times New Roman" w:hint="eastAsia"/>
                <w:sz w:val="24"/>
                <w:szCs w:val="24"/>
              </w:rPr>
              <w:t>QDII</w:t>
            </w:r>
            <w:r>
              <w:rPr>
                <w:rFonts w:ascii="Times New Roman" w:hAnsi="Times New Roman" w:hint="eastAsia"/>
                <w:sz w:val="24"/>
                <w:szCs w:val="24"/>
              </w:rPr>
              <w:t>）</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7301" w:rsidRDefault="00720B68">
            <w:pPr>
              <w:spacing w:line="360" w:lineRule="auto"/>
              <w:rPr>
                <w:rFonts w:ascii="Times New Roman" w:hAnsi="Times New Roman"/>
                <w:sz w:val="24"/>
                <w:szCs w:val="24"/>
              </w:rPr>
            </w:pPr>
            <w:r>
              <w:rPr>
                <w:rFonts w:ascii="Times New Roman" w:hAnsi="Times New Roman" w:hint="eastAsia"/>
                <w:sz w:val="24"/>
                <w:szCs w:val="24"/>
              </w:rPr>
              <w:t xml:space="preserve">170,000.00 </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7301" w:rsidRDefault="00720B68">
            <w:pPr>
              <w:spacing w:line="360" w:lineRule="auto"/>
              <w:rPr>
                <w:rFonts w:ascii="Times New Roman" w:hAnsi="Times New Roman"/>
                <w:sz w:val="24"/>
                <w:szCs w:val="24"/>
              </w:rPr>
            </w:pPr>
            <w:r>
              <w:rPr>
                <w:rFonts w:ascii="Times New Roman" w:hAnsi="Times New Roman" w:hint="eastAsia"/>
                <w:sz w:val="24"/>
                <w:szCs w:val="24"/>
              </w:rPr>
              <w:t xml:space="preserve">6,779,600.00 </w:t>
            </w:r>
          </w:p>
        </w:tc>
      </w:tr>
      <w:tr w:rsidR="00C57301">
        <w:trPr>
          <w:trHeight w:val="270"/>
        </w:trPr>
        <w:tc>
          <w:tcPr>
            <w:tcW w:w="5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7301" w:rsidRDefault="00720B68">
            <w:pPr>
              <w:spacing w:line="360" w:lineRule="auto"/>
              <w:rPr>
                <w:rFonts w:ascii="Times New Roman" w:hAnsi="Times New Roman"/>
                <w:sz w:val="24"/>
                <w:szCs w:val="24"/>
              </w:rPr>
            </w:pPr>
            <w:r>
              <w:rPr>
                <w:rFonts w:ascii="Times New Roman" w:hAnsi="Times New Roman" w:hint="eastAsia"/>
                <w:sz w:val="24"/>
                <w:szCs w:val="24"/>
              </w:rPr>
              <w:t>富国全球消费精选混合型证券投资基金（</w:t>
            </w:r>
            <w:r>
              <w:rPr>
                <w:rFonts w:ascii="Times New Roman" w:hAnsi="Times New Roman" w:hint="eastAsia"/>
                <w:sz w:val="24"/>
                <w:szCs w:val="24"/>
              </w:rPr>
              <w:t>QDII</w:t>
            </w:r>
            <w:r>
              <w:rPr>
                <w:rFonts w:ascii="Times New Roman" w:hAnsi="Times New Roman" w:hint="eastAsia"/>
                <w:sz w:val="24"/>
                <w:szCs w:val="24"/>
              </w:rPr>
              <w:t>）</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7301" w:rsidRDefault="00720B68">
            <w:pPr>
              <w:spacing w:line="360" w:lineRule="auto"/>
              <w:rPr>
                <w:rFonts w:ascii="Times New Roman" w:hAnsi="Times New Roman"/>
                <w:sz w:val="24"/>
                <w:szCs w:val="24"/>
              </w:rPr>
            </w:pPr>
            <w:r>
              <w:rPr>
                <w:rFonts w:ascii="Times New Roman" w:hAnsi="Times New Roman" w:hint="eastAsia"/>
                <w:sz w:val="24"/>
                <w:szCs w:val="24"/>
              </w:rPr>
              <w:t xml:space="preserve">157,100.00 </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7301" w:rsidRDefault="00720B68">
            <w:pPr>
              <w:spacing w:line="360" w:lineRule="auto"/>
              <w:rPr>
                <w:rFonts w:ascii="Times New Roman" w:hAnsi="Times New Roman"/>
                <w:sz w:val="24"/>
                <w:szCs w:val="24"/>
              </w:rPr>
            </w:pPr>
            <w:r>
              <w:rPr>
                <w:rFonts w:ascii="Times New Roman" w:hAnsi="Times New Roman" w:hint="eastAsia"/>
                <w:sz w:val="24"/>
                <w:szCs w:val="24"/>
              </w:rPr>
              <w:t xml:space="preserve">6,265,148.00 </w:t>
            </w:r>
          </w:p>
        </w:tc>
      </w:tr>
    </w:tbl>
    <w:p w:rsidR="00C57301" w:rsidRDefault="00C57301">
      <w:pPr>
        <w:spacing w:line="360" w:lineRule="auto"/>
        <w:ind w:firstLineChars="200" w:firstLine="480"/>
        <w:rPr>
          <w:rFonts w:ascii="Times New Roman" w:hAnsi="Times New Roman"/>
          <w:sz w:val="24"/>
          <w:szCs w:val="24"/>
        </w:rPr>
      </w:pPr>
    </w:p>
    <w:p w:rsidR="00C57301" w:rsidRDefault="00720B68">
      <w:pPr>
        <w:spacing w:before="100" w:beforeAutospacing="1" w:after="100" w:afterAutospacing="1" w:line="360" w:lineRule="auto"/>
        <w:rPr>
          <w:rFonts w:ascii="Times New Roman" w:hAnsi="Times New Roman"/>
          <w:sz w:val="24"/>
          <w:szCs w:val="24"/>
        </w:rPr>
      </w:pPr>
      <w:r>
        <w:rPr>
          <w:rFonts w:ascii="Times New Roman" w:hAnsi="Times New Roman" w:hint="eastAsia"/>
          <w:sz w:val="24"/>
          <w:szCs w:val="24"/>
        </w:rPr>
        <w:t>如有疑问，投资者可拨打本公司客户服务电话或登陆相关网址进行咨询</w:t>
      </w:r>
      <w:bookmarkStart w:id="0" w:name="_GoBack"/>
      <w:bookmarkEnd w:id="0"/>
      <w:r>
        <w:rPr>
          <w:rFonts w:ascii="Times New Roman" w:hAnsi="Times New Roman" w:hint="eastAsia"/>
          <w:sz w:val="24"/>
          <w:szCs w:val="24"/>
        </w:rPr>
        <w:t>，客户服务热线：</w:t>
      </w:r>
      <w:r>
        <w:rPr>
          <w:rFonts w:ascii="Times New Roman" w:hAnsi="Times New Roman" w:hint="eastAsia"/>
          <w:sz w:val="24"/>
          <w:szCs w:val="24"/>
        </w:rPr>
        <w:t>95105686</w:t>
      </w:r>
      <w:r>
        <w:rPr>
          <w:rFonts w:ascii="Times New Roman" w:hAnsi="Times New Roman" w:hint="eastAsia"/>
          <w:sz w:val="24"/>
          <w:szCs w:val="24"/>
        </w:rPr>
        <w:t>，</w:t>
      </w:r>
      <w:r>
        <w:rPr>
          <w:rFonts w:ascii="Times New Roman" w:hAnsi="Times New Roman" w:hint="eastAsia"/>
          <w:sz w:val="24"/>
          <w:szCs w:val="24"/>
        </w:rPr>
        <w:t>4008880688</w:t>
      </w:r>
      <w:r>
        <w:rPr>
          <w:rFonts w:ascii="Times New Roman" w:hAnsi="Times New Roman" w:hint="eastAsia"/>
          <w:sz w:val="24"/>
          <w:szCs w:val="24"/>
        </w:rPr>
        <w:t>（全国统一，均免长途话费），公司网址：</w:t>
      </w:r>
      <w:r>
        <w:rPr>
          <w:rFonts w:ascii="Times New Roman" w:hAnsi="Times New Roman" w:hint="eastAsia"/>
          <w:sz w:val="24"/>
          <w:szCs w:val="24"/>
        </w:rPr>
        <w:t>www.fullgoal.com.cn</w:t>
      </w:r>
      <w:r>
        <w:rPr>
          <w:rFonts w:ascii="Times New Roman" w:hAnsi="Times New Roman" w:hint="eastAsia"/>
          <w:sz w:val="24"/>
          <w:szCs w:val="24"/>
        </w:rPr>
        <w:t>。</w:t>
      </w:r>
    </w:p>
    <w:p w:rsidR="00C57301" w:rsidRDefault="00720B68">
      <w:pPr>
        <w:spacing w:line="360" w:lineRule="auto"/>
        <w:ind w:firstLineChars="200" w:firstLine="480"/>
        <w:rPr>
          <w:rFonts w:ascii="Times New Roman" w:hAnsi="Times New Roman"/>
          <w:sz w:val="24"/>
          <w:szCs w:val="24"/>
        </w:rPr>
      </w:pPr>
      <w:r>
        <w:rPr>
          <w:rFonts w:ascii="Times New Roman" w:hAnsi="Times New Roman" w:hint="eastAsia"/>
          <w:sz w:val="24"/>
          <w:szCs w:val="24"/>
        </w:rPr>
        <w:t>风险提示：</w:t>
      </w:r>
    </w:p>
    <w:p w:rsidR="00C57301" w:rsidRDefault="00720B68">
      <w:pPr>
        <w:spacing w:line="360" w:lineRule="auto"/>
        <w:ind w:firstLineChars="200" w:firstLine="480"/>
        <w:rPr>
          <w:rFonts w:ascii="Times New Roman" w:hAnsi="Times New Roman"/>
          <w:sz w:val="24"/>
          <w:szCs w:val="24"/>
        </w:rPr>
      </w:pPr>
      <w:r>
        <w:rPr>
          <w:rFonts w:ascii="Times New Roman" w:hAnsi="Times New Roman" w:hint="eastAsia"/>
          <w:sz w:val="24"/>
          <w:szCs w:val="24"/>
        </w:rPr>
        <w:t>基金管理人承诺以诚实信用、勤勉尽责的原则管理和运用基金财产，但不保证基金一定盈利，也不保证最低收益。敬请投资者注意投资风险。投资者投资于相应基金前应认真阅读基金的基金合同和招募说明书等相关法律文件。</w:t>
      </w:r>
    </w:p>
    <w:p w:rsidR="00C57301" w:rsidRDefault="00720B68">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特此公告。</w:t>
      </w:r>
    </w:p>
    <w:p w:rsidR="00C57301" w:rsidRDefault="00C57301">
      <w:pPr>
        <w:spacing w:line="360" w:lineRule="auto"/>
        <w:ind w:firstLineChars="200" w:firstLine="480"/>
        <w:rPr>
          <w:rFonts w:ascii="Times New Roman" w:hAnsi="Times New Roman"/>
          <w:sz w:val="24"/>
          <w:szCs w:val="24"/>
        </w:rPr>
      </w:pPr>
    </w:p>
    <w:p w:rsidR="00C57301" w:rsidRDefault="00720B68">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富国基金管理有限公司</w:t>
      </w:r>
    </w:p>
    <w:p w:rsidR="00C57301" w:rsidRDefault="00720B68">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202</w:t>
      </w:r>
      <w:r>
        <w:rPr>
          <w:rFonts w:ascii="Times New Roman" w:hAnsi="Times New Roman" w:hint="eastAsia"/>
          <w:sz w:val="24"/>
          <w:szCs w:val="24"/>
        </w:rPr>
        <w:t>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17</w:t>
      </w:r>
      <w:r>
        <w:rPr>
          <w:rFonts w:ascii="Times New Roman" w:hAnsi="Times New Roman" w:hint="eastAsia"/>
          <w:sz w:val="24"/>
          <w:szCs w:val="24"/>
        </w:rPr>
        <w:t>日</w:t>
      </w:r>
    </w:p>
    <w:sectPr w:rsidR="00C57301" w:rsidSect="00C5730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E671A1"/>
    <w:rsid w:val="000052E1"/>
    <w:rsid w:val="00005A8B"/>
    <w:rsid w:val="0001793D"/>
    <w:rsid w:val="0002398C"/>
    <w:rsid w:val="00075E7E"/>
    <w:rsid w:val="00096346"/>
    <w:rsid w:val="000F3C75"/>
    <w:rsid w:val="00121DBF"/>
    <w:rsid w:val="00172866"/>
    <w:rsid w:val="00176524"/>
    <w:rsid w:val="001F2308"/>
    <w:rsid w:val="00261B58"/>
    <w:rsid w:val="00265535"/>
    <w:rsid w:val="00276541"/>
    <w:rsid w:val="00280D3B"/>
    <w:rsid w:val="002B1EBD"/>
    <w:rsid w:val="002C73B2"/>
    <w:rsid w:val="002D62F6"/>
    <w:rsid w:val="00313E1D"/>
    <w:rsid w:val="003274A1"/>
    <w:rsid w:val="00340F33"/>
    <w:rsid w:val="0034494E"/>
    <w:rsid w:val="00354E6F"/>
    <w:rsid w:val="003E7657"/>
    <w:rsid w:val="004C16C6"/>
    <w:rsid w:val="004E29B3"/>
    <w:rsid w:val="004F08A8"/>
    <w:rsid w:val="00500004"/>
    <w:rsid w:val="00502B9F"/>
    <w:rsid w:val="005446D2"/>
    <w:rsid w:val="00547CAA"/>
    <w:rsid w:val="00561B8E"/>
    <w:rsid w:val="0056262C"/>
    <w:rsid w:val="00594D88"/>
    <w:rsid w:val="005E2BD7"/>
    <w:rsid w:val="005E3FE8"/>
    <w:rsid w:val="0063778C"/>
    <w:rsid w:val="00643B53"/>
    <w:rsid w:val="00693EB5"/>
    <w:rsid w:val="006A3BDD"/>
    <w:rsid w:val="006E2EB3"/>
    <w:rsid w:val="006E60CA"/>
    <w:rsid w:val="00700222"/>
    <w:rsid w:val="007015C8"/>
    <w:rsid w:val="00710E9F"/>
    <w:rsid w:val="00720B68"/>
    <w:rsid w:val="00794FBA"/>
    <w:rsid w:val="007B0863"/>
    <w:rsid w:val="007C2567"/>
    <w:rsid w:val="007D2943"/>
    <w:rsid w:val="007E32A7"/>
    <w:rsid w:val="00810730"/>
    <w:rsid w:val="008E2B87"/>
    <w:rsid w:val="009B28EB"/>
    <w:rsid w:val="00A15474"/>
    <w:rsid w:val="00A33971"/>
    <w:rsid w:val="00A53333"/>
    <w:rsid w:val="00AC3EF5"/>
    <w:rsid w:val="00B33B69"/>
    <w:rsid w:val="00B474EE"/>
    <w:rsid w:val="00B844A5"/>
    <w:rsid w:val="00B97599"/>
    <w:rsid w:val="00BB1490"/>
    <w:rsid w:val="00C5566A"/>
    <w:rsid w:val="00C57301"/>
    <w:rsid w:val="00C90B7E"/>
    <w:rsid w:val="00D039DF"/>
    <w:rsid w:val="00D12E42"/>
    <w:rsid w:val="00D15506"/>
    <w:rsid w:val="00D4639F"/>
    <w:rsid w:val="00D602B7"/>
    <w:rsid w:val="00D655B5"/>
    <w:rsid w:val="00D7154F"/>
    <w:rsid w:val="00DD21CF"/>
    <w:rsid w:val="00E516C0"/>
    <w:rsid w:val="00E66DA8"/>
    <w:rsid w:val="00E671A1"/>
    <w:rsid w:val="00E97C46"/>
    <w:rsid w:val="00EF6237"/>
    <w:rsid w:val="00F40C1D"/>
    <w:rsid w:val="00F90878"/>
    <w:rsid w:val="00F97831"/>
    <w:rsid w:val="123B3362"/>
    <w:rsid w:val="19BC6ED5"/>
    <w:rsid w:val="20EE11C8"/>
    <w:rsid w:val="217B5F44"/>
    <w:rsid w:val="24183744"/>
    <w:rsid w:val="32207CC0"/>
    <w:rsid w:val="3A164267"/>
    <w:rsid w:val="3D2D446F"/>
    <w:rsid w:val="3E7362FC"/>
    <w:rsid w:val="3E9C5FB4"/>
    <w:rsid w:val="45177D1A"/>
    <w:rsid w:val="45F07076"/>
    <w:rsid w:val="49AB29BB"/>
    <w:rsid w:val="4A8667A8"/>
    <w:rsid w:val="5E8B602A"/>
    <w:rsid w:val="6C8B11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30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57301"/>
    <w:pPr>
      <w:jc w:val="left"/>
    </w:pPr>
  </w:style>
  <w:style w:type="paragraph" w:styleId="a4">
    <w:name w:val="Balloon Text"/>
    <w:basedOn w:val="a"/>
    <w:link w:val="Char0"/>
    <w:uiPriority w:val="99"/>
    <w:semiHidden/>
    <w:unhideWhenUsed/>
    <w:qFormat/>
    <w:rsid w:val="00C57301"/>
    <w:rPr>
      <w:sz w:val="18"/>
      <w:szCs w:val="18"/>
    </w:rPr>
  </w:style>
  <w:style w:type="paragraph" w:styleId="a5">
    <w:name w:val="footer"/>
    <w:basedOn w:val="a"/>
    <w:link w:val="Char1"/>
    <w:uiPriority w:val="99"/>
    <w:unhideWhenUsed/>
    <w:qFormat/>
    <w:rsid w:val="00C5730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57301"/>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C57301"/>
    <w:rPr>
      <w:b/>
      <w:bCs/>
    </w:rPr>
  </w:style>
  <w:style w:type="table" w:styleId="a8">
    <w:name w:val="Table Grid"/>
    <w:basedOn w:val="a1"/>
    <w:uiPriority w:val="59"/>
    <w:qFormat/>
    <w:rsid w:val="00C573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C57301"/>
    <w:rPr>
      <w:sz w:val="21"/>
      <w:szCs w:val="21"/>
    </w:rPr>
  </w:style>
  <w:style w:type="character" w:customStyle="1" w:styleId="Char2">
    <w:name w:val="页眉 Char"/>
    <w:basedOn w:val="a0"/>
    <w:link w:val="a6"/>
    <w:uiPriority w:val="99"/>
    <w:qFormat/>
    <w:rsid w:val="00C57301"/>
    <w:rPr>
      <w:sz w:val="18"/>
      <w:szCs w:val="18"/>
    </w:rPr>
  </w:style>
  <w:style w:type="character" w:customStyle="1" w:styleId="Char1">
    <w:name w:val="页脚 Char"/>
    <w:basedOn w:val="a0"/>
    <w:link w:val="a5"/>
    <w:uiPriority w:val="99"/>
    <w:qFormat/>
    <w:rsid w:val="00C57301"/>
    <w:rPr>
      <w:sz w:val="18"/>
      <w:szCs w:val="18"/>
    </w:rPr>
  </w:style>
  <w:style w:type="character" w:customStyle="1" w:styleId="Char">
    <w:name w:val="批注文字 Char"/>
    <w:basedOn w:val="a0"/>
    <w:link w:val="a3"/>
    <w:uiPriority w:val="99"/>
    <w:semiHidden/>
    <w:qFormat/>
    <w:rsid w:val="00C57301"/>
  </w:style>
  <w:style w:type="character" w:customStyle="1" w:styleId="Char3">
    <w:name w:val="批注主题 Char"/>
    <w:basedOn w:val="Char"/>
    <w:link w:val="a7"/>
    <w:uiPriority w:val="99"/>
    <w:semiHidden/>
    <w:qFormat/>
    <w:rsid w:val="00C57301"/>
    <w:rPr>
      <w:b/>
      <w:bCs/>
    </w:rPr>
  </w:style>
  <w:style w:type="character" w:customStyle="1" w:styleId="Char0">
    <w:name w:val="批注框文本 Char"/>
    <w:basedOn w:val="a0"/>
    <w:link w:val="a4"/>
    <w:uiPriority w:val="99"/>
    <w:semiHidden/>
    <w:qFormat/>
    <w:rsid w:val="00C57301"/>
    <w:rPr>
      <w:sz w:val="18"/>
      <w:szCs w:val="18"/>
    </w:rPr>
  </w:style>
  <w:style w:type="paragraph" w:customStyle="1" w:styleId="1">
    <w:name w:val="修订1"/>
    <w:hidden/>
    <w:uiPriority w:val="99"/>
    <w:semiHidden/>
    <w:qFormat/>
    <w:rsid w:val="00C57301"/>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68EA8-EF8E-4BBE-AE4E-FAD46839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715</Characters>
  <Application>Microsoft Office Word</Application>
  <DocSecurity>4</DocSecurity>
  <Lines>5</Lines>
  <Paragraphs>1</Paragraphs>
  <ScaleCrop>false</ScaleCrop>
  <Company>CNSTOCK</Company>
  <LinksUpToDate>false</LinksUpToDate>
  <CharactersWithSpaces>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陶人杰</dc:creator>
  <cp:lastModifiedBy>ZHONGM</cp:lastModifiedBy>
  <cp:revision>2</cp:revision>
  <dcterms:created xsi:type="dcterms:W3CDTF">2026-04-16T16:03:00Z</dcterms:created>
  <dcterms:modified xsi:type="dcterms:W3CDTF">2026-04-16T16:03:00Z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A45D3FC89921430F8FCF210A7735F70F_12</vt:lpwstr>
  </property>
</Properties>
</file>