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35B" w:rsidRDefault="0025435B">
      <w:pPr>
        <w:widowControl w:val="0"/>
        <w:kinsoku/>
        <w:autoSpaceDE/>
        <w:autoSpaceDN/>
        <w:adjustRightInd/>
        <w:snapToGrid/>
        <w:spacing w:line="360" w:lineRule="auto"/>
        <w:jc w:val="center"/>
        <w:textAlignment w:val="auto"/>
        <w:rPr>
          <w:rFonts w:ascii="Times New Roman" w:eastAsia="宋体" w:hAnsi="Times New Roman" w:cs="Times New Roman"/>
          <w:b/>
          <w:bCs/>
          <w:snapToGrid/>
          <w:color w:val="auto"/>
          <w:kern w:val="2"/>
          <w:sz w:val="32"/>
          <w:szCs w:val="32"/>
          <w:lang w:eastAsia="zh-CN"/>
        </w:rPr>
      </w:pPr>
      <w:r>
        <w:rPr>
          <w:rFonts w:ascii="Times New Roman" w:eastAsia="宋体" w:hAnsi="Times New Roman" w:cs="Times New Roman" w:hint="eastAsia"/>
          <w:b/>
          <w:bCs/>
          <w:snapToGrid/>
          <w:color w:val="auto"/>
          <w:kern w:val="2"/>
          <w:sz w:val="32"/>
          <w:szCs w:val="32"/>
          <w:lang w:eastAsia="zh-CN"/>
        </w:rPr>
        <w:t>东吴基金管理有限公司关于旗下部分公募基金</w:t>
      </w:r>
    </w:p>
    <w:p w:rsidR="00D85E50" w:rsidRDefault="0025435B">
      <w:pPr>
        <w:widowControl w:val="0"/>
        <w:kinsoku/>
        <w:autoSpaceDE/>
        <w:autoSpaceDN/>
        <w:adjustRightInd/>
        <w:snapToGrid/>
        <w:spacing w:line="360" w:lineRule="auto"/>
        <w:jc w:val="center"/>
        <w:textAlignment w:val="auto"/>
        <w:rPr>
          <w:rFonts w:ascii="Times New Roman" w:eastAsia="宋体" w:hAnsi="Times New Roman" w:cs="Times New Roman"/>
          <w:b/>
          <w:bCs/>
          <w:snapToGrid/>
          <w:color w:val="auto"/>
          <w:kern w:val="2"/>
          <w:sz w:val="32"/>
          <w:szCs w:val="32"/>
          <w:lang w:eastAsia="zh-CN"/>
        </w:rPr>
      </w:pPr>
      <w:r>
        <w:rPr>
          <w:rFonts w:ascii="Times New Roman" w:eastAsia="宋体" w:hAnsi="Times New Roman" w:cs="Times New Roman" w:hint="eastAsia"/>
          <w:b/>
          <w:bCs/>
          <w:snapToGrid/>
          <w:color w:val="auto"/>
          <w:kern w:val="2"/>
          <w:sz w:val="32"/>
          <w:szCs w:val="32"/>
          <w:lang w:eastAsia="zh-CN"/>
        </w:rPr>
        <w:t>产品风险等级变动的公告</w:t>
      </w:r>
      <w:bookmarkStart w:id="0" w:name="_GoBack"/>
      <w:bookmarkEnd w:id="0"/>
    </w:p>
    <w:p w:rsidR="00D85E50" w:rsidRDefault="0025435B">
      <w:pPr>
        <w:spacing w:line="360" w:lineRule="auto"/>
        <w:ind w:firstLineChars="200" w:firstLine="580"/>
        <w:jc w:val="both"/>
        <w:rPr>
          <w:rFonts w:ascii="仿宋" w:eastAsia="仿宋" w:hAnsi="仿宋" w:cs="仿宋"/>
          <w:spacing w:val="10"/>
          <w:sz w:val="27"/>
          <w:szCs w:val="27"/>
          <w:lang w:eastAsia="zh-CN"/>
        </w:rPr>
      </w:pPr>
      <w:r>
        <w:rPr>
          <w:rFonts w:ascii="仿宋" w:eastAsia="仿宋" w:hAnsi="仿宋" w:cs="仿宋" w:hint="eastAsia"/>
          <w:spacing w:val="10"/>
          <w:sz w:val="27"/>
          <w:szCs w:val="27"/>
          <w:lang w:eastAsia="zh-CN"/>
        </w:rPr>
        <w:t>根据《中华人民共和国证券投资基金法》《证券投资基金销售适用性指导意见》《证券期货投资者适当性管理办法》《基金募集机构投资者适当性管理实施指引（试行）》《东吴基金管理有限公司产品风险等级评价办法》及其他相关法律法规的有关规定，为做好投资者适当性管理安排，东吴基金管理有限公司对旗下公募基金进行了产品风险等级重新评估，调整了部分基金的风险等级（详见下表），调整后的风险等级自</w:t>
      </w:r>
      <w:r>
        <w:rPr>
          <w:rFonts w:ascii="仿宋" w:eastAsia="仿宋" w:hAnsi="仿宋" w:cs="仿宋"/>
          <w:spacing w:val="10"/>
          <w:sz w:val="27"/>
          <w:szCs w:val="27"/>
          <w:lang w:eastAsia="zh-CN"/>
        </w:rPr>
        <w:t>2026</w:t>
      </w:r>
      <w:r>
        <w:rPr>
          <w:rFonts w:ascii="仿宋" w:eastAsia="仿宋" w:hAnsi="仿宋" w:cs="仿宋" w:hint="eastAsia"/>
          <w:spacing w:val="10"/>
          <w:sz w:val="27"/>
          <w:szCs w:val="27"/>
          <w:lang w:eastAsia="zh-CN"/>
        </w:rPr>
        <w:t>年</w:t>
      </w:r>
      <w:r>
        <w:rPr>
          <w:rFonts w:ascii="仿宋" w:eastAsia="仿宋" w:hAnsi="仿宋" w:cs="仿宋"/>
          <w:spacing w:val="10"/>
          <w:sz w:val="27"/>
          <w:szCs w:val="27"/>
          <w:lang w:eastAsia="zh-CN"/>
        </w:rPr>
        <w:t>4</w:t>
      </w:r>
      <w:r>
        <w:rPr>
          <w:rFonts w:ascii="仿宋" w:eastAsia="仿宋" w:hAnsi="仿宋" w:cs="仿宋" w:hint="eastAsia"/>
          <w:spacing w:val="10"/>
          <w:sz w:val="27"/>
          <w:szCs w:val="27"/>
          <w:lang w:eastAsia="zh-CN"/>
        </w:rPr>
        <w:t>月</w:t>
      </w:r>
      <w:r>
        <w:rPr>
          <w:rFonts w:ascii="仿宋" w:eastAsia="仿宋" w:hAnsi="仿宋" w:cs="仿宋"/>
          <w:spacing w:val="10"/>
          <w:sz w:val="27"/>
          <w:szCs w:val="27"/>
          <w:lang w:eastAsia="zh-CN"/>
        </w:rPr>
        <w:t>27</w:t>
      </w:r>
      <w:r>
        <w:rPr>
          <w:rFonts w:ascii="仿宋" w:eastAsia="仿宋" w:hAnsi="仿宋" w:cs="仿宋" w:hint="eastAsia"/>
          <w:spacing w:val="10"/>
          <w:sz w:val="27"/>
          <w:szCs w:val="27"/>
          <w:lang w:eastAsia="zh-CN"/>
        </w:rPr>
        <w:t>日起开始执行。敬请广大投资者关注基金产品风险等级的变化以及对投资者决策带来的影响。</w:t>
      </w:r>
    </w:p>
    <w:p w:rsidR="00D85E50" w:rsidRDefault="0025435B">
      <w:pPr>
        <w:spacing w:line="360" w:lineRule="auto"/>
        <w:ind w:firstLineChars="200" w:firstLine="580"/>
        <w:jc w:val="both"/>
        <w:rPr>
          <w:rFonts w:ascii="仿宋" w:eastAsia="仿宋" w:hAnsi="仿宋" w:cs="仿宋"/>
          <w:spacing w:val="10"/>
          <w:sz w:val="27"/>
          <w:szCs w:val="27"/>
          <w:lang w:eastAsia="zh-CN"/>
        </w:rPr>
      </w:pPr>
      <w:r>
        <w:rPr>
          <w:rFonts w:ascii="仿宋" w:eastAsia="仿宋" w:hAnsi="仿宋" w:cs="仿宋" w:hint="eastAsia"/>
          <w:spacing w:val="10"/>
          <w:sz w:val="27"/>
          <w:szCs w:val="27"/>
          <w:lang w:eastAsia="zh-CN"/>
        </w:rPr>
        <w:t>本公司旗下的公募基金产品，根据风险水平从低到高划分为五个等级：</w:t>
      </w:r>
      <w:r>
        <w:rPr>
          <w:rFonts w:ascii="仿宋" w:eastAsia="仿宋" w:hAnsi="仿宋" w:cs="仿宋"/>
          <w:spacing w:val="10"/>
          <w:sz w:val="27"/>
          <w:szCs w:val="27"/>
          <w:lang w:eastAsia="zh-CN"/>
        </w:rPr>
        <w:t>R1</w:t>
      </w:r>
      <w:r>
        <w:rPr>
          <w:rFonts w:ascii="仿宋" w:eastAsia="仿宋" w:hAnsi="仿宋" w:cs="仿宋" w:hint="eastAsia"/>
          <w:spacing w:val="10"/>
          <w:sz w:val="27"/>
          <w:szCs w:val="27"/>
          <w:lang w:eastAsia="zh-CN"/>
        </w:rPr>
        <w:t>（低风险）、</w:t>
      </w:r>
      <w:r>
        <w:rPr>
          <w:rFonts w:ascii="仿宋" w:eastAsia="仿宋" w:hAnsi="仿宋" w:cs="仿宋"/>
          <w:spacing w:val="10"/>
          <w:sz w:val="27"/>
          <w:szCs w:val="27"/>
          <w:lang w:eastAsia="zh-CN"/>
        </w:rPr>
        <w:t>R2</w:t>
      </w:r>
      <w:r>
        <w:rPr>
          <w:rFonts w:ascii="仿宋" w:eastAsia="仿宋" w:hAnsi="仿宋" w:cs="仿宋" w:hint="eastAsia"/>
          <w:spacing w:val="10"/>
          <w:sz w:val="27"/>
          <w:szCs w:val="27"/>
          <w:lang w:eastAsia="zh-CN"/>
        </w:rPr>
        <w:t>（中低风险）、</w:t>
      </w:r>
      <w:r>
        <w:rPr>
          <w:rFonts w:ascii="仿宋" w:eastAsia="仿宋" w:hAnsi="仿宋" w:cs="仿宋"/>
          <w:spacing w:val="10"/>
          <w:sz w:val="27"/>
          <w:szCs w:val="27"/>
          <w:lang w:eastAsia="zh-CN"/>
        </w:rPr>
        <w:t>R3</w:t>
      </w:r>
      <w:r>
        <w:rPr>
          <w:rFonts w:ascii="仿宋" w:eastAsia="仿宋" w:hAnsi="仿宋" w:cs="仿宋" w:hint="eastAsia"/>
          <w:spacing w:val="10"/>
          <w:sz w:val="27"/>
          <w:szCs w:val="27"/>
          <w:lang w:eastAsia="zh-CN"/>
        </w:rPr>
        <w:t>（中风险）、</w:t>
      </w:r>
      <w:r>
        <w:rPr>
          <w:rFonts w:ascii="仿宋" w:eastAsia="仿宋" w:hAnsi="仿宋" w:cs="仿宋"/>
          <w:spacing w:val="10"/>
          <w:sz w:val="27"/>
          <w:szCs w:val="27"/>
          <w:lang w:eastAsia="zh-CN"/>
        </w:rPr>
        <w:t>R4</w:t>
      </w:r>
      <w:r>
        <w:rPr>
          <w:rFonts w:ascii="仿宋" w:eastAsia="仿宋" w:hAnsi="仿宋" w:cs="仿宋" w:hint="eastAsia"/>
          <w:spacing w:val="10"/>
          <w:sz w:val="27"/>
          <w:szCs w:val="27"/>
          <w:lang w:eastAsia="zh-CN"/>
        </w:rPr>
        <w:t>（中高风险）和</w:t>
      </w:r>
      <w:r>
        <w:rPr>
          <w:rFonts w:ascii="仿宋" w:eastAsia="仿宋" w:hAnsi="仿宋" w:cs="仿宋"/>
          <w:spacing w:val="10"/>
          <w:sz w:val="27"/>
          <w:szCs w:val="27"/>
          <w:lang w:eastAsia="zh-CN"/>
        </w:rPr>
        <w:t>R5</w:t>
      </w:r>
      <w:r>
        <w:rPr>
          <w:rFonts w:ascii="仿宋" w:eastAsia="仿宋" w:hAnsi="仿宋" w:cs="仿宋" w:hint="eastAsia"/>
          <w:spacing w:val="10"/>
          <w:sz w:val="27"/>
          <w:szCs w:val="27"/>
          <w:lang w:eastAsia="zh-CN"/>
        </w:rPr>
        <w:t>（高风险）。</w:t>
      </w:r>
    </w:p>
    <w:tbl>
      <w:tblPr>
        <w:tblW w:w="8518" w:type="dxa"/>
        <w:jc w:val="center"/>
        <w:tblLook w:val="04A0"/>
      </w:tblPr>
      <w:tblGrid>
        <w:gridCol w:w="1561"/>
        <w:gridCol w:w="3563"/>
        <w:gridCol w:w="1697"/>
        <w:gridCol w:w="1697"/>
      </w:tblGrid>
      <w:tr w:rsidR="00D85E50">
        <w:trPr>
          <w:tblHeader/>
          <w:jc w:val="center"/>
        </w:trPr>
        <w:tc>
          <w:tcPr>
            <w:tcW w:w="0" w:type="auto"/>
            <w:vMerge w:val="restart"/>
            <w:tcBorders>
              <w:top w:val="single" w:sz="12" w:space="0" w:color="auto"/>
              <w:left w:val="single" w:sz="12"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b/>
                <w:bCs/>
                <w:sz w:val="20"/>
                <w:szCs w:val="20"/>
              </w:rPr>
            </w:pPr>
            <w:r>
              <w:rPr>
                <w:rFonts w:ascii="仿宋" w:eastAsia="仿宋" w:hAnsi="仿宋" w:cs="仿宋" w:hint="eastAsia"/>
                <w:b/>
                <w:bCs/>
                <w:sz w:val="20"/>
                <w:szCs w:val="20"/>
                <w:lang w:eastAsia="zh-CN"/>
              </w:rPr>
              <w:t>产品代码</w:t>
            </w:r>
          </w:p>
        </w:tc>
        <w:tc>
          <w:tcPr>
            <w:tcW w:w="0" w:type="auto"/>
            <w:vMerge w:val="restart"/>
            <w:tcBorders>
              <w:top w:val="single" w:sz="12" w:space="0" w:color="auto"/>
              <w:left w:val="single" w:sz="4"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b/>
                <w:bCs/>
                <w:sz w:val="20"/>
                <w:szCs w:val="20"/>
              </w:rPr>
            </w:pPr>
            <w:r>
              <w:rPr>
                <w:rFonts w:ascii="仿宋" w:eastAsia="仿宋" w:hAnsi="仿宋" w:cs="仿宋" w:hint="eastAsia"/>
                <w:b/>
                <w:bCs/>
                <w:sz w:val="20"/>
                <w:szCs w:val="20"/>
                <w:lang w:eastAsia="zh-CN"/>
              </w:rPr>
              <w:t>产品简称</w:t>
            </w:r>
          </w:p>
        </w:tc>
        <w:tc>
          <w:tcPr>
            <w:tcW w:w="0" w:type="auto"/>
            <w:tcBorders>
              <w:top w:val="single" w:sz="12" w:space="0" w:color="auto"/>
              <w:left w:val="single" w:sz="4"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b/>
                <w:bCs/>
                <w:sz w:val="20"/>
                <w:szCs w:val="20"/>
              </w:rPr>
            </w:pPr>
            <w:r>
              <w:rPr>
                <w:rFonts w:ascii="仿宋" w:eastAsia="仿宋" w:hAnsi="仿宋" w:cs="仿宋" w:hint="eastAsia"/>
                <w:b/>
                <w:bCs/>
                <w:sz w:val="20"/>
                <w:szCs w:val="20"/>
                <w:lang w:eastAsia="zh-CN"/>
              </w:rPr>
              <w:t>风险等级</w:t>
            </w:r>
          </w:p>
        </w:tc>
        <w:tc>
          <w:tcPr>
            <w:tcW w:w="1697" w:type="dxa"/>
            <w:tcBorders>
              <w:top w:val="single" w:sz="12" w:space="0" w:color="auto"/>
              <w:left w:val="single" w:sz="4" w:space="0" w:color="auto"/>
              <w:bottom w:val="nil"/>
              <w:right w:val="single" w:sz="12" w:space="0" w:color="auto"/>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b/>
                <w:bCs/>
                <w:sz w:val="20"/>
                <w:szCs w:val="20"/>
              </w:rPr>
            </w:pPr>
            <w:r>
              <w:rPr>
                <w:rFonts w:ascii="仿宋" w:eastAsia="仿宋" w:hAnsi="仿宋" w:cs="仿宋" w:hint="eastAsia"/>
                <w:b/>
                <w:bCs/>
                <w:sz w:val="20"/>
                <w:szCs w:val="20"/>
                <w:lang w:eastAsia="zh-CN"/>
              </w:rPr>
              <w:t>风险等级</w:t>
            </w:r>
          </w:p>
        </w:tc>
      </w:tr>
      <w:tr w:rsidR="00D85E50">
        <w:trPr>
          <w:tblHeader/>
          <w:jc w:val="center"/>
        </w:trPr>
        <w:tc>
          <w:tcPr>
            <w:tcW w:w="0" w:type="auto"/>
            <w:vMerge/>
            <w:tcBorders>
              <w:top w:val="single" w:sz="4" w:space="0" w:color="auto"/>
              <w:left w:val="single" w:sz="12" w:space="0" w:color="auto"/>
              <w:bottom w:val="nil"/>
              <w:right w:val="nil"/>
            </w:tcBorders>
            <w:shd w:val="clear" w:color="auto" w:fill="auto"/>
            <w:tcMar>
              <w:top w:w="-1" w:type="dxa"/>
              <w:left w:w="-1" w:type="dxa"/>
              <w:bottom w:w="-1" w:type="dxa"/>
              <w:right w:w="-1" w:type="dxa"/>
            </w:tcMar>
            <w:vAlign w:val="center"/>
          </w:tcPr>
          <w:p w:rsidR="00D85E50" w:rsidRDefault="00D85E50">
            <w:pPr>
              <w:jc w:val="center"/>
              <w:rPr>
                <w:rFonts w:ascii="仿宋" w:eastAsia="仿宋" w:hAnsi="仿宋" w:cs="仿宋"/>
                <w:b/>
                <w:bCs/>
                <w:sz w:val="20"/>
                <w:szCs w:val="20"/>
              </w:rPr>
            </w:pPr>
          </w:p>
        </w:tc>
        <w:tc>
          <w:tcPr>
            <w:tcW w:w="0" w:type="auto"/>
            <w:vMerge/>
            <w:tcBorders>
              <w:top w:val="single" w:sz="4" w:space="0" w:color="auto"/>
              <w:left w:val="single" w:sz="4" w:space="0" w:color="auto"/>
              <w:bottom w:val="nil"/>
              <w:right w:val="nil"/>
            </w:tcBorders>
            <w:shd w:val="clear" w:color="auto" w:fill="auto"/>
            <w:tcMar>
              <w:top w:w="-1" w:type="dxa"/>
              <w:left w:w="-1" w:type="dxa"/>
              <w:bottom w:w="-1" w:type="dxa"/>
              <w:right w:w="-1" w:type="dxa"/>
            </w:tcMar>
            <w:vAlign w:val="center"/>
          </w:tcPr>
          <w:p w:rsidR="00D85E50" w:rsidRDefault="00D85E50">
            <w:pPr>
              <w:jc w:val="center"/>
              <w:rPr>
                <w:rFonts w:ascii="仿宋" w:eastAsia="仿宋" w:hAnsi="仿宋" w:cs="仿宋"/>
                <w:b/>
                <w:bCs/>
                <w:sz w:val="20"/>
                <w:szCs w:val="20"/>
              </w:rPr>
            </w:pPr>
          </w:p>
        </w:tc>
        <w:tc>
          <w:tcPr>
            <w:tcW w:w="0" w:type="auto"/>
            <w:tcBorders>
              <w:top w:val="single" w:sz="4" w:space="0" w:color="auto"/>
              <w:left w:val="single" w:sz="4"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b/>
                <w:bCs/>
                <w:sz w:val="20"/>
                <w:szCs w:val="20"/>
              </w:rPr>
            </w:pPr>
            <w:r>
              <w:rPr>
                <w:rFonts w:ascii="仿宋" w:eastAsia="仿宋" w:hAnsi="仿宋" w:cs="仿宋" w:hint="eastAsia"/>
                <w:b/>
                <w:bCs/>
                <w:sz w:val="20"/>
                <w:szCs w:val="20"/>
                <w:lang w:eastAsia="zh-CN"/>
              </w:rPr>
              <w:t>（调整前）</w:t>
            </w:r>
          </w:p>
        </w:tc>
        <w:tc>
          <w:tcPr>
            <w:tcW w:w="1697" w:type="dxa"/>
            <w:tcBorders>
              <w:top w:val="single" w:sz="4" w:space="0" w:color="auto"/>
              <w:left w:val="single" w:sz="4" w:space="0" w:color="auto"/>
              <w:bottom w:val="nil"/>
              <w:right w:val="single" w:sz="12" w:space="0" w:color="auto"/>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b/>
                <w:bCs/>
                <w:sz w:val="20"/>
                <w:szCs w:val="20"/>
              </w:rPr>
            </w:pPr>
            <w:r>
              <w:rPr>
                <w:rFonts w:ascii="仿宋" w:eastAsia="仿宋" w:hAnsi="仿宋" w:cs="仿宋" w:hint="eastAsia"/>
                <w:b/>
                <w:bCs/>
                <w:sz w:val="20"/>
                <w:szCs w:val="20"/>
                <w:lang w:eastAsia="zh-CN"/>
              </w:rPr>
              <w:t>（调整后）</w:t>
            </w:r>
          </w:p>
        </w:tc>
      </w:tr>
      <w:tr w:rsidR="00D85E50">
        <w:trPr>
          <w:jc w:val="center"/>
        </w:trPr>
        <w:tc>
          <w:tcPr>
            <w:tcW w:w="0" w:type="auto"/>
            <w:tcBorders>
              <w:top w:val="single" w:sz="4" w:space="0" w:color="auto"/>
              <w:left w:val="single" w:sz="12"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Times New Roman" w:cs="Times New Roman"/>
                <w:sz w:val="20"/>
                <w:szCs w:val="20"/>
              </w:rPr>
            </w:pPr>
            <w:r>
              <w:rPr>
                <w:rFonts w:ascii="仿宋" w:eastAsia="仿宋" w:hAnsi="Times New Roman" w:cs="Times New Roman"/>
                <w:sz w:val="20"/>
                <w:szCs w:val="20"/>
                <w:lang w:eastAsia="zh-CN"/>
              </w:rPr>
              <w:t>001323.OF</w:t>
            </w:r>
          </w:p>
        </w:tc>
        <w:tc>
          <w:tcPr>
            <w:tcW w:w="0" w:type="auto"/>
            <w:tcBorders>
              <w:top w:val="single" w:sz="4" w:space="0" w:color="auto"/>
              <w:left w:val="single" w:sz="4"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东吴移动互联混合</w:t>
            </w:r>
            <w:r>
              <w:rPr>
                <w:rStyle w:val="font51"/>
                <w:rFonts w:ascii="仿宋" w:eastAsia="仿宋"/>
                <w:lang w:eastAsia="zh-CN"/>
              </w:rPr>
              <w:t>A</w:t>
            </w:r>
          </w:p>
        </w:tc>
        <w:tc>
          <w:tcPr>
            <w:tcW w:w="0" w:type="auto"/>
            <w:tcBorders>
              <w:top w:val="single" w:sz="4" w:space="0" w:color="auto"/>
              <w:left w:val="single" w:sz="4"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bookmarkStart w:id="1" w:name="RANGE!C3"/>
            <w:r>
              <w:rPr>
                <w:rFonts w:ascii="仿宋" w:eastAsia="仿宋" w:hAnsi="仿宋" w:cs="仿宋" w:hint="eastAsia"/>
                <w:sz w:val="20"/>
                <w:szCs w:val="20"/>
                <w:lang w:eastAsia="zh-CN"/>
              </w:rPr>
              <w:t>中风险</w:t>
            </w:r>
            <w:bookmarkEnd w:id="1"/>
          </w:p>
        </w:tc>
        <w:tc>
          <w:tcPr>
            <w:tcW w:w="1697" w:type="dxa"/>
            <w:tcBorders>
              <w:top w:val="single" w:sz="4" w:space="0" w:color="auto"/>
              <w:left w:val="single" w:sz="4" w:space="0" w:color="auto"/>
              <w:bottom w:val="nil"/>
              <w:right w:val="single" w:sz="12" w:space="0" w:color="auto"/>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中高风险</w:t>
            </w:r>
          </w:p>
        </w:tc>
      </w:tr>
      <w:tr w:rsidR="00D85E50">
        <w:trPr>
          <w:jc w:val="center"/>
        </w:trPr>
        <w:tc>
          <w:tcPr>
            <w:tcW w:w="0" w:type="auto"/>
            <w:tcBorders>
              <w:top w:val="single" w:sz="4" w:space="0" w:color="auto"/>
              <w:left w:val="single" w:sz="12"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Times New Roman" w:cs="Times New Roman"/>
                <w:sz w:val="20"/>
                <w:szCs w:val="20"/>
              </w:rPr>
            </w:pPr>
            <w:r>
              <w:rPr>
                <w:rFonts w:ascii="仿宋" w:eastAsia="仿宋" w:hAnsi="Times New Roman" w:cs="Times New Roman"/>
                <w:sz w:val="20"/>
                <w:szCs w:val="20"/>
                <w:lang w:eastAsia="zh-CN"/>
              </w:rPr>
              <w:t>002170.OF</w:t>
            </w:r>
          </w:p>
        </w:tc>
        <w:tc>
          <w:tcPr>
            <w:tcW w:w="0" w:type="auto"/>
            <w:tcBorders>
              <w:top w:val="single" w:sz="4" w:space="0" w:color="auto"/>
              <w:left w:val="single" w:sz="4"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东吴移动互联混合</w:t>
            </w:r>
            <w:r>
              <w:rPr>
                <w:rStyle w:val="font51"/>
                <w:rFonts w:ascii="仿宋" w:eastAsia="仿宋"/>
                <w:lang w:eastAsia="zh-CN"/>
              </w:rPr>
              <w:t>C</w:t>
            </w:r>
          </w:p>
        </w:tc>
        <w:tc>
          <w:tcPr>
            <w:tcW w:w="0" w:type="auto"/>
            <w:tcBorders>
              <w:top w:val="single" w:sz="4" w:space="0" w:color="auto"/>
              <w:left w:val="single" w:sz="4"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中风险</w:t>
            </w:r>
          </w:p>
        </w:tc>
        <w:tc>
          <w:tcPr>
            <w:tcW w:w="1697" w:type="dxa"/>
            <w:tcBorders>
              <w:top w:val="single" w:sz="4" w:space="0" w:color="auto"/>
              <w:left w:val="single" w:sz="4" w:space="0" w:color="auto"/>
              <w:bottom w:val="nil"/>
              <w:right w:val="single" w:sz="12" w:space="0" w:color="auto"/>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中高风险</w:t>
            </w:r>
          </w:p>
        </w:tc>
      </w:tr>
      <w:tr w:rsidR="00D85E50">
        <w:trPr>
          <w:jc w:val="center"/>
        </w:trPr>
        <w:tc>
          <w:tcPr>
            <w:tcW w:w="0" w:type="auto"/>
            <w:tcBorders>
              <w:top w:val="single" w:sz="4" w:space="0" w:color="auto"/>
              <w:left w:val="single" w:sz="12"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Times New Roman" w:cs="Times New Roman"/>
                <w:sz w:val="20"/>
                <w:szCs w:val="20"/>
              </w:rPr>
            </w:pPr>
            <w:r>
              <w:rPr>
                <w:rFonts w:ascii="仿宋" w:eastAsia="仿宋" w:hAnsi="Times New Roman" w:cs="Times New Roman"/>
                <w:sz w:val="20"/>
                <w:szCs w:val="20"/>
                <w:lang w:eastAsia="zh-CN"/>
              </w:rPr>
              <w:t>001322.OF</w:t>
            </w:r>
          </w:p>
        </w:tc>
        <w:tc>
          <w:tcPr>
            <w:tcW w:w="0" w:type="auto"/>
            <w:tcBorders>
              <w:top w:val="single" w:sz="4" w:space="0" w:color="auto"/>
              <w:left w:val="single" w:sz="4"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lang w:eastAsia="zh-CN"/>
              </w:rPr>
            </w:pPr>
            <w:r>
              <w:rPr>
                <w:rFonts w:ascii="仿宋" w:eastAsia="仿宋" w:hAnsi="仿宋" w:cs="仿宋" w:hint="eastAsia"/>
                <w:sz w:val="20"/>
                <w:szCs w:val="20"/>
                <w:lang w:eastAsia="zh-CN"/>
              </w:rPr>
              <w:t>东吴新趋势价值线混合</w:t>
            </w:r>
          </w:p>
        </w:tc>
        <w:tc>
          <w:tcPr>
            <w:tcW w:w="0" w:type="auto"/>
            <w:tcBorders>
              <w:top w:val="single" w:sz="4" w:space="0" w:color="auto"/>
              <w:left w:val="single" w:sz="4"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中风险</w:t>
            </w:r>
          </w:p>
        </w:tc>
        <w:tc>
          <w:tcPr>
            <w:tcW w:w="1697" w:type="dxa"/>
            <w:tcBorders>
              <w:top w:val="single" w:sz="4" w:space="0" w:color="auto"/>
              <w:left w:val="single" w:sz="4" w:space="0" w:color="auto"/>
              <w:bottom w:val="nil"/>
              <w:right w:val="single" w:sz="12" w:space="0" w:color="auto"/>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中高风险</w:t>
            </w:r>
          </w:p>
        </w:tc>
      </w:tr>
      <w:tr w:rsidR="00D85E50">
        <w:trPr>
          <w:jc w:val="center"/>
        </w:trPr>
        <w:tc>
          <w:tcPr>
            <w:tcW w:w="0" w:type="auto"/>
            <w:tcBorders>
              <w:top w:val="single" w:sz="4" w:space="0" w:color="auto"/>
              <w:left w:val="single" w:sz="12"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Times New Roman" w:cs="Times New Roman"/>
                <w:sz w:val="20"/>
                <w:szCs w:val="20"/>
              </w:rPr>
            </w:pPr>
            <w:r>
              <w:rPr>
                <w:rFonts w:ascii="仿宋" w:eastAsia="仿宋" w:hAnsi="Times New Roman" w:cs="Times New Roman"/>
                <w:sz w:val="20"/>
                <w:szCs w:val="20"/>
                <w:lang w:eastAsia="zh-CN"/>
              </w:rPr>
              <w:t>580001.OF</w:t>
            </w:r>
          </w:p>
        </w:tc>
        <w:tc>
          <w:tcPr>
            <w:tcW w:w="0" w:type="auto"/>
            <w:tcBorders>
              <w:top w:val="single" w:sz="4" w:space="0" w:color="auto"/>
              <w:left w:val="single" w:sz="4"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lang w:eastAsia="zh-CN"/>
              </w:rPr>
            </w:pPr>
            <w:r>
              <w:rPr>
                <w:rFonts w:ascii="仿宋" w:eastAsia="仿宋" w:hAnsi="仿宋" w:cs="仿宋" w:hint="eastAsia"/>
                <w:sz w:val="20"/>
                <w:szCs w:val="20"/>
                <w:lang w:eastAsia="zh-CN"/>
              </w:rPr>
              <w:t>东吴嘉禾优势精选混合</w:t>
            </w:r>
            <w:r>
              <w:rPr>
                <w:rStyle w:val="font51"/>
                <w:rFonts w:ascii="仿宋" w:eastAsia="仿宋"/>
                <w:lang w:eastAsia="zh-CN"/>
              </w:rPr>
              <w:t>A</w:t>
            </w:r>
          </w:p>
        </w:tc>
        <w:tc>
          <w:tcPr>
            <w:tcW w:w="0" w:type="auto"/>
            <w:tcBorders>
              <w:top w:val="single" w:sz="4" w:space="0" w:color="auto"/>
              <w:left w:val="single" w:sz="4"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中风险</w:t>
            </w:r>
          </w:p>
        </w:tc>
        <w:tc>
          <w:tcPr>
            <w:tcW w:w="1697" w:type="dxa"/>
            <w:tcBorders>
              <w:top w:val="single" w:sz="4" w:space="0" w:color="auto"/>
              <w:left w:val="single" w:sz="4" w:space="0" w:color="auto"/>
              <w:bottom w:val="nil"/>
              <w:right w:val="single" w:sz="12" w:space="0" w:color="auto"/>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中高风险</w:t>
            </w:r>
          </w:p>
        </w:tc>
      </w:tr>
      <w:tr w:rsidR="00D85E50">
        <w:trPr>
          <w:jc w:val="center"/>
        </w:trPr>
        <w:tc>
          <w:tcPr>
            <w:tcW w:w="0" w:type="auto"/>
            <w:tcBorders>
              <w:top w:val="single" w:sz="4" w:space="0" w:color="auto"/>
              <w:left w:val="single" w:sz="12"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Times New Roman" w:cs="Times New Roman"/>
                <w:sz w:val="20"/>
                <w:szCs w:val="20"/>
              </w:rPr>
            </w:pPr>
            <w:r>
              <w:rPr>
                <w:rFonts w:ascii="仿宋" w:eastAsia="仿宋" w:hAnsi="Times New Roman" w:cs="Times New Roman"/>
                <w:sz w:val="20"/>
                <w:szCs w:val="20"/>
                <w:lang w:eastAsia="zh-CN"/>
              </w:rPr>
              <w:t>015152.OF</w:t>
            </w:r>
          </w:p>
        </w:tc>
        <w:tc>
          <w:tcPr>
            <w:tcW w:w="0" w:type="auto"/>
            <w:tcBorders>
              <w:top w:val="single" w:sz="4" w:space="0" w:color="auto"/>
              <w:left w:val="single" w:sz="4"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lang w:eastAsia="zh-CN"/>
              </w:rPr>
            </w:pPr>
            <w:r>
              <w:rPr>
                <w:rFonts w:ascii="仿宋" w:eastAsia="仿宋" w:hAnsi="仿宋" w:cs="仿宋" w:hint="eastAsia"/>
                <w:sz w:val="20"/>
                <w:szCs w:val="20"/>
                <w:lang w:eastAsia="zh-CN"/>
              </w:rPr>
              <w:t>东吴嘉禾优势精选混合</w:t>
            </w:r>
            <w:r>
              <w:rPr>
                <w:rStyle w:val="font51"/>
                <w:rFonts w:ascii="仿宋" w:eastAsia="仿宋"/>
                <w:lang w:eastAsia="zh-CN"/>
              </w:rPr>
              <w:t>C</w:t>
            </w:r>
          </w:p>
        </w:tc>
        <w:tc>
          <w:tcPr>
            <w:tcW w:w="0" w:type="auto"/>
            <w:tcBorders>
              <w:top w:val="single" w:sz="4" w:space="0" w:color="auto"/>
              <w:left w:val="single" w:sz="4"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中风险</w:t>
            </w:r>
          </w:p>
        </w:tc>
        <w:tc>
          <w:tcPr>
            <w:tcW w:w="1697" w:type="dxa"/>
            <w:tcBorders>
              <w:top w:val="single" w:sz="4" w:space="0" w:color="auto"/>
              <w:left w:val="single" w:sz="4" w:space="0" w:color="auto"/>
              <w:bottom w:val="nil"/>
              <w:right w:val="single" w:sz="12" w:space="0" w:color="auto"/>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中高风险</w:t>
            </w:r>
          </w:p>
        </w:tc>
      </w:tr>
      <w:tr w:rsidR="00D85E50">
        <w:trPr>
          <w:jc w:val="center"/>
        </w:trPr>
        <w:tc>
          <w:tcPr>
            <w:tcW w:w="0" w:type="auto"/>
            <w:tcBorders>
              <w:top w:val="single" w:sz="4" w:space="0" w:color="auto"/>
              <w:left w:val="single" w:sz="12"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Times New Roman" w:cs="Times New Roman"/>
                <w:sz w:val="20"/>
                <w:szCs w:val="20"/>
              </w:rPr>
            </w:pPr>
            <w:r>
              <w:rPr>
                <w:rFonts w:ascii="仿宋" w:eastAsia="仿宋" w:hAnsi="Times New Roman" w:cs="Times New Roman"/>
                <w:sz w:val="20"/>
                <w:szCs w:val="20"/>
                <w:lang w:eastAsia="zh-CN"/>
              </w:rPr>
              <w:t>014376.OF</w:t>
            </w:r>
          </w:p>
        </w:tc>
        <w:tc>
          <w:tcPr>
            <w:tcW w:w="0" w:type="auto"/>
            <w:tcBorders>
              <w:top w:val="single" w:sz="4" w:space="0" w:color="auto"/>
              <w:left w:val="single" w:sz="4"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lang w:eastAsia="zh-CN"/>
              </w:rPr>
            </w:pPr>
            <w:r>
              <w:rPr>
                <w:rFonts w:ascii="仿宋" w:eastAsia="仿宋" w:hAnsi="仿宋" w:cs="仿宋" w:hint="eastAsia"/>
                <w:sz w:val="20"/>
                <w:szCs w:val="20"/>
                <w:lang w:eastAsia="zh-CN"/>
              </w:rPr>
              <w:t>东吴新能源汽车股票</w:t>
            </w:r>
            <w:r>
              <w:rPr>
                <w:rStyle w:val="font51"/>
                <w:rFonts w:ascii="仿宋" w:eastAsia="仿宋"/>
                <w:lang w:eastAsia="zh-CN"/>
              </w:rPr>
              <w:t>A</w:t>
            </w:r>
          </w:p>
        </w:tc>
        <w:tc>
          <w:tcPr>
            <w:tcW w:w="0" w:type="auto"/>
            <w:tcBorders>
              <w:top w:val="single" w:sz="4" w:space="0" w:color="auto"/>
              <w:left w:val="single" w:sz="4"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中风险</w:t>
            </w:r>
          </w:p>
        </w:tc>
        <w:tc>
          <w:tcPr>
            <w:tcW w:w="1697" w:type="dxa"/>
            <w:tcBorders>
              <w:top w:val="single" w:sz="4" w:space="0" w:color="auto"/>
              <w:left w:val="single" w:sz="4" w:space="0" w:color="auto"/>
              <w:bottom w:val="nil"/>
              <w:right w:val="single" w:sz="12" w:space="0" w:color="auto"/>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中高风险</w:t>
            </w:r>
          </w:p>
        </w:tc>
      </w:tr>
      <w:tr w:rsidR="00D85E50">
        <w:trPr>
          <w:jc w:val="center"/>
        </w:trPr>
        <w:tc>
          <w:tcPr>
            <w:tcW w:w="0" w:type="auto"/>
            <w:tcBorders>
              <w:top w:val="single" w:sz="4" w:space="0" w:color="auto"/>
              <w:left w:val="single" w:sz="12"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Times New Roman" w:cs="Times New Roman"/>
                <w:sz w:val="20"/>
                <w:szCs w:val="20"/>
              </w:rPr>
            </w:pPr>
            <w:r>
              <w:rPr>
                <w:rFonts w:ascii="仿宋" w:eastAsia="仿宋" w:hAnsi="Times New Roman" w:cs="Times New Roman"/>
                <w:sz w:val="20"/>
                <w:szCs w:val="20"/>
                <w:lang w:eastAsia="zh-CN"/>
              </w:rPr>
              <w:t>014377.OF</w:t>
            </w:r>
          </w:p>
        </w:tc>
        <w:tc>
          <w:tcPr>
            <w:tcW w:w="0" w:type="auto"/>
            <w:tcBorders>
              <w:top w:val="single" w:sz="4" w:space="0" w:color="auto"/>
              <w:left w:val="single" w:sz="4"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lang w:eastAsia="zh-CN"/>
              </w:rPr>
            </w:pPr>
            <w:r>
              <w:rPr>
                <w:rFonts w:ascii="仿宋" w:eastAsia="仿宋" w:hAnsi="仿宋" w:cs="仿宋" w:hint="eastAsia"/>
                <w:sz w:val="20"/>
                <w:szCs w:val="20"/>
                <w:lang w:eastAsia="zh-CN"/>
              </w:rPr>
              <w:t>东吴新能源汽车股票</w:t>
            </w:r>
            <w:r>
              <w:rPr>
                <w:rStyle w:val="font51"/>
                <w:rFonts w:ascii="仿宋" w:eastAsia="仿宋"/>
                <w:lang w:eastAsia="zh-CN"/>
              </w:rPr>
              <w:t>C</w:t>
            </w:r>
          </w:p>
        </w:tc>
        <w:tc>
          <w:tcPr>
            <w:tcW w:w="0" w:type="auto"/>
            <w:tcBorders>
              <w:top w:val="single" w:sz="4" w:space="0" w:color="auto"/>
              <w:left w:val="single" w:sz="4"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中风险</w:t>
            </w:r>
          </w:p>
        </w:tc>
        <w:tc>
          <w:tcPr>
            <w:tcW w:w="1697" w:type="dxa"/>
            <w:tcBorders>
              <w:top w:val="single" w:sz="4" w:space="0" w:color="auto"/>
              <w:left w:val="single" w:sz="4" w:space="0" w:color="auto"/>
              <w:bottom w:val="nil"/>
              <w:right w:val="single" w:sz="12" w:space="0" w:color="auto"/>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中高风险</w:t>
            </w:r>
          </w:p>
        </w:tc>
      </w:tr>
      <w:tr w:rsidR="00D85E50">
        <w:trPr>
          <w:jc w:val="center"/>
        </w:trPr>
        <w:tc>
          <w:tcPr>
            <w:tcW w:w="0" w:type="auto"/>
            <w:tcBorders>
              <w:top w:val="single" w:sz="4" w:space="0" w:color="auto"/>
              <w:left w:val="single" w:sz="12"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Times New Roman" w:cs="Times New Roman"/>
                <w:sz w:val="20"/>
                <w:szCs w:val="20"/>
              </w:rPr>
            </w:pPr>
            <w:r>
              <w:rPr>
                <w:rFonts w:ascii="仿宋" w:eastAsia="仿宋" w:hAnsi="Times New Roman" w:cs="Times New Roman"/>
                <w:sz w:val="20"/>
                <w:szCs w:val="20"/>
                <w:lang w:eastAsia="zh-CN"/>
              </w:rPr>
              <w:t>010330.OF</w:t>
            </w:r>
          </w:p>
        </w:tc>
        <w:tc>
          <w:tcPr>
            <w:tcW w:w="0" w:type="auto"/>
            <w:tcBorders>
              <w:top w:val="single" w:sz="4" w:space="0" w:color="auto"/>
              <w:left w:val="single" w:sz="4"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东吴兴享成长混合</w:t>
            </w:r>
            <w:r>
              <w:rPr>
                <w:rStyle w:val="font51"/>
                <w:rFonts w:ascii="仿宋" w:eastAsia="仿宋"/>
                <w:lang w:eastAsia="zh-CN"/>
              </w:rPr>
              <w:t>A</w:t>
            </w:r>
          </w:p>
        </w:tc>
        <w:tc>
          <w:tcPr>
            <w:tcW w:w="0" w:type="auto"/>
            <w:tcBorders>
              <w:top w:val="single" w:sz="4" w:space="0" w:color="auto"/>
              <w:left w:val="single" w:sz="4"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中风险</w:t>
            </w:r>
          </w:p>
        </w:tc>
        <w:tc>
          <w:tcPr>
            <w:tcW w:w="1697" w:type="dxa"/>
            <w:tcBorders>
              <w:top w:val="single" w:sz="4" w:space="0" w:color="auto"/>
              <w:left w:val="single" w:sz="4" w:space="0" w:color="auto"/>
              <w:bottom w:val="nil"/>
              <w:right w:val="single" w:sz="12" w:space="0" w:color="auto"/>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中高风险</w:t>
            </w:r>
          </w:p>
        </w:tc>
      </w:tr>
      <w:tr w:rsidR="00D85E50">
        <w:trPr>
          <w:jc w:val="center"/>
        </w:trPr>
        <w:tc>
          <w:tcPr>
            <w:tcW w:w="0" w:type="auto"/>
            <w:tcBorders>
              <w:top w:val="single" w:sz="4" w:space="0" w:color="auto"/>
              <w:left w:val="single" w:sz="12"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Times New Roman" w:cs="Times New Roman"/>
                <w:sz w:val="20"/>
                <w:szCs w:val="20"/>
              </w:rPr>
            </w:pPr>
            <w:r>
              <w:rPr>
                <w:rFonts w:ascii="仿宋" w:eastAsia="仿宋" w:hAnsi="Times New Roman" w:cs="Times New Roman"/>
                <w:sz w:val="20"/>
                <w:szCs w:val="20"/>
                <w:lang w:eastAsia="zh-CN"/>
              </w:rPr>
              <w:t>011462.OF</w:t>
            </w:r>
          </w:p>
        </w:tc>
        <w:tc>
          <w:tcPr>
            <w:tcW w:w="0" w:type="auto"/>
            <w:tcBorders>
              <w:top w:val="single" w:sz="4" w:space="0" w:color="auto"/>
              <w:left w:val="single" w:sz="4"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东吴兴享成长混合</w:t>
            </w:r>
            <w:r>
              <w:rPr>
                <w:rStyle w:val="font51"/>
                <w:rFonts w:ascii="仿宋" w:eastAsia="仿宋"/>
                <w:lang w:eastAsia="zh-CN"/>
              </w:rPr>
              <w:t>C</w:t>
            </w:r>
          </w:p>
        </w:tc>
        <w:tc>
          <w:tcPr>
            <w:tcW w:w="0" w:type="auto"/>
            <w:tcBorders>
              <w:top w:val="single" w:sz="4" w:space="0" w:color="auto"/>
              <w:left w:val="single" w:sz="4"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中风险</w:t>
            </w:r>
          </w:p>
        </w:tc>
        <w:tc>
          <w:tcPr>
            <w:tcW w:w="1697" w:type="dxa"/>
            <w:tcBorders>
              <w:top w:val="single" w:sz="4" w:space="0" w:color="auto"/>
              <w:left w:val="single" w:sz="4" w:space="0" w:color="auto"/>
              <w:bottom w:val="nil"/>
              <w:right w:val="single" w:sz="12" w:space="0" w:color="auto"/>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中高风险</w:t>
            </w:r>
          </w:p>
        </w:tc>
      </w:tr>
      <w:tr w:rsidR="00D85E50">
        <w:trPr>
          <w:jc w:val="center"/>
        </w:trPr>
        <w:tc>
          <w:tcPr>
            <w:tcW w:w="0" w:type="auto"/>
            <w:tcBorders>
              <w:top w:val="single" w:sz="4" w:space="0" w:color="auto"/>
              <w:left w:val="single" w:sz="12"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Times New Roman" w:cs="Times New Roman"/>
                <w:sz w:val="20"/>
                <w:szCs w:val="20"/>
              </w:rPr>
            </w:pPr>
            <w:r>
              <w:rPr>
                <w:rFonts w:ascii="仿宋" w:eastAsia="仿宋" w:hAnsi="Times New Roman" w:cs="Times New Roman"/>
                <w:sz w:val="20"/>
                <w:szCs w:val="20"/>
                <w:lang w:eastAsia="zh-CN"/>
              </w:rPr>
              <w:lastRenderedPageBreak/>
              <w:t>580008.OF</w:t>
            </w:r>
          </w:p>
        </w:tc>
        <w:tc>
          <w:tcPr>
            <w:tcW w:w="0" w:type="auto"/>
            <w:tcBorders>
              <w:top w:val="single" w:sz="4" w:space="0" w:color="auto"/>
              <w:left w:val="single" w:sz="4"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lang w:eastAsia="zh-CN"/>
              </w:rPr>
            </w:pPr>
            <w:r>
              <w:rPr>
                <w:rFonts w:ascii="仿宋" w:eastAsia="仿宋" w:hAnsi="仿宋" w:cs="仿宋" w:hint="eastAsia"/>
                <w:sz w:val="20"/>
                <w:szCs w:val="20"/>
                <w:lang w:eastAsia="zh-CN"/>
              </w:rPr>
              <w:t>东吴新产业精选股票</w:t>
            </w:r>
            <w:r>
              <w:rPr>
                <w:rStyle w:val="font51"/>
                <w:rFonts w:ascii="仿宋" w:eastAsia="仿宋"/>
                <w:lang w:eastAsia="zh-CN"/>
              </w:rPr>
              <w:t>A</w:t>
            </w:r>
          </w:p>
        </w:tc>
        <w:tc>
          <w:tcPr>
            <w:tcW w:w="0" w:type="auto"/>
            <w:tcBorders>
              <w:top w:val="single" w:sz="4" w:space="0" w:color="auto"/>
              <w:left w:val="single" w:sz="4"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中风险</w:t>
            </w:r>
          </w:p>
        </w:tc>
        <w:tc>
          <w:tcPr>
            <w:tcW w:w="1697" w:type="dxa"/>
            <w:tcBorders>
              <w:top w:val="single" w:sz="4" w:space="0" w:color="auto"/>
              <w:left w:val="single" w:sz="4" w:space="0" w:color="auto"/>
              <w:bottom w:val="nil"/>
              <w:right w:val="single" w:sz="12" w:space="0" w:color="auto"/>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中高风险</w:t>
            </w:r>
          </w:p>
        </w:tc>
      </w:tr>
      <w:tr w:rsidR="00D85E50">
        <w:trPr>
          <w:jc w:val="center"/>
        </w:trPr>
        <w:tc>
          <w:tcPr>
            <w:tcW w:w="0" w:type="auto"/>
            <w:tcBorders>
              <w:top w:val="single" w:sz="4" w:space="0" w:color="auto"/>
              <w:left w:val="single" w:sz="12"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Times New Roman" w:cs="Times New Roman"/>
                <w:sz w:val="20"/>
                <w:szCs w:val="20"/>
              </w:rPr>
            </w:pPr>
            <w:r>
              <w:rPr>
                <w:rFonts w:ascii="仿宋" w:eastAsia="仿宋" w:hAnsi="Times New Roman" w:cs="Times New Roman"/>
                <w:sz w:val="20"/>
                <w:szCs w:val="20"/>
                <w:lang w:eastAsia="zh-CN"/>
              </w:rPr>
              <w:t>011470.OF</w:t>
            </w:r>
          </w:p>
        </w:tc>
        <w:tc>
          <w:tcPr>
            <w:tcW w:w="0" w:type="auto"/>
            <w:tcBorders>
              <w:top w:val="single" w:sz="4" w:space="0" w:color="auto"/>
              <w:left w:val="single" w:sz="4"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lang w:eastAsia="zh-CN"/>
              </w:rPr>
            </w:pPr>
            <w:r>
              <w:rPr>
                <w:rFonts w:ascii="仿宋" w:eastAsia="仿宋" w:hAnsi="仿宋" w:cs="仿宋" w:hint="eastAsia"/>
                <w:sz w:val="20"/>
                <w:szCs w:val="20"/>
                <w:lang w:eastAsia="zh-CN"/>
              </w:rPr>
              <w:t>东吴新产业精选股票</w:t>
            </w:r>
            <w:r>
              <w:rPr>
                <w:rStyle w:val="font51"/>
                <w:rFonts w:ascii="仿宋" w:eastAsia="仿宋"/>
                <w:lang w:eastAsia="zh-CN"/>
              </w:rPr>
              <w:t>C</w:t>
            </w:r>
          </w:p>
        </w:tc>
        <w:tc>
          <w:tcPr>
            <w:tcW w:w="0" w:type="auto"/>
            <w:tcBorders>
              <w:top w:val="single" w:sz="4" w:space="0" w:color="auto"/>
              <w:left w:val="single" w:sz="4"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中风险</w:t>
            </w:r>
          </w:p>
        </w:tc>
        <w:tc>
          <w:tcPr>
            <w:tcW w:w="1697" w:type="dxa"/>
            <w:tcBorders>
              <w:top w:val="single" w:sz="4" w:space="0" w:color="auto"/>
              <w:left w:val="single" w:sz="4" w:space="0" w:color="auto"/>
              <w:bottom w:val="nil"/>
              <w:right w:val="single" w:sz="12" w:space="0" w:color="auto"/>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中高风险</w:t>
            </w:r>
          </w:p>
        </w:tc>
      </w:tr>
      <w:tr w:rsidR="00D85E50">
        <w:trPr>
          <w:jc w:val="center"/>
        </w:trPr>
        <w:tc>
          <w:tcPr>
            <w:tcW w:w="0" w:type="auto"/>
            <w:tcBorders>
              <w:top w:val="single" w:sz="4" w:space="0" w:color="auto"/>
              <w:left w:val="single" w:sz="12"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Times New Roman" w:cs="Times New Roman"/>
                <w:sz w:val="20"/>
                <w:szCs w:val="20"/>
              </w:rPr>
            </w:pPr>
            <w:r>
              <w:rPr>
                <w:rFonts w:ascii="仿宋" w:eastAsia="仿宋" w:hAnsi="Times New Roman" w:cs="Times New Roman"/>
                <w:sz w:val="20"/>
                <w:szCs w:val="20"/>
                <w:lang w:eastAsia="zh-CN"/>
              </w:rPr>
              <w:t>016097.OF</w:t>
            </w:r>
          </w:p>
        </w:tc>
        <w:tc>
          <w:tcPr>
            <w:tcW w:w="0" w:type="auto"/>
            <w:tcBorders>
              <w:top w:val="single" w:sz="4" w:space="0" w:color="auto"/>
              <w:left w:val="single" w:sz="4"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lang w:eastAsia="zh-CN"/>
              </w:rPr>
            </w:pPr>
            <w:r>
              <w:rPr>
                <w:rFonts w:ascii="仿宋" w:eastAsia="仿宋" w:hAnsi="仿宋" w:cs="仿宋" w:hint="eastAsia"/>
                <w:sz w:val="20"/>
                <w:szCs w:val="20"/>
                <w:lang w:eastAsia="zh-CN"/>
              </w:rPr>
              <w:t>东吴兴弘一年持有期混合</w:t>
            </w:r>
            <w:r>
              <w:rPr>
                <w:rStyle w:val="font51"/>
                <w:rFonts w:ascii="仿宋" w:eastAsia="仿宋"/>
                <w:lang w:eastAsia="zh-CN"/>
              </w:rPr>
              <w:t>A</w:t>
            </w:r>
          </w:p>
        </w:tc>
        <w:tc>
          <w:tcPr>
            <w:tcW w:w="0" w:type="auto"/>
            <w:tcBorders>
              <w:top w:val="single" w:sz="4" w:space="0" w:color="auto"/>
              <w:left w:val="single" w:sz="4"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中风险</w:t>
            </w:r>
          </w:p>
        </w:tc>
        <w:tc>
          <w:tcPr>
            <w:tcW w:w="1697" w:type="dxa"/>
            <w:tcBorders>
              <w:top w:val="single" w:sz="4" w:space="0" w:color="auto"/>
              <w:left w:val="single" w:sz="4" w:space="0" w:color="auto"/>
              <w:bottom w:val="nil"/>
              <w:right w:val="single" w:sz="12" w:space="0" w:color="auto"/>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中高风险</w:t>
            </w:r>
          </w:p>
        </w:tc>
      </w:tr>
      <w:tr w:rsidR="00D85E50">
        <w:trPr>
          <w:jc w:val="center"/>
        </w:trPr>
        <w:tc>
          <w:tcPr>
            <w:tcW w:w="0" w:type="auto"/>
            <w:tcBorders>
              <w:top w:val="single" w:sz="4" w:space="0" w:color="auto"/>
              <w:left w:val="single" w:sz="12"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Times New Roman" w:cs="Times New Roman"/>
                <w:sz w:val="20"/>
                <w:szCs w:val="20"/>
              </w:rPr>
            </w:pPr>
            <w:r>
              <w:rPr>
                <w:rFonts w:ascii="仿宋" w:eastAsia="仿宋" w:hAnsi="Times New Roman" w:cs="Times New Roman"/>
                <w:sz w:val="20"/>
                <w:szCs w:val="20"/>
                <w:lang w:eastAsia="zh-CN"/>
              </w:rPr>
              <w:t>016098.OF</w:t>
            </w:r>
          </w:p>
        </w:tc>
        <w:tc>
          <w:tcPr>
            <w:tcW w:w="0" w:type="auto"/>
            <w:tcBorders>
              <w:top w:val="single" w:sz="4" w:space="0" w:color="auto"/>
              <w:left w:val="single" w:sz="4"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lang w:eastAsia="zh-CN"/>
              </w:rPr>
            </w:pPr>
            <w:r>
              <w:rPr>
                <w:rFonts w:ascii="仿宋" w:eastAsia="仿宋" w:hAnsi="仿宋" w:cs="仿宋" w:hint="eastAsia"/>
                <w:sz w:val="20"/>
                <w:szCs w:val="20"/>
                <w:lang w:eastAsia="zh-CN"/>
              </w:rPr>
              <w:t>东吴兴弘一年持有期混合</w:t>
            </w:r>
            <w:r>
              <w:rPr>
                <w:rStyle w:val="font51"/>
                <w:rFonts w:ascii="仿宋" w:eastAsia="仿宋"/>
                <w:lang w:eastAsia="zh-CN"/>
              </w:rPr>
              <w:t>C</w:t>
            </w:r>
          </w:p>
        </w:tc>
        <w:tc>
          <w:tcPr>
            <w:tcW w:w="0" w:type="auto"/>
            <w:tcBorders>
              <w:top w:val="single" w:sz="4" w:space="0" w:color="auto"/>
              <w:left w:val="single" w:sz="4"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中风险</w:t>
            </w:r>
          </w:p>
        </w:tc>
        <w:tc>
          <w:tcPr>
            <w:tcW w:w="1697" w:type="dxa"/>
            <w:tcBorders>
              <w:top w:val="single" w:sz="4" w:space="0" w:color="auto"/>
              <w:left w:val="single" w:sz="4" w:space="0" w:color="auto"/>
              <w:bottom w:val="nil"/>
              <w:right w:val="single" w:sz="12" w:space="0" w:color="auto"/>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中高风险</w:t>
            </w:r>
          </w:p>
        </w:tc>
      </w:tr>
      <w:tr w:rsidR="00D85E50">
        <w:trPr>
          <w:jc w:val="center"/>
        </w:trPr>
        <w:tc>
          <w:tcPr>
            <w:tcW w:w="0" w:type="auto"/>
            <w:tcBorders>
              <w:top w:val="single" w:sz="4" w:space="0" w:color="auto"/>
              <w:left w:val="single" w:sz="12"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Times New Roman" w:cs="Times New Roman"/>
                <w:sz w:val="20"/>
                <w:szCs w:val="20"/>
              </w:rPr>
            </w:pPr>
            <w:r>
              <w:rPr>
                <w:rFonts w:ascii="仿宋" w:eastAsia="仿宋" w:hAnsi="Times New Roman" w:cs="Times New Roman"/>
                <w:sz w:val="20"/>
                <w:szCs w:val="20"/>
                <w:lang w:eastAsia="zh-CN"/>
              </w:rPr>
              <w:t>580002.OF</w:t>
            </w:r>
          </w:p>
        </w:tc>
        <w:tc>
          <w:tcPr>
            <w:tcW w:w="0" w:type="auto"/>
            <w:tcBorders>
              <w:top w:val="single" w:sz="4" w:space="0" w:color="auto"/>
              <w:left w:val="single" w:sz="4"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东吴双动力混合</w:t>
            </w:r>
            <w:r>
              <w:rPr>
                <w:rStyle w:val="font51"/>
                <w:rFonts w:ascii="仿宋" w:eastAsia="仿宋"/>
                <w:lang w:eastAsia="zh-CN"/>
              </w:rPr>
              <w:t>A</w:t>
            </w:r>
          </w:p>
        </w:tc>
        <w:tc>
          <w:tcPr>
            <w:tcW w:w="0" w:type="auto"/>
            <w:tcBorders>
              <w:top w:val="single" w:sz="4" w:space="0" w:color="auto"/>
              <w:left w:val="single" w:sz="4"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中风险</w:t>
            </w:r>
          </w:p>
        </w:tc>
        <w:tc>
          <w:tcPr>
            <w:tcW w:w="1697" w:type="dxa"/>
            <w:tcBorders>
              <w:top w:val="single" w:sz="4" w:space="0" w:color="auto"/>
              <w:left w:val="single" w:sz="4" w:space="0" w:color="auto"/>
              <w:bottom w:val="nil"/>
              <w:right w:val="single" w:sz="12" w:space="0" w:color="auto"/>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中高风险</w:t>
            </w:r>
          </w:p>
        </w:tc>
      </w:tr>
      <w:tr w:rsidR="00D85E50">
        <w:trPr>
          <w:trHeight w:val="249"/>
          <w:jc w:val="center"/>
        </w:trPr>
        <w:tc>
          <w:tcPr>
            <w:tcW w:w="0" w:type="auto"/>
            <w:tcBorders>
              <w:top w:val="single" w:sz="4" w:space="0" w:color="auto"/>
              <w:left w:val="single" w:sz="12"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Times New Roman" w:cs="Times New Roman"/>
                <w:sz w:val="20"/>
                <w:szCs w:val="20"/>
              </w:rPr>
            </w:pPr>
            <w:r>
              <w:rPr>
                <w:rFonts w:ascii="仿宋" w:eastAsia="仿宋" w:hAnsi="Times New Roman" w:cs="Times New Roman"/>
                <w:sz w:val="20"/>
                <w:szCs w:val="20"/>
                <w:lang w:eastAsia="zh-CN"/>
              </w:rPr>
              <w:t>011241.OF</w:t>
            </w:r>
          </w:p>
        </w:tc>
        <w:tc>
          <w:tcPr>
            <w:tcW w:w="0" w:type="auto"/>
            <w:tcBorders>
              <w:top w:val="single" w:sz="4" w:space="0" w:color="auto"/>
              <w:left w:val="single" w:sz="4"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东吴双动力混合</w:t>
            </w:r>
            <w:r>
              <w:rPr>
                <w:rStyle w:val="font51"/>
                <w:rFonts w:ascii="仿宋" w:eastAsia="仿宋"/>
                <w:lang w:eastAsia="zh-CN"/>
              </w:rPr>
              <w:t>C</w:t>
            </w:r>
          </w:p>
        </w:tc>
        <w:tc>
          <w:tcPr>
            <w:tcW w:w="0" w:type="auto"/>
            <w:tcBorders>
              <w:top w:val="single" w:sz="4" w:space="0" w:color="auto"/>
              <w:left w:val="single" w:sz="4"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中风险</w:t>
            </w:r>
          </w:p>
        </w:tc>
        <w:tc>
          <w:tcPr>
            <w:tcW w:w="1697" w:type="dxa"/>
            <w:tcBorders>
              <w:top w:val="single" w:sz="4" w:space="0" w:color="auto"/>
              <w:left w:val="single" w:sz="4" w:space="0" w:color="auto"/>
              <w:bottom w:val="nil"/>
              <w:right w:val="single" w:sz="12" w:space="0" w:color="auto"/>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中高风险</w:t>
            </w:r>
          </w:p>
        </w:tc>
      </w:tr>
      <w:tr w:rsidR="00D85E50">
        <w:trPr>
          <w:jc w:val="center"/>
        </w:trPr>
        <w:tc>
          <w:tcPr>
            <w:tcW w:w="0" w:type="auto"/>
            <w:tcBorders>
              <w:top w:val="single" w:sz="4" w:space="0" w:color="auto"/>
              <w:left w:val="single" w:sz="12"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Times New Roman" w:cs="Times New Roman"/>
                <w:sz w:val="20"/>
                <w:szCs w:val="20"/>
              </w:rPr>
            </w:pPr>
            <w:r>
              <w:rPr>
                <w:rFonts w:ascii="仿宋" w:eastAsia="仿宋" w:hAnsi="Times New Roman" w:cs="Times New Roman"/>
                <w:sz w:val="20"/>
                <w:szCs w:val="20"/>
                <w:lang w:eastAsia="zh-CN"/>
              </w:rPr>
              <w:t>020966.OF</w:t>
            </w:r>
          </w:p>
        </w:tc>
        <w:tc>
          <w:tcPr>
            <w:tcW w:w="0" w:type="auto"/>
            <w:tcBorders>
              <w:top w:val="single" w:sz="4" w:space="0" w:color="auto"/>
              <w:left w:val="single" w:sz="4"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东吴科技创新混合</w:t>
            </w:r>
            <w:r>
              <w:rPr>
                <w:rStyle w:val="font51"/>
                <w:rFonts w:ascii="仿宋" w:eastAsia="仿宋"/>
                <w:lang w:eastAsia="zh-CN"/>
              </w:rPr>
              <w:t>A</w:t>
            </w:r>
          </w:p>
        </w:tc>
        <w:tc>
          <w:tcPr>
            <w:tcW w:w="0" w:type="auto"/>
            <w:tcBorders>
              <w:top w:val="single" w:sz="4" w:space="0" w:color="auto"/>
              <w:left w:val="single" w:sz="4"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中风险</w:t>
            </w:r>
          </w:p>
        </w:tc>
        <w:tc>
          <w:tcPr>
            <w:tcW w:w="1697" w:type="dxa"/>
            <w:tcBorders>
              <w:top w:val="single" w:sz="4" w:space="0" w:color="auto"/>
              <w:left w:val="single" w:sz="4" w:space="0" w:color="auto"/>
              <w:bottom w:val="nil"/>
              <w:right w:val="single" w:sz="12" w:space="0" w:color="auto"/>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中高风险</w:t>
            </w:r>
          </w:p>
        </w:tc>
      </w:tr>
      <w:tr w:rsidR="00D85E50">
        <w:trPr>
          <w:jc w:val="center"/>
        </w:trPr>
        <w:tc>
          <w:tcPr>
            <w:tcW w:w="0" w:type="auto"/>
            <w:tcBorders>
              <w:top w:val="single" w:sz="4" w:space="0" w:color="auto"/>
              <w:left w:val="single" w:sz="12"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Times New Roman" w:cs="Times New Roman"/>
                <w:sz w:val="20"/>
                <w:szCs w:val="20"/>
              </w:rPr>
            </w:pPr>
            <w:r>
              <w:rPr>
                <w:rFonts w:ascii="仿宋" w:eastAsia="仿宋" w:hAnsi="Times New Roman" w:cs="Times New Roman"/>
                <w:sz w:val="20"/>
                <w:szCs w:val="20"/>
                <w:lang w:eastAsia="zh-CN"/>
              </w:rPr>
              <w:t>020967.OF</w:t>
            </w:r>
          </w:p>
        </w:tc>
        <w:tc>
          <w:tcPr>
            <w:tcW w:w="0" w:type="auto"/>
            <w:tcBorders>
              <w:top w:val="single" w:sz="4" w:space="0" w:color="auto"/>
              <w:left w:val="single" w:sz="4"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东吴科技创新混合</w:t>
            </w:r>
            <w:r>
              <w:rPr>
                <w:rStyle w:val="font51"/>
                <w:rFonts w:ascii="仿宋" w:eastAsia="仿宋"/>
                <w:lang w:eastAsia="zh-CN"/>
              </w:rPr>
              <w:t>C</w:t>
            </w:r>
          </w:p>
        </w:tc>
        <w:tc>
          <w:tcPr>
            <w:tcW w:w="0" w:type="auto"/>
            <w:tcBorders>
              <w:top w:val="single" w:sz="4" w:space="0" w:color="auto"/>
              <w:left w:val="single" w:sz="4"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中风险</w:t>
            </w:r>
          </w:p>
        </w:tc>
        <w:tc>
          <w:tcPr>
            <w:tcW w:w="1697" w:type="dxa"/>
            <w:tcBorders>
              <w:top w:val="single" w:sz="4" w:space="0" w:color="auto"/>
              <w:left w:val="single" w:sz="4" w:space="0" w:color="auto"/>
              <w:bottom w:val="nil"/>
              <w:right w:val="single" w:sz="12" w:space="0" w:color="auto"/>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中高风险</w:t>
            </w:r>
          </w:p>
        </w:tc>
      </w:tr>
      <w:tr w:rsidR="00D85E50">
        <w:trPr>
          <w:jc w:val="center"/>
        </w:trPr>
        <w:tc>
          <w:tcPr>
            <w:tcW w:w="0" w:type="auto"/>
            <w:tcBorders>
              <w:top w:val="single" w:sz="4" w:space="0" w:color="auto"/>
              <w:left w:val="single" w:sz="12"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Times New Roman" w:cs="Times New Roman"/>
                <w:sz w:val="20"/>
                <w:szCs w:val="20"/>
              </w:rPr>
            </w:pPr>
            <w:r>
              <w:rPr>
                <w:rFonts w:ascii="仿宋" w:eastAsia="仿宋" w:hAnsi="Times New Roman" w:cs="Times New Roman"/>
                <w:sz w:val="20"/>
                <w:szCs w:val="20"/>
                <w:lang w:eastAsia="zh-CN"/>
              </w:rPr>
              <w:t>002919.OF</w:t>
            </w:r>
          </w:p>
        </w:tc>
        <w:tc>
          <w:tcPr>
            <w:tcW w:w="0" w:type="auto"/>
            <w:tcBorders>
              <w:top w:val="single" w:sz="4" w:space="0" w:color="auto"/>
              <w:left w:val="single" w:sz="4"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lang w:eastAsia="zh-CN"/>
              </w:rPr>
            </w:pPr>
            <w:r>
              <w:rPr>
                <w:rFonts w:ascii="仿宋" w:eastAsia="仿宋" w:hAnsi="仿宋" w:cs="仿宋" w:hint="eastAsia"/>
                <w:sz w:val="20"/>
                <w:szCs w:val="20"/>
                <w:lang w:eastAsia="zh-CN"/>
              </w:rPr>
              <w:t>东吴智慧医疗量化混合</w:t>
            </w:r>
            <w:r>
              <w:rPr>
                <w:rStyle w:val="font51"/>
                <w:rFonts w:ascii="仿宋" w:eastAsia="仿宋"/>
                <w:lang w:eastAsia="zh-CN"/>
              </w:rPr>
              <w:t>A</w:t>
            </w:r>
          </w:p>
        </w:tc>
        <w:tc>
          <w:tcPr>
            <w:tcW w:w="0" w:type="auto"/>
            <w:tcBorders>
              <w:top w:val="single" w:sz="4" w:space="0" w:color="auto"/>
              <w:left w:val="single" w:sz="4"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中风险</w:t>
            </w:r>
          </w:p>
        </w:tc>
        <w:tc>
          <w:tcPr>
            <w:tcW w:w="1697" w:type="dxa"/>
            <w:tcBorders>
              <w:top w:val="single" w:sz="4" w:space="0" w:color="auto"/>
              <w:left w:val="single" w:sz="4" w:space="0" w:color="auto"/>
              <w:bottom w:val="nil"/>
              <w:right w:val="single" w:sz="12" w:space="0" w:color="auto"/>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中高风险</w:t>
            </w:r>
          </w:p>
        </w:tc>
      </w:tr>
      <w:tr w:rsidR="00D85E50">
        <w:trPr>
          <w:jc w:val="center"/>
        </w:trPr>
        <w:tc>
          <w:tcPr>
            <w:tcW w:w="0" w:type="auto"/>
            <w:tcBorders>
              <w:top w:val="single" w:sz="4" w:space="0" w:color="auto"/>
              <w:left w:val="single" w:sz="12"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Times New Roman" w:cs="Times New Roman"/>
                <w:sz w:val="20"/>
                <w:szCs w:val="20"/>
              </w:rPr>
            </w:pPr>
            <w:r>
              <w:rPr>
                <w:rFonts w:ascii="仿宋" w:eastAsia="仿宋" w:hAnsi="Times New Roman" w:cs="Times New Roman"/>
                <w:sz w:val="20"/>
                <w:szCs w:val="20"/>
                <w:lang w:eastAsia="zh-CN"/>
              </w:rPr>
              <w:t>011948.OF</w:t>
            </w:r>
          </w:p>
        </w:tc>
        <w:tc>
          <w:tcPr>
            <w:tcW w:w="0" w:type="auto"/>
            <w:tcBorders>
              <w:top w:val="single" w:sz="4" w:space="0" w:color="auto"/>
              <w:left w:val="single" w:sz="4"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lang w:eastAsia="zh-CN"/>
              </w:rPr>
            </w:pPr>
            <w:r>
              <w:rPr>
                <w:rFonts w:ascii="仿宋" w:eastAsia="仿宋" w:hAnsi="仿宋" w:cs="仿宋" w:hint="eastAsia"/>
                <w:sz w:val="20"/>
                <w:szCs w:val="20"/>
                <w:lang w:eastAsia="zh-CN"/>
              </w:rPr>
              <w:t>东吴智慧医疗量化混合</w:t>
            </w:r>
            <w:r>
              <w:rPr>
                <w:rStyle w:val="font51"/>
                <w:rFonts w:ascii="仿宋" w:eastAsia="仿宋"/>
                <w:lang w:eastAsia="zh-CN"/>
              </w:rPr>
              <w:t>C</w:t>
            </w:r>
          </w:p>
        </w:tc>
        <w:tc>
          <w:tcPr>
            <w:tcW w:w="0" w:type="auto"/>
            <w:tcBorders>
              <w:top w:val="single" w:sz="4" w:space="0" w:color="auto"/>
              <w:left w:val="single" w:sz="4"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中风险</w:t>
            </w:r>
          </w:p>
        </w:tc>
        <w:tc>
          <w:tcPr>
            <w:tcW w:w="1697" w:type="dxa"/>
            <w:tcBorders>
              <w:top w:val="single" w:sz="4" w:space="0" w:color="auto"/>
              <w:left w:val="single" w:sz="4" w:space="0" w:color="auto"/>
              <w:bottom w:val="nil"/>
              <w:right w:val="single" w:sz="12" w:space="0" w:color="auto"/>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中高风险</w:t>
            </w:r>
          </w:p>
        </w:tc>
      </w:tr>
      <w:tr w:rsidR="00D85E50">
        <w:trPr>
          <w:jc w:val="center"/>
        </w:trPr>
        <w:tc>
          <w:tcPr>
            <w:tcW w:w="0" w:type="auto"/>
            <w:tcBorders>
              <w:top w:val="single" w:sz="4" w:space="0" w:color="auto"/>
              <w:left w:val="single" w:sz="12"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Times New Roman" w:cs="Times New Roman"/>
                <w:sz w:val="20"/>
                <w:szCs w:val="20"/>
              </w:rPr>
            </w:pPr>
            <w:r>
              <w:rPr>
                <w:rFonts w:ascii="仿宋" w:eastAsia="仿宋" w:hAnsi="Times New Roman" w:cs="Times New Roman"/>
                <w:sz w:val="20"/>
                <w:szCs w:val="20"/>
                <w:lang w:eastAsia="zh-CN"/>
              </w:rPr>
              <w:t>580009.OF</w:t>
            </w:r>
          </w:p>
        </w:tc>
        <w:tc>
          <w:tcPr>
            <w:tcW w:w="0" w:type="auto"/>
            <w:tcBorders>
              <w:top w:val="single" w:sz="4" w:space="0" w:color="auto"/>
              <w:left w:val="single" w:sz="4"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东吴多策略混合</w:t>
            </w:r>
            <w:r>
              <w:rPr>
                <w:rStyle w:val="font51"/>
                <w:rFonts w:ascii="仿宋" w:eastAsia="仿宋"/>
                <w:lang w:eastAsia="zh-CN"/>
              </w:rPr>
              <w:t>A</w:t>
            </w:r>
          </w:p>
        </w:tc>
        <w:tc>
          <w:tcPr>
            <w:tcW w:w="0" w:type="auto"/>
            <w:tcBorders>
              <w:top w:val="single" w:sz="4" w:space="0" w:color="auto"/>
              <w:left w:val="single" w:sz="4"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中风险</w:t>
            </w:r>
          </w:p>
        </w:tc>
        <w:tc>
          <w:tcPr>
            <w:tcW w:w="1697" w:type="dxa"/>
            <w:tcBorders>
              <w:top w:val="single" w:sz="4" w:space="0" w:color="auto"/>
              <w:left w:val="single" w:sz="4" w:space="0" w:color="auto"/>
              <w:bottom w:val="nil"/>
              <w:right w:val="single" w:sz="12" w:space="0" w:color="auto"/>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中高风险</w:t>
            </w:r>
          </w:p>
        </w:tc>
      </w:tr>
      <w:tr w:rsidR="00D85E50">
        <w:trPr>
          <w:jc w:val="center"/>
        </w:trPr>
        <w:tc>
          <w:tcPr>
            <w:tcW w:w="0" w:type="auto"/>
            <w:tcBorders>
              <w:top w:val="single" w:sz="4" w:space="0" w:color="auto"/>
              <w:left w:val="single" w:sz="12"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Times New Roman" w:cs="Times New Roman"/>
                <w:sz w:val="20"/>
                <w:szCs w:val="20"/>
              </w:rPr>
            </w:pPr>
            <w:r>
              <w:rPr>
                <w:rFonts w:ascii="仿宋" w:eastAsia="仿宋" w:hAnsi="Times New Roman" w:cs="Times New Roman"/>
                <w:sz w:val="20"/>
                <w:szCs w:val="20"/>
                <w:lang w:eastAsia="zh-CN"/>
              </w:rPr>
              <w:t>011949.OF</w:t>
            </w:r>
          </w:p>
        </w:tc>
        <w:tc>
          <w:tcPr>
            <w:tcW w:w="0" w:type="auto"/>
            <w:tcBorders>
              <w:top w:val="single" w:sz="4" w:space="0" w:color="auto"/>
              <w:left w:val="single" w:sz="4"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东吴多策略混合</w:t>
            </w:r>
            <w:r>
              <w:rPr>
                <w:rStyle w:val="font51"/>
                <w:rFonts w:ascii="仿宋" w:eastAsia="仿宋"/>
                <w:lang w:eastAsia="zh-CN"/>
              </w:rPr>
              <w:t>C</w:t>
            </w:r>
          </w:p>
        </w:tc>
        <w:tc>
          <w:tcPr>
            <w:tcW w:w="0" w:type="auto"/>
            <w:tcBorders>
              <w:top w:val="single" w:sz="4" w:space="0" w:color="auto"/>
              <w:left w:val="single" w:sz="4"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中风险</w:t>
            </w:r>
          </w:p>
        </w:tc>
        <w:tc>
          <w:tcPr>
            <w:tcW w:w="1697" w:type="dxa"/>
            <w:tcBorders>
              <w:top w:val="single" w:sz="4" w:space="0" w:color="auto"/>
              <w:left w:val="single" w:sz="4" w:space="0" w:color="auto"/>
              <w:bottom w:val="nil"/>
              <w:right w:val="single" w:sz="12" w:space="0" w:color="auto"/>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中高风险</w:t>
            </w:r>
          </w:p>
        </w:tc>
      </w:tr>
      <w:tr w:rsidR="00D85E50">
        <w:trPr>
          <w:jc w:val="center"/>
        </w:trPr>
        <w:tc>
          <w:tcPr>
            <w:tcW w:w="0" w:type="auto"/>
            <w:tcBorders>
              <w:top w:val="single" w:sz="4" w:space="0" w:color="auto"/>
              <w:left w:val="single" w:sz="12"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Times New Roman" w:cs="Times New Roman"/>
                <w:sz w:val="20"/>
                <w:szCs w:val="20"/>
              </w:rPr>
            </w:pPr>
            <w:r>
              <w:rPr>
                <w:rFonts w:ascii="仿宋" w:eastAsia="仿宋" w:hAnsi="Times New Roman" w:cs="Times New Roman"/>
                <w:sz w:val="20"/>
                <w:szCs w:val="20"/>
                <w:lang w:eastAsia="zh-CN"/>
              </w:rPr>
              <w:t>580003.OF</w:t>
            </w:r>
          </w:p>
        </w:tc>
        <w:tc>
          <w:tcPr>
            <w:tcW w:w="0" w:type="auto"/>
            <w:tcBorders>
              <w:top w:val="single" w:sz="4" w:space="0" w:color="auto"/>
              <w:left w:val="single" w:sz="4"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东吴行业轮动混合</w:t>
            </w:r>
            <w:r>
              <w:rPr>
                <w:rStyle w:val="font51"/>
                <w:rFonts w:ascii="仿宋" w:eastAsia="仿宋"/>
                <w:lang w:eastAsia="zh-CN"/>
              </w:rPr>
              <w:t>A</w:t>
            </w:r>
          </w:p>
        </w:tc>
        <w:tc>
          <w:tcPr>
            <w:tcW w:w="0" w:type="auto"/>
            <w:tcBorders>
              <w:top w:val="single" w:sz="4" w:space="0" w:color="auto"/>
              <w:left w:val="single" w:sz="4"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中风险</w:t>
            </w:r>
          </w:p>
        </w:tc>
        <w:tc>
          <w:tcPr>
            <w:tcW w:w="1697" w:type="dxa"/>
            <w:tcBorders>
              <w:top w:val="single" w:sz="4" w:space="0" w:color="auto"/>
              <w:left w:val="single" w:sz="4" w:space="0" w:color="auto"/>
              <w:bottom w:val="nil"/>
              <w:right w:val="single" w:sz="12" w:space="0" w:color="auto"/>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中高风险</w:t>
            </w:r>
          </w:p>
        </w:tc>
      </w:tr>
      <w:tr w:rsidR="00D85E50">
        <w:trPr>
          <w:jc w:val="center"/>
        </w:trPr>
        <w:tc>
          <w:tcPr>
            <w:tcW w:w="0" w:type="auto"/>
            <w:tcBorders>
              <w:top w:val="single" w:sz="4" w:space="0" w:color="auto"/>
              <w:left w:val="single" w:sz="12"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Times New Roman" w:cs="Times New Roman"/>
                <w:sz w:val="20"/>
                <w:szCs w:val="20"/>
              </w:rPr>
            </w:pPr>
            <w:r>
              <w:rPr>
                <w:rFonts w:ascii="仿宋" w:eastAsia="仿宋" w:hAnsi="Times New Roman" w:cs="Times New Roman"/>
                <w:sz w:val="20"/>
                <w:szCs w:val="20"/>
                <w:lang w:eastAsia="zh-CN"/>
              </w:rPr>
              <w:t>011240.OF</w:t>
            </w:r>
          </w:p>
        </w:tc>
        <w:tc>
          <w:tcPr>
            <w:tcW w:w="0" w:type="auto"/>
            <w:tcBorders>
              <w:top w:val="single" w:sz="4" w:space="0" w:color="auto"/>
              <w:left w:val="single" w:sz="4"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东吴行业轮动混合</w:t>
            </w:r>
            <w:r>
              <w:rPr>
                <w:rStyle w:val="font51"/>
                <w:rFonts w:ascii="仿宋" w:eastAsia="仿宋"/>
                <w:lang w:eastAsia="zh-CN"/>
              </w:rPr>
              <w:t>C</w:t>
            </w:r>
          </w:p>
        </w:tc>
        <w:tc>
          <w:tcPr>
            <w:tcW w:w="0" w:type="auto"/>
            <w:tcBorders>
              <w:top w:val="single" w:sz="4" w:space="0" w:color="auto"/>
              <w:left w:val="single" w:sz="4"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中风险</w:t>
            </w:r>
          </w:p>
        </w:tc>
        <w:tc>
          <w:tcPr>
            <w:tcW w:w="1697" w:type="dxa"/>
            <w:tcBorders>
              <w:top w:val="single" w:sz="4" w:space="0" w:color="auto"/>
              <w:left w:val="single" w:sz="4" w:space="0" w:color="auto"/>
              <w:bottom w:val="nil"/>
              <w:right w:val="single" w:sz="12" w:space="0" w:color="auto"/>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中高风险</w:t>
            </w:r>
          </w:p>
        </w:tc>
      </w:tr>
      <w:tr w:rsidR="00D85E50">
        <w:trPr>
          <w:jc w:val="center"/>
        </w:trPr>
        <w:tc>
          <w:tcPr>
            <w:tcW w:w="0" w:type="auto"/>
            <w:tcBorders>
              <w:top w:val="single" w:sz="4" w:space="0" w:color="auto"/>
              <w:left w:val="single" w:sz="12"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Times New Roman" w:cs="Times New Roman"/>
                <w:sz w:val="20"/>
                <w:szCs w:val="20"/>
              </w:rPr>
            </w:pPr>
            <w:r>
              <w:rPr>
                <w:rFonts w:ascii="仿宋" w:eastAsia="仿宋" w:hAnsi="Times New Roman" w:cs="Times New Roman"/>
                <w:sz w:val="20"/>
                <w:szCs w:val="20"/>
                <w:lang w:eastAsia="zh-CN"/>
              </w:rPr>
              <w:t>580006.OF</w:t>
            </w:r>
          </w:p>
        </w:tc>
        <w:tc>
          <w:tcPr>
            <w:tcW w:w="0" w:type="auto"/>
            <w:tcBorders>
              <w:top w:val="single" w:sz="4" w:space="0" w:color="auto"/>
              <w:left w:val="single" w:sz="4"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东吴新经济混合</w:t>
            </w:r>
            <w:r>
              <w:rPr>
                <w:rStyle w:val="font51"/>
                <w:rFonts w:ascii="仿宋" w:eastAsia="仿宋"/>
                <w:lang w:eastAsia="zh-CN"/>
              </w:rPr>
              <w:t>A</w:t>
            </w:r>
          </w:p>
        </w:tc>
        <w:tc>
          <w:tcPr>
            <w:tcW w:w="0" w:type="auto"/>
            <w:tcBorders>
              <w:top w:val="single" w:sz="4" w:space="0" w:color="auto"/>
              <w:left w:val="single" w:sz="4"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中风险</w:t>
            </w:r>
          </w:p>
        </w:tc>
        <w:tc>
          <w:tcPr>
            <w:tcW w:w="1697" w:type="dxa"/>
            <w:tcBorders>
              <w:top w:val="single" w:sz="4" w:space="0" w:color="auto"/>
              <w:left w:val="single" w:sz="4" w:space="0" w:color="auto"/>
              <w:bottom w:val="nil"/>
              <w:right w:val="single" w:sz="12" w:space="0" w:color="auto"/>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中高风险</w:t>
            </w:r>
          </w:p>
        </w:tc>
      </w:tr>
      <w:tr w:rsidR="00D85E50">
        <w:trPr>
          <w:jc w:val="center"/>
        </w:trPr>
        <w:tc>
          <w:tcPr>
            <w:tcW w:w="0" w:type="auto"/>
            <w:tcBorders>
              <w:top w:val="single" w:sz="4" w:space="0" w:color="auto"/>
              <w:left w:val="single" w:sz="12"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Times New Roman" w:cs="Times New Roman"/>
                <w:sz w:val="20"/>
                <w:szCs w:val="20"/>
              </w:rPr>
            </w:pPr>
            <w:r>
              <w:rPr>
                <w:rFonts w:ascii="仿宋" w:eastAsia="仿宋" w:hAnsi="Times New Roman" w:cs="Times New Roman"/>
                <w:sz w:val="20"/>
                <w:szCs w:val="20"/>
                <w:lang w:eastAsia="zh-CN"/>
              </w:rPr>
              <w:t>012617.OF</w:t>
            </w:r>
          </w:p>
        </w:tc>
        <w:tc>
          <w:tcPr>
            <w:tcW w:w="0" w:type="auto"/>
            <w:tcBorders>
              <w:top w:val="single" w:sz="4" w:space="0" w:color="auto"/>
              <w:left w:val="single" w:sz="4"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东吴新经济混合</w:t>
            </w:r>
            <w:r>
              <w:rPr>
                <w:rStyle w:val="font51"/>
                <w:rFonts w:ascii="仿宋" w:eastAsia="仿宋"/>
                <w:lang w:eastAsia="zh-CN"/>
              </w:rPr>
              <w:t>C</w:t>
            </w:r>
          </w:p>
        </w:tc>
        <w:tc>
          <w:tcPr>
            <w:tcW w:w="0" w:type="auto"/>
            <w:tcBorders>
              <w:top w:val="single" w:sz="4" w:space="0" w:color="auto"/>
              <w:left w:val="single" w:sz="4"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中风险</w:t>
            </w:r>
          </w:p>
        </w:tc>
        <w:tc>
          <w:tcPr>
            <w:tcW w:w="1697" w:type="dxa"/>
            <w:tcBorders>
              <w:top w:val="single" w:sz="4" w:space="0" w:color="auto"/>
              <w:left w:val="single" w:sz="4" w:space="0" w:color="auto"/>
              <w:bottom w:val="nil"/>
              <w:right w:val="single" w:sz="12" w:space="0" w:color="auto"/>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中高风险</w:t>
            </w:r>
          </w:p>
        </w:tc>
      </w:tr>
      <w:tr w:rsidR="00D85E50">
        <w:trPr>
          <w:jc w:val="center"/>
        </w:trPr>
        <w:tc>
          <w:tcPr>
            <w:tcW w:w="0" w:type="auto"/>
            <w:tcBorders>
              <w:top w:val="single" w:sz="4" w:space="0" w:color="auto"/>
              <w:left w:val="single" w:sz="12"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Times New Roman" w:cs="Times New Roman"/>
                <w:sz w:val="20"/>
                <w:szCs w:val="20"/>
              </w:rPr>
            </w:pPr>
            <w:r>
              <w:rPr>
                <w:rFonts w:ascii="仿宋" w:eastAsia="仿宋" w:hAnsi="Times New Roman" w:cs="Times New Roman"/>
                <w:sz w:val="20"/>
                <w:szCs w:val="20"/>
                <w:lang w:eastAsia="zh-CN"/>
              </w:rPr>
              <w:t>013940.OF</w:t>
            </w:r>
          </w:p>
        </w:tc>
        <w:tc>
          <w:tcPr>
            <w:tcW w:w="0" w:type="auto"/>
            <w:tcBorders>
              <w:top w:val="single" w:sz="4" w:space="0" w:color="auto"/>
              <w:left w:val="single" w:sz="4"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东吴医疗服务股票</w:t>
            </w:r>
            <w:r>
              <w:rPr>
                <w:rStyle w:val="font51"/>
                <w:rFonts w:ascii="仿宋" w:eastAsia="仿宋"/>
                <w:lang w:eastAsia="zh-CN"/>
              </w:rPr>
              <w:t>A</w:t>
            </w:r>
          </w:p>
        </w:tc>
        <w:tc>
          <w:tcPr>
            <w:tcW w:w="0" w:type="auto"/>
            <w:tcBorders>
              <w:top w:val="single" w:sz="4" w:space="0" w:color="auto"/>
              <w:left w:val="single" w:sz="4"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中风险</w:t>
            </w:r>
          </w:p>
        </w:tc>
        <w:tc>
          <w:tcPr>
            <w:tcW w:w="1697" w:type="dxa"/>
            <w:tcBorders>
              <w:top w:val="single" w:sz="4" w:space="0" w:color="auto"/>
              <w:left w:val="single" w:sz="4" w:space="0" w:color="auto"/>
              <w:bottom w:val="nil"/>
              <w:right w:val="single" w:sz="12" w:space="0" w:color="auto"/>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中高风险</w:t>
            </w:r>
          </w:p>
        </w:tc>
      </w:tr>
      <w:tr w:rsidR="00D85E50">
        <w:trPr>
          <w:jc w:val="center"/>
        </w:trPr>
        <w:tc>
          <w:tcPr>
            <w:tcW w:w="0" w:type="auto"/>
            <w:tcBorders>
              <w:top w:val="single" w:sz="4" w:space="0" w:color="auto"/>
              <w:left w:val="single" w:sz="12"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Times New Roman" w:cs="Times New Roman"/>
                <w:sz w:val="20"/>
                <w:szCs w:val="20"/>
              </w:rPr>
            </w:pPr>
            <w:r>
              <w:rPr>
                <w:rFonts w:ascii="仿宋" w:eastAsia="仿宋" w:hAnsi="Times New Roman" w:cs="Times New Roman"/>
                <w:sz w:val="20"/>
                <w:szCs w:val="20"/>
                <w:lang w:eastAsia="zh-CN"/>
              </w:rPr>
              <w:t>013941.OF</w:t>
            </w:r>
          </w:p>
        </w:tc>
        <w:tc>
          <w:tcPr>
            <w:tcW w:w="0" w:type="auto"/>
            <w:tcBorders>
              <w:top w:val="single" w:sz="4" w:space="0" w:color="auto"/>
              <w:left w:val="single" w:sz="4"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东吴医疗服务股票</w:t>
            </w:r>
            <w:r>
              <w:rPr>
                <w:rStyle w:val="font51"/>
                <w:rFonts w:ascii="仿宋" w:eastAsia="仿宋"/>
                <w:lang w:eastAsia="zh-CN"/>
              </w:rPr>
              <w:t>C</w:t>
            </w:r>
          </w:p>
        </w:tc>
        <w:tc>
          <w:tcPr>
            <w:tcW w:w="0" w:type="auto"/>
            <w:tcBorders>
              <w:top w:val="single" w:sz="4" w:space="0" w:color="auto"/>
              <w:left w:val="single" w:sz="4"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中风险</w:t>
            </w:r>
          </w:p>
        </w:tc>
        <w:tc>
          <w:tcPr>
            <w:tcW w:w="1697" w:type="dxa"/>
            <w:tcBorders>
              <w:top w:val="single" w:sz="4" w:space="0" w:color="auto"/>
              <w:left w:val="single" w:sz="4" w:space="0" w:color="auto"/>
              <w:bottom w:val="nil"/>
              <w:right w:val="single" w:sz="12" w:space="0" w:color="auto"/>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中高风险</w:t>
            </w:r>
          </w:p>
        </w:tc>
      </w:tr>
      <w:tr w:rsidR="00D85E50">
        <w:trPr>
          <w:jc w:val="center"/>
        </w:trPr>
        <w:tc>
          <w:tcPr>
            <w:tcW w:w="0" w:type="auto"/>
            <w:tcBorders>
              <w:top w:val="single" w:sz="4" w:space="0" w:color="auto"/>
              <w:left w:val="single" w:sz="12"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Times New Roman" w:cs="Times New Roman"/>
                <w:sz w:val="20"/>
                <w:szCs w:val="20"/>
              </w:rPr>
            </w:pPr>
            <w:r>
              <w:rPr>
                <w:rFonts w:ascii="仿宋" w:eastAsia="仿宋" w:hAnsi="Times New Roman" w:cs="Times New Roman"/>
                <w:sz w:val="20"/>
                <w:szCs w:val="20"/>
                <w:lang w:eastAsia="zh-CN"/>
              </w:rPr>
              <w:t>582003.OF</w:t>
            </w:r>
          </w:p>
        </w:tc>
        <w:tc>
          <w:tcPr>
            <w:tcW w:w="0" w:type="auto"/>
            <w:tcBorders>
              <w:top w:val="single" w:sz="4" w:space="0" w:color="auto"/>
              <w:left w:val="single" w:sz="4"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东吴配置优化混合</w:t>
            </w:r>
            <w:r>
              <w:rPr>
                <w:rStyle w:val="font51"/>
                <w:rFonts w:ascii="仿宋" w:eastAsia="仿宋"/>
                <w:lang w:eastAsia="zh-CN"/>
              </w:rPr>
              <w:t>A</w:t>
            </w:r>
          </w:p>
        </w:tc>
        <w:tc>
          <w:tcPr>
            <w:tcW w:w="0" w:type="auto"/>
            <w:tcBorders>
              <w:top w:val="single" w:sz="4" w:space="0" w:color="auto"/>
              <w:left w:val="single" w:sz="4"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中风险</w:t>
            </w:r>
          </w:p>
        </w:tc>
        <w:tc>
          <w:tcPr>
            <w:tcW w:w="1697" w:type="dxa"/>
            <w:tcBorders>
              <w:top w:val="single" w:sz="4" w:space="0" w:color="auto"/>
              <w:left w:val="single" w:sz="4" w:space="0" w:color="auto"/>
              <w:bottom w:val="nil"/>
              <w:right w:val="single" w:sz="12" w:space="0" w:color="auto"/>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中高风险</w:t>
            </w:r>
          </w:p>
        </w:tc>
      </w:tr>
      <w:tr w:rsidR="00D85E50">
        <w:trPr>
          <w:jc w:val="center"/>
        </w:trPr>
        <w:tc>
          <w:tcPr>
            <w:tcW w:w="0" w:type="auto"/>
            <w:tcBorders>
              <w:top w:val="single" w:sz="4" w:space="0" w:color="auto"/>
              <w:left w:val="single" w:sz="12"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Times New Roman" w:cs="Times New Roman"/>
                <w:sz w:val="20"/>
                <w:szCs w:val="20"/>
              </w:rPr>
            </w:pPr>
            <w:r>
              <w:rPr>
                <w:rFonts w:ascii="仿宋" w:eastAsia="仿宋" w:hAnsi="Times New Roman" w:cs="Times New Roman"/>
                <w:sz w:val="20"/>
                <w:szCs w:val="20"/>
                <w:lang w:eastAsia="zh-CN"/>
              </w:rPr>
              <w:t>011707.OF</w:t>
            </w:r>
          </w:p>
        </w:tc>
        <w:tc>
          <w:tcPr>
            <w:tcW w:w="0" w:type="auto"/>
            <w:tcBorders>
              <w:top w:val="single" w:sz="4" w:space="0" w:color="auto"/>
              <w:left w:val="single" w:sz="4"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东吴配置优化混合</w:t>
            </w:r>
            <w:r>
              <w:rPr>
                <w:rStyle w:val="font51"/>
                <w:rFonts w:ascii="仿宋" w:eastAsia="仿宋"/>
                <w:lang w:eastAsia="zh-CN"/>
              </w:rPr>
              <w:t>C</w:t>
            </w:r>
          </w:p>
        </w:tc>
        <w:tc>
          <w:tcPr>
            <w:tcW w:w="0" w:type="auto"/>
            <w:tcBorders>
              <w:top w:val="single" w:sz="4" w:space="0" w:color="auto"/>
              <w:left w:val="single" w:sz="4"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中风险</w:t>
            </w:r>
          </w:p>
        </w:tc>
        <w:tc>
          <w:tcPr>
            <w:tcW w:w="1697" w:type="dxa"/>
            <w:tcBorders>
              <w:top w:val="single" w:sz="4" w:space="0" w:color="auto"/>
              <w:left w:val="single" w:sz="4" w:space="0" w:color="auto"/>
              <w:bottom w:val="nil"/>
              <w:right w:val="single" w:sz="12" w:space="0" w:color="auto"/>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中高风险</w:t>
            </w:r>
          </w:p>
        </w:tc>
      </w:tr>
      <w:tr w:rsidR="00D85E50">
        <w:trPr>
          <w:jc w:val="center"/>
        </w:trPr>
        <w:tc>
          <w:tcPr>
            <w:tcW w:w="0" w:type="auto"/>
            <w:tcBorders>
              <w:top w:val="single" w:sz="4" w:space="0" w:color="auto"/>
              <w:left w:val="single" w:sz="12"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Times New Roman" w:cs="Times New Roman"/>
                <w:sz w:val="20"/>
                <w:szCs w:val="20"/>
              </w:rPr>
            </w:pPr>
            <w:r>
              <w:rPr>
                <w:rFonts w:ascii="仿宋" w:eastAsia="仿宋" w:hAnsi="Times New Roman" w:cs="Times New Roman"/>
                <w:sz w:val="20"/>
                <w:szCs w:val="20"/>
                <w:lang w:eastAsia="zh-CN"/>
              </w:rPr>
              <w:t>012971.OF</w:t>
            </w:r>
          </w:p>
        </w:tc>
        <w:tc>
          <w:tcPr>
            <w:tcW w:w="0" w:type="auto"/>
            <w:tcBorders>
              <w:top w:val="single" w:sz="4" w:space="0" w:color="auto"/>
              <w:left w:val="single" w:sz="4"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东吴消费成长混合</w:t>
            </w:r>
            <w:r>
              <w:rPr>
                <w:rStyle w:val="font51"/>
                <w:rFonts w:ascii="仿宋" w:eastAsia="仿宋"/>
                <w:lang w:eastAsia="zh-CN"/>
              </w:rPr>
              <w:t>A</w:t>
            </w:r>
          </w:p>
        </w:tc>
        <w:tc>
          <w:tcPr>
            <w:tcW w:w="0" w:type="auto"/>
            <w:tcBorders>
              <w:top w:val="single" w:sz="4" w:space="0" w:color="auto"/>
              <w:left w:val="single" w:sz="4"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中风险</w:t>
            </w:r>
          </w:p>
        </w:tc>
        <w:tc>
          <w:tcPr>
            <w:tcW w:w="1697" w:type="dxa"/>
            <w:tcBorders>
              <w:top w:val="single" w:sz="4" w:space="0" w:color="auto"/>
              <w:left w:val="single" w:sz="4" w:space="0" w:color="auto"/>
              <w:bottom w:val="nil"/>
              <w:right w:val="single" w:sz="12" w:space="0" w:color="auto"/>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中高风险</w:t>
            </w:r>
          </w:p>
        </w:tc>
      </w:tr>
      <w:tr w:rsidR="00D85E50">
        <w:trPr>
          <w:jc w:val="center"/>
        </w:trPr>
        <w:tc>
          <w:tcPr>
            <w:tcW w:w="0" w:type="auto"/>
            <w:tcBorders>
              <w:top w:val="single" w:sz="4" w:space="0" w:color="auto"/>
              <w:left w:val="single" w:sz="12"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Times New Roman" w:cs="Times New Roman"/>
                <w:sz w:val="20"/>
                <w:szCs w:val="20"/>
              </w:rPr>
            </w:pPr>
            <w:r>
              <w:rPr>
                <w:rFonts w:ascii="仿宋" w:eastAsia="仿宋" w:hAnsi="Times New Roman" w:cs="Times New Roman"/>
                <w:sz w:val="20"/>
                <w:szCs w:val="20"/>
                <w:lang w:eastAsia="zh-CN"/>
              </w:rPr>
              <w:t>012972.OF</w:t>
            </w:r>
          </w:p>
        </w:tc>
        <w:tc>
          <w:tcPr>
            <w:tcW w:w="0" w:type="auto"/>
            <w:tcBorders>
              <w:top w:val="single" w:sz="4" w:space="0" w:color="auto"/>
              <w:left w:val="single" w:sz="4"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东吴消费成长混合</w:t>
            </w:r>
            <w:r>
              <w:rPr>
                <w:rStyle w:val="font51"/>
                <w:rFonts w:ascii="仿宋" w:eastAsia="仿宋"/>
                <w:lang w:eastAsia="zh-CN"/>
              </w:rPr>
              <w:t>C</w:t>
            </w:r>
          </w:p>
        </w:tc>
        <w:tc>
          <w:tcPr>
            <w:tcW w:w="0" w:type="auto"/>
            <w:tcBorders>
              <w:top w:val="single" w:sz="4" w:space="0" w:color="auto"/>
              <w:left w:val="single" w:sz="4"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中风险</w:t>
            </w:r>
          </w:p>
        </w:tc>
        <w:tc>
          <w:tcPr>
            <w:tcW w:w="1697" w:type="dxa"/>
            <w:tcBorders>
              <w:top w:val="single" w:sz="4" w:space="0" w:color="auto"/>
              <w:left w:val="single" w:sz="4" w:space="0" w:color="auto"/>
              <w:bottom w:val="nil"/>
              <w:right w:val="single" w:sz="12" w:space="0" w:color="auto"/>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中高风险</w:t>
            </w:r>
          </w:p>
        </w:tc>
      </w:tr>
      <w:tr w:rsidR="00D85E50">
        <w:trPr>
          <w:jc w:val="center"/>
        </w:trPr>
        <w:tc>
          <w:tcPr>
            <w:tcW w:w="0" w:type="auto"/>
            <w:tcBorders>
              <w:top w:val="single" w:sz="4" w:space="0" w:color="auto"/>
              <w:left w:val="single" w:sz="12"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Times New Roman" w:cs="Times New Roman"/>
                <w:sz w:val="20"/>
                <w:szCs w:val="20"/>
              </w:rPr>
            </w:pPr>
            <w:r>
              <w:rPr>
                <w:rFonts w:ascii="仿宋" w:eastAsia="仿宋" w:hAnsi="Times New Roman" w:cs="Times New Roman"/>
                <w:sz w:val="20"/>
                <w:szCs w:val="20"/>
                <w:lang w:eastAsia="zh-CN"/>
              </w:rPr>
              <w:t>585001.OF</w:t>
            </w:r>
          </w:p>
        </w:tc>
        <w:tc>
          <w:tcPr>
            <w:tcW w:w="0" w:type="auto"/>
            <w:tcBorders>
              <w:top w:val="single" w:sz="4" w:space="0" w:color="auto"/>
              <w:left w:val="single" w:sz="4"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东吴中证新兴指数</w:t>
            </w:r>
          </w:p>
        </w:tc>
        <w:tc>
          <w:tcPr>
            <w:tcW w:w="0" w:type="auto"/>
            <w:tcBorders>
              <w:top w:val="single" w:sz="4" w:space="0" w:color="auto"/>
              <w:left w:val="single" w:sz="4"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中风险</w:t>
            </w:r>
          </w:p>
        </w:tc>
        <w:tc>
          <w:tcPr>
            <w:tcW w:w="1697" w:type="dxa"/>
            <w:tcBorders>
              <w:top w:val="single" w:sz="4" w:space="0" w:color="auto"/>
              <w:left w:val="single" w:sz="4" w:space="0" w:color="auto"/>
              <w:bottom w:val="nil"/>
              <w:right w:val="single" w:sz="12" w:space="0" w:color="auto"/>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中高风险</w:t>
            </w:r>
          </w:p>
        </w:tc>
      </w:tr>
      <w:tr w:rsidR="00D85E50">
        <w:trPr>
          <w:jc w:val="center"/>
        </w:trPr>
        <w:tc>
          <w:tcPr>
            <w:tcW w:w="0" w:type="auto"/>
            <w:tcBorders>
              <w:top w:val="single" w:sz="4" w:space="0" w:color="auto"/>
              <w:left w:val="single" w:sz="12"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Times New Roman" w:cs="Times New Roman"/>
                <w:sz w:val="20"/>
                <w:szCs w:val="20"/>
              </w:rPr>
            </w:pPr>
            <w:r>
              <w:rPr>
                <w:rFonts w:ascii="仿宋" w:eastAsia="仿宋" w:hAnsi="Times New Roman" w:cs="Times New Roman"/>
                <w:sz w:val="20"/>
                <w:szCs w:val="20"/>
                <w:lang w:eastAsia="zh-CN"/>
              </w:rPr>
              <w:t>000531.OF</w:t>
            </w:r>
          </w:p>
        </w:tc>
        <w:tc>
          <w:tcPr>
            <w:tcW w:w="0" w:type="auto"/>
            <w:tcBorders>
              <w:top w:val="single" w:sz="4" w:space="0" w:color="auto"/>
              <w:left w:val="single" w:sz="4"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东吴阿尔法混合</w:t>
            </w:r>
            <w:r>
              <w:rPr>
                <w:rStyle w:val="font51"/>
                <w:rFonts w:ascii="仿宋" w:eastAsia="仿宋"/>
                <w:lang w:eastAsia="zh-CN"/>
              </w:rPr>
              <w:t>A</w:t>
            </w:r>
          </w:p>
        </w:tc>
        <w:tc>
          <w:tcPr>
            <w:tcW w:w="0" w:type="auto"/>
            <w:tcBorders>
              <w:top w:val="single" w:sz="4" w:space="0" w:color="auto"/>
              <w:left w:val="single" w:sz="4"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中风险</w:t>
            </w:r>
          </w:p>
        </w:tc>
        <w:tc>
          <w:tcPr>
            <w:tcW w:w="1697" w:type="dxa"/>
            <w:tcBorders>
              <w:top w:val="single" w:sz="4" w:space="0" w:color="auto"/>
              <w:left w:val="single" w:sz="4" w:space="0" w:color="auto"/>
              <w:bottom w:val="nil"/>
              <w:right w:val="single" w:sz="12" w:space="0" w:color="auto"/>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中高风险</w:t>
            </w:r>
          </w:p>
        </w:tc>
      </w:tr>
      <w:tr w:rsidR="00D85E50">
        <w:trPr>
          <w:jc w:val="center"/>
        </w:trPr>
        <w:tc>
          <w:tcPr>
            <w:tcW w:w="0" w:type="auto"/>
            <w:tcBorders>
              <w:top w:val="single" w:sz="4" w:space="0" w:color="auto"/>
              <w:left w:val="single" w:sz="12"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Times New Roman" w:cs="Times New Roman"/>
                <w:sz w:val="20"/>
                <w:szCs w:val="20"/>
              </w:rPr>
            </w:pPr>
            <w:r>
              <w:rPr>
                <w:rFonts w:ascii="仿宋" w:eastAsia="仿宋" w:hAnsi="Times New Roman" w:cs="Times New Roman"/>
                <w:sz w:val="20"/>
                <w:szCs w:val="20"/>
                <w:lang w:eastAsia="zh-CN"/>
              </w:rPr>
              <w:t>014581.OF</w:t>
            </w:r>
          </w:p>
        </w:tc>
        <w:tc>
          <w:tcPr>
            <w:tcW w:w="0" w:type="auto"/>
            <w:tcBorders>
              <w:top w:val="single" w:sz="4" w:space="0" w:color="auto"/>
              <w:left w:val="single" w:sz="4"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东吴阿尔法混合</w:t>
            </w:r>
            <w:r>
              <w:rPr>
                <w:rStyle w:val="font51"/>
                <w:rFonts w:ascii="仿宋" w:eastAsia="仿宋"/>
                <w:lang w:eastAsia="zh-CN"/>
              </w:rPr>
              <w:t>C</w:t>
            </w:r>
          </w:p>
        </w:tc>
        <w:tc>
          <w:tcPr>
            <w:tcW w:w="0" w:type="auto"/>
            <w:tcBorders>
              <w:top w:val="single" w:sz="4" w:space="0" w:color="auto"/>
              <w:left w:val="single" w:sz="4"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中风险</w:t>
            </w:r>
          </w:p>
        </w:tc>
        <w:tc>
          <w:tcPr>
            <w:tcW w:w="1697" w:type="dxa"/>
            <w:tcBorders>
              <w:top w:val="single" w:sz="4" w:space="0" w:color="auto"/>
              <w:left w:val="single" w:sz="4" w:space="0" w:color="auto"/>
              <w:bottom w:val="nil"/>
              <w:right w:val="single" w:sz="12" w:space="0" w:color="auto"/>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中高风险</w:t>
            </w:r>
          </w:p>
        </w:tc>
      </w:tr>
      <w:tr w:rsidR="00D85E50">
        <w:trPr>
          <w:jc w:val="center"/>
        </w:trPr>
        <w:tc>
          <w:tcPr>
            <w:tcW w:w="0" w:type="auto"/>
            <w:tcBorders>
              <w:top w:val="single" w:sz="4" w:space="0" w:color="auto"/>
              <w:left w:val="single" w:sz="12"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Times New Roman" w:cs="Times New Roman"/>
                <w:sz w:val="20"/>
                <w:szCs w:val="20"/>
              </w:rPr>
            </w:pPr>
            <w:r>
              <w:rPr>
                <w:rFonts w:ascii="仿宋" w:eastAsia="仿宋" w:hAnsi="Times New Roman" w:cs="Times New Roman"/>
                <w:sz w:val="20"/>
                <w:szCs w:val="20"/>
                <w:lang w:eastAsia="zh-CN"/>
              </w:rPr>
              <w:t>580007.OF</w:t>
            </w:r>
          </w:p>
        </w:tc>
        <w:tc>
          <w:tcPr>
            <w:tcW w:w="0" w:type="auto"/>
            <w:tcBorders>
              <w:top w:val="single" w:sz="4" w:space="0" w:color="auto"/>
              <w:left w:val="single" w:sz="4"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东吴安享量化混合</w:t>
            </w:r>
            <w:r>
              <w:rPr>
                <w:rStyle w:val="font51"/>
                <w:rFonts w:ascii="仿宋" w:eastAsia="仿宋"/>
                <w:lang w:eastAsia="zh-CN"/>
              </w:rPr>
              <w:t>A</w:t>
            </w:r>
          </w:p>
        </w:tc>
        <w:tc>
          <w:tcPr>
            <w:tcW w:w="0" w:type="auto"/>
            <w:tcBorders>
              <w:top w:val="single" w:sz="4" w:space="0" w:color="auto"/>
              <w:left w:val="single" w:sz="4"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中风险</w:t>
            </w:r>
          </w:p>
        </w:tc>
        <w:tc>
          <w:tcPr>
            <w:tcW w:w="1697" w:type="dxa"/>
            <w:tcBorders>
              <w:top w:val="single" w:sz="4" w:space="0" w:color="auto"/>
              <w:left w:val="single" w:sz="4" w:space="0" w:color="auto"/>
              <w:bottom w:val="nil"/>
              <w:right w:val="single" w:sz="12" w:space="0" w:color="auto"/>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中高风险</w:t>
            </w:r>
          </w:p>
        </w:tc>
      </w:tr>
      <w:tr w:rsidR="00D85E50">
        <w:trPr>
          <w:jc w:val="center"/>
        </w:trPr>
        <w:tc>
          <w:tcPr>
            <w:tcW w:w="0" w:type="auto"/>
            <w:tcBorders>
              <w:top w:val="single" w:sz="4" w:space="0" w:color="auto"/>
              <w:left w:val="single" w:sz="12"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Times New Roman" w:cs="Times New Roman"/>
                <w:sz w:val="20"/>
                <w:szCs w:val="20"/>
              </w:rPr>
            </w:pPr>
            <w:r>
              <w:rPr>
                <w:rFonts w:ascii="仿宋" w:eastAsia="仿宋" w:hAnsi="Times New Roman" w:cs="Times New Roman"/>
                <w:sz w:val="20"/>
                <w:szCs w:val="20"/>
                <w:lang w:eastAsia="zh-CN"/>
              </w:rPr>
              <w:t>014571.OF</w:t>
            </w:r>
          </w:p>
        </w:tc>
        <w:tc>
          <w:tcPr>
            <w:tcW w:w="0" w:type="auto"/>
            <w:tcBorders>
              <w:top w:val="single" w:sz="4" w:space="0" w:color="auto"/>
              <w:left w:val="single" w:sz="4"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东吴安享量化混合</w:t>
            </w:r>
            <w:r>
              <w:rPr>
                <w:rStyle w:val="font51"/>
                <w:rFonts w:ascii="仿宋" w:eastAsia="仿宋"/>
                <w:lang w:eastAsia="zh-CN"/>
              </w:rPr>
              <w:t>C</w:t>
            </w:r>
          </w:p>
        </w:tc>
        <w:tc>
          <w:tcPr>
            <w:tcW w:w="0" w:type="auto"/>
            <w:tcBorders>
              <w:top w:val="single" w:sz="4" w:space="0" w:color="auto"/>
              <w:left w:val="single" w:sz="4"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中风险</w:t>
            </w:r>
          </w:p>
        </w:tc>
        <w:tc>
          <w:tcPr>
            <w:tcW w:w="1697" w:type="dxa"/>
            <w:tcBorders>
              <w:top w:val="single" w:sz="4" w:space="0" w:color="auto"/>
              <w:left w:val="single" w:sz="4" w:space="0" w:color="auto"/>
              <w:bottom w:val="nil"/>
              <w:right w:val="single" w:sz="12" w:space="0" w:color="auto"/>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中高风险</w:t>
            </w:r>
          </w:p>
        </w:tc>
      </w:tr>
      <w:tr w:rsidR="00D85E50">
        <w:trPr>
          <w:jc w:val="center"/>
        </w:trPr>
        <w:tc>
          <w:tcPr>
            <w:tcW w:w="0" w:type="auto"/>
            <w:tcBorders>
              <w:top w:val="single" w:sz="4" w:space="0" w:color="auto"/>
              <w:left w:val="single" w:sz="12"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Times New Roman" w:cs="Times New Roman"/>
                <w:sz w:val="20"/>
                <w:szCs w:val="20"/>
              </w:rPr>
            </w:pPr>
            <w:r>
              <w:rPr>
                <w:rFonts w:ascii="仿宋" w:eastAsia="仿宋" w:hAnsi="Times New Roman" w:cs="Times New Roman"/>
                <w:sz w:val="20"/>
                <w:szCs w:val="20"/>
                <w:lang w:eastAsia="zh-CN"/>
              </w:rPr>
              <w:t>002159.OF</w:t>
            </w:r>
          </w:p>
        </w:tc>
        <w:tc>
          <w:tcPr>
            <w:tcW w:w="0" w:type="auto"/>
            <w:tcBorders>
              <w:top w:val="single" w:sz="4" w:space="0" w:color="auto"/>
              <w:left w:val="single" w:sz="4"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东吴国企改革混合</w:t>
            </w:r>
            <w:r>
              <w:rPr>
                <w:rStyle w:val="font51"/>
                <w:rFonts w:ascii="仿宋" w:eastAsia="仿宋"/>
                <w:lang w:eastAsia="zh-CN"/>
              </w:rPr>
              <w:t>A</w:t>
            </w:r>
          </w:p>
        </w:tc>
        <w:tc>
          <w:tcPr>
            <w:tcW w:w="0" w:type="auto"/>
            <w:tcBorders>
              <w:top w:val="single" w:sz="4" w:space="0" w:color="auto"/>
              <w:left w:val="single" w:sz="4"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中风险</w:t>
            </w:r>
          </w:p>
        </w:tc>
        <w:tc>
          <w:tcPr>
            <w:tcW w:w="1697" w:type="dxa"/>
            <w:tcBorders>
              <w:top w:val="single" w:sz="4" w:space="0" w:color="auto"/>
              <w:left w:val="single" w:sz="4" w:space="0" w:color="auto"/>
              <w:bottom w:val="nil"/>
              <w:right w:val="single" w:sz="12" w:space="0" w:color="auto"/>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中高风险</w:t>
            </w:r>
          </w:p>
        </w:tc>
      </w:tr>
      <w:tr w:rsidR="00D85E50">
        <w:trPr>
          <w:jc w:val="center"/>
        </w:trPr>
        <w:tc>
          <w:tcPr>
            <w:tcW w:w="0" w:type="auto"/>
            <w:tcBorders>
              <w:top w:val="single" w:sz="4" w:space="0" w:color="auto"/>
              <w:left w:val="single" w:sz="12"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Times New Roman" w:cs="Times New Roman"/>
                <w:sz w:val="20"/>
                <w:szCs w:val="20"/>
              </w:rPr>
            </w:pPr>
            <w:r>
              <w:rPr>
                <w:rFonts w:ascii="仿宋" w:eastAsia="仿宋" w:hAnsi="Times New Roman" w:cs="Times New Roman"/>
                <w:sz w:val="20"/>
                <w:szCs w:val="20"/>
                <w:lang w:eastAsia="zh-CN"/>
              </w:rPr>
              <w:t>012615.OF</w:t>
            </w:r>
          </w:p>
        </w:tc>
        <w:tc>
          <w:tcPr>
            <w:tcW w:w="0" w:type="auto"/>
            <w:tcBorders>
              <w:top w:val="single" w:sz="4" w:space="0" w:color="auto"/>
              <w:left w:val="single" w:sz="4"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东吴国企改革混合</w:t>
            </w:r>
            <w:r>
              <w:rPr>
                <w:rStyle w:val="font51"/>
                <w:rFonts w:ascii="仿宋" w:eastAsia="仿宋"/>
                <w:lang w:eastAsia="zh-CN"/>
              </w:rPr>
              <w:t>C</w:t>
            </w:r>
          </w:p>
        </w:tc>
        <w:tc>
          <w:tcPr>
            <w:tcW w:w="0" w:type="auto"/>
            <w:tcBorders>
              <w:top w:val="single" w:sz="4" w:space="0" w:color="auto"/>
              <w:left w:val="single" w:sz="4"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中风险</w:t>
            </w:r>
          </w:p>
        </w:tc>
        <w:tc>
          <w:tcPr>
            <w:tcW w:w="1697" w:type="dxa"/>
            <w:tcBorders>
              <w:top w:val="single" w:sz="4" w:space="0" w:color="auto"/>
              <w:left w:val="single" w:sz="4" w:space="0" w:color="auto"/>
              <w:bottom w:val="nil"/>
              <w:right w:val="single" w:sz="12" w:space="0" w:color="auto"/>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中高风险</w:t>
            </w:r>
          </w:p>
        </w:tc>
      </w:tr>
      <w:tr w:rsidR="00D85E50">
        <w:trPr>
          <w:jc w:val="center"/>
        </w:trPr>
        <w:tc>
          <w:tcPr>
            <w:tcW w:w="0" w:type="auto"/>
            <w:tcBorders>
              <w:top w:val="single" w:sz="4" w:space="0" w:color="auto"/>
              <w:left w:val="single" w:sz="12"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Times New Roman" w:cs="Times New Roman"/>
                <w:sz w:val="20"/>
                <w:szCs w:val="20"/>
              </w:rPr>
            </w:pPr>
            <w:r>
              <w:rPr>
                <w:rFonts w:ascii="仿宋" w:eastAsia="仿宋" w:hAnsi="Times New Roman" w:cs="Times New Roman"/>
                <w:sz w:val="20"/>
                <w:szCs w:val="20"/>
                <w:lang w:eastAsia="zh-CN"/>
              </w:rPr>
              <w:t>005209.OF</w:t>
            </w:r>
          </w:p>
        </w:tc>
        <w:tc>
          <w:tcPr>
            <w:tcW w:w="0" w:type="auto"/>
            <w:tcBorders>
              <w:top w:val="single" w:sz="4" w:space="0" w:color="auto"/>
              <w:left w:val="single" w:sz="4"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东吴双三角股票</w:t>
            </w:r>
            <w:r>
              <w:rPr>
                <w:rStyle w:val="font51"/>
                <w:rFonts w:ascii="仿宋" w:eastAsia="仿宋"/>
                <w:lang w:eastAsia="zh-CN"/>
              </w:rPr>
              <w:t>A</w:t>
            </w:r>
          </w:p>
        </w:tc>
        <w:tc>
          <w:tcPr>
            <w:tcW w:w="0" w:type="auto"/>
            <w:tcBorders>
              <w:top w:val="single" w:sz="4" w:space="0" w:color="auto"/>
              <w:left w:val="single" w:sz="4" w:space="0" w:color="auto"/>
              <w:bottom w:val="nil"/>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中风险</w:t>
            </w:r>
          </w:p>
        </w:tc>
        <w:tc>
          <w:tcPr>
            <w:tcW w:w="1697" w:type="dxa"/>
            <w:tcBorders>
              <w:top w:val="single" w:sz="4" w:space="0" w:color="auto"/>
              <w:left w:val="single" w:sz="4" w:space="0" w:color="auto"/>
              <w:bottom w:val="nil"/>
              <w:right w:val="single" w:sz="12" w:space="0" w:color="auto"/>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中高风险</w:t>
            </w:r>
          </w:p>
        </w:tc>
      </w:tr>
      <w:tr w:rsidR="00D85E50">
        <w:trPr>
          <w:jc w:val="center"/>
        </w:trPr>
        <w:tc>
          <w:tcPr>
            <w:tcW w:w="1561" w:type="dxa"/>
            <w:tcBorders>
              <w:top w:val="single" w:sz="4" w:space="0" w:color="auto"/>
              <w:left w:val="single" w:sz="12" w:space="0" w:color="auto"/>
              <w:bottom w:val="single" w:sz="12" w:space="0" w:color="auto"/>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Times New Roman" w:cs="Times New Roman"/>
                <w:sz w:val="20"/>
                <w:szCs w:val="20"/>
              </w:rPr>
            </w:pPr>
            <w:r>
              <w:rPr>
                <w:rFonts w:ascii="仿宋" w:eastAsia="仿宋" w:hAnsi="Times New Roman" w:cs="Times New Roman"/>
                <w:sz w:val="20"/>
                <w:szCs w:val="20"/>
                <w:lang w:eastAsia="zh-CN"/>
              </w:rPr>
              <w:t>005210.OF</w:t>
            </w:r>
          </w:p>
        </w:tc>
        <w:tc>
          <w:tcPr>
            <w:tcW w:w="3563" w:type="dxa"/>
            <w:tcBorders>
              <w:top w:val="single" w:sz="4" w:space="0" w:color="auto"/>
              <w:left w:val="single" w:sz="4" w:space="0" w:color="auto"/>
              <w:bottom w:val="single" w:sz="12" w:space="0" w:color="auto"/>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东吴双三角股票</w:t>
            </w:r>
            <w:r>
              <w:rPr>
                <w:rStyle w:val="font51"/>
                <w:rFonts w:ascii="仿宋" w:eastAsia="仿宋"/>
                <w:lang w:eastAsia="zh-CN"/>
              </w:rPr>
              <w:t>C</w:t>
            </w:r>
          </w:p>
        </w:tc>
        <w:tc>
          <w:tcPr>
            <w:tcW w:w="1697" w:type="dxa"/>
            <w:tcBorders>
              <w:top w:val="single" w:sz="4" w:space="0" w:color="auto"/>
              <w:left w:val="single" w:sz="4" w:space="0" w:color="auto"/>
              <w:bottom w:val="single" w:sz="12" w:space="0" w:color="auto"/>
              <w:right w:val="nil"/>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中风险</w:t>
            </w:r>
          </w:p>
        </w:tc>
        <w:tc>
          <w:tcPr>
            <w:tcW w:w="1697" w:type="dxa"/>
            <w:tcBorders>
              <w:top w:val="single" w:sz="4" w:space="0" w:color="auto"/>
              <w:left w:val="single" w:sz="4" w:space="0" w:color="auto"/>
              <w:bottom w:val="single" w:sz="12" w:space="0" w:color="auto"/>
              <w:right w:val="single" w:sz="12" w:space="0" w:color="auto"/>
            </w:tcBorders>
            <w:shd w:val="clear" w:color="auto" w:fill="auto"/>
            <w:tcMar>
              <w:top w:w="-1" w:type="dxa"/>
              <w:left w:w="-1" w:type="dxa"/>
              <w:bottom w:w="-1" w:type="dxa"/>
              <w:right w:w="-1" w:type="dxa"/>
            </w:tcMar>
            <w:vAlign w:val="center"/>
          </w:tcPr>
          <w:p w:rsidR="00D85E50" w:rsidRDefault="0025435B">
            <w:pPr>
              <w:jc w:val="center"/>
              <w:textAlignment w:val="center"/>
              <w:rPr>
                <w:rFonts w:ascii="仿宋" w:eastAsia="仿宋" w:hAnsi="仿宋" w:cs="仿宋"/>
                <w:sz w:val="20"/>
                <w:szCs w:val="20"/>
              </w:rPr>
            </w:pPr>
            <w:r>
              <w:rPr>
                <w:rFonts w:ascii="仿宋" w:eastAsia="仿宋" w:hAnsi="仿宋" w:cs="仿宋" w:hint="eastAsia"/>
                <w:sz w:val="20"/>
                <w:szCs w:val="20"/>
                <w:lang w:eastAsia="zh-CN"/>
              </w:rPr>
              <w:t>中高风险</w:t>
            </w:r>
          </w:p>
        </w:tc>
      </w:tr>
    </w:tbl>
    <w:p w:rsidR="00D85E50" w:rsidRDefault="00D85E50" w:rsidP="008D56D2">
      <w:pPr>
        <w:spacing w:line="360" w:lineRule="auto"/>
        <w:ind w:firstLineChars="200" w:firstLine="580"/>
        <w:jc w:val="both"/>
        <w:rPr>
          <w:rFonts w:ascii="Times New Roman" w:eastAsia="仿宋" w:hAnsi="Times New Roman" w:cs="Times New Roman"/>
          <w:b/>
          <w:bCs/>
          <w:spacing w:val="10"/>
          <w:sz w:val="27"/>
          <w:szCs w:val="27"/>
          <w:lang w:eastAsia="zh-CN"/>
        </w:rPr>
      </w:pPr>
    </w:p>
    <w:p w:rsidR="00D85E50" w:rsidRDefault="0025435B">
      <w:pPr>
        <w:spacing w:line="360" w:lineRule="auto"/>
        <w:ind w:firstLineChars="200" w:firstLine="580"/>
        <w:jc w:val="both"/>
        <w:rPr>
          <w:rFonts w:ascii="仿宋" w:eastAsia="仿宋" w:hAnsi="仿宋" w:cs="仿宋"/>
          <w:spacing w:val="10"/>
          <w:sz w:val="27"/>
          <w:szCs w:val="27"/>
          <w:lang w:eastAsia="zh-CN"/>
        </w:rPr>
      </w:pPr>
      <w:r>
        <w:rPr>
          <w:rFonts w:ascii="仿宋" w:eastAsia="仿宋" w:hAnsi="仿宋" w:cs="仿宋"/>
          <w:spacing w:val="10"/>
          <w:sz w:val="27"/>
          <w:szCs w:val="27"/>
          <w:lang w:eastAsia="zh-CN"/>
        </w:rPr>
        <w:t>风险</w:t>
      </w:r>
      <w:r>
        <w:rPr>
          <w:rFonts w:ascii="仿宋" w:eastAsia="仿宋" w:hAnsi="仿宋" w:cs="仿宋" w:hint="eastAsia"/>
          <w:spacing w:val="10"/>
          <w:sz w:val="27"/>
          <w:szCs w:val="27"/>
          <w:lang w:eastAsia="zh-CN"/>
        </w:rPr>
        <w:t>提示</w:t>
      </w:r>
    </w:p>
    <w:p w:rsidR="00D85E50" w:rsidRDefault="0025435B">
      <w:pPr>
        <w:spacing w:line="360" w:lineRule="auto"/>
        <w:ind w:firstLineChars="200" w:firstLine="580"/>
        <w:jc w:val="both"/>
        <w:rPr>
          <w:rFonts w:ascii="仿宋" w:eastAsia="仿宋" w:hAnsi="仿宋" w:cs="仿宋"/>
          <w:spacing w:val="10"/>
          <w:sz w:val="27"/>
          <w:szCs w:val="27"/>
          <w:lang w:eastAsia="zh-CN"/>
        </w:rPr>
      </w:pPr>
      <w:r>
        <w:rPr>
          <w:rFonts w:ascii="仿宋" w:eastAsia="仿宋" w:hAnsi="仿宋" w:cs="仿宋"/>
          <w:spacing w:val="10"/>
          <w:sz w:val="27"/>
          <w:szCs w:val="27"/>
          <w:lang w:eastAsia="zh-CN"/>
        </w:rPr>
        <w:t>1.销售机构（包括基金管理人直销机构和代销机构）根据投资者适当性法律法规对基金进行风险评价，不同的销售机构采用的评价方法不同，因此不同销售机构对基金的风险等级评价结果可能存在不同。</w:t>
      </w:r>
    </w:p>
    <w:p w:rsidR="00D85E50" w:rsidRDefault="0025435B">
      <w:pPr>
        <w:spacing w:line="360" w:lineRule="auto"/>
        <w:ind w:firstLineChars="200" w:firstLine="580"/>
        <w:jc w:val="both"/>
        <w:rPr>
          <w:rFonts w:ascii="仿宋" w:eastAsia="仿宋" w:hAnsi="仿宋" w:cs="仿宋"/>
          <w:spacing w:val="10"/>
          <w:sz w:val="27"/>
          <w:szCs w:val="27"/>
          <w:lang w:eastAsia="zh-CN"/>
        </w:rPr>
      </w:pPr>
      <w:r>
        <w:rPr>
          <w:rFonts w:ascii="仿宋" w:eastAsia="仿宋" w:hAnsi="仿宋" w:cs="仿宋"/>
          <w:spacing w:val="10"/>
          <w:sz w:val="27"/>
          <w:szCs w:val="27"/>
          <w:lang w:eastAsia="zh-CN"/>
        </w:rPr>
        <w:t>2.</w:t>
      </w:r>
      <w:r>
        <w:rPr>
          <w:rFonts w:ascii="仿宋" w:eastAsia="仿宋" w:hAnsi="仿宋" w:cs="仿宋" w:hint="eastAsia"/>
          <w:spacing w:val="10"/>
          <w:sz w:val="27"/>
          <w:szCs w:val="27"/>
          <w:lang w:eastAsia="zh-CN"/>
        </w:rPr>
        <w:t>本公司所有公募基金的风险等级均在官网公布，投资者可访问本公司网站(www.scfund.com.cn)查阅。</w:t>
      </w:r>
    </w:p>
    <w:p w:rsidR="00D85E50" w:rsidRDefault="0025435B">
      <w:pPr>
        <w:spacing w:line="360" w:lineRule="auto"/>
        <w:ind w:firstLineChars="200" w:firstLine="580"/>
        <w:jc w:val="both"/>
        <w:rPr>
          <w:rFonts w:ascii="仿宋" w:eastAsia="仿宋" w:hAnsi="仿宋" w:cs="仿宋"/>
          <w:spacing w:val="10"/>
          <w:sz w:val="27"/>
          <w:szCs w:val="27"/>
          <w:lang w:eastAsia="zh-CN"/>
        </w:rPr>
      </w:pPr>
      <w:r>
        <w:rPr>
          <w:rFonts w:ascii="仿宋" w:eastAsia="仿宋" w:hAnsi="仿宋" w:cs="仿宋" w:hint="eastAsia"/>
          <w:spacing w:val="10"/>
          <w:sz w:val="27"/>
          <w:szCs w:val="27"/>
          <w:lang w:eastAsia="zh-CN"/>
        </w:rPr>
        <w:t>3.</w:t>
      </w:r>
      <w:r>
        <w:rPr>
          <w:rFonts w:ascii="仿宋" w:eastAsia="仿宋" w:hAnsi="仿宋" w:cs="仿宋"/>
          <w:spacing w:val="10"/>
          <w:sz w:val="27"/>
          <w:szCs w:val="27"/>
          <w:lang w:eastAsia="zh-CN"/>
        </w:rPr>
        <w:t>投资者购买基金后，所购买的基金产品风险等级可能因市场或运作情况等影响而发生调整，并可能超出投资者自身风险承受能力，从而可能产生不利后果和损失。投资者请及时关注基金风险等级的变化并谨慎决策，以确保自身的投资决策与风险承受能力相匹配。</w:t>
      </w:r>
    </w:p>
    <w:p w:rsidR="00D85E50" w:rsidRDefault="0025435B">
      <w:pPr>
        <w:spacing w:line="360" w:lineRule="auto"/>
        <w:ind w:firstLineChars="200" w:firstLine="580"/>
        <w:jc w:val="both"/>
        <w:rPr>
          <w:rFonts w:ascii="仿宋" w:eastAsia="仿宋" w:hAnsi="仿宋" w:cs="仿宋"/>
          <w:spacing w:val="10"/>
          <w:sz w:val="27"/>
          <w:szCs w:val="27"/>
          <w:lang w:eastAsia="zh-CN"/>
        </w:rPr>
      </w:pPr>
      <w:r>
        <w:rPr>
          <w:rFonts w:ascii="仿宋" w:eastAsia="仿宋" w:hAnsi="仿宋" w:cs="仿宋" w:hint="eastAsia"/>
          <w:spacing w:val="10"/>
          <w:sz w:val="27"/>
          <w:szCs w:val="27"/>
          <w:lang w:eastAsia="zh-CN"/>
        </w:rPr>
        <w:t>4</w:t>
      </w:r>
      <w:r>
        <w:rPr>
          <w:rFonts w:ascii="仿宋" w:eastAsia="仿宋" w:hAnsi="仿宋" w:cs="仿宋"/>
          <w:spacing w:val="10"/>
          <w:sz w:val="27"/>
          <w:szCs w:val="27"/>
          <w:lang w:eastAsia="zh-CN"/>
        </w:rPr>
        <w:t>.</w:t>
      </w:r>
      <w:r>
        <w:rPr>
          <w:rFonts w:ascii="仿宋" w:eastAsia="仿宋" w:hAnsi="仿宋" w:cs="仿宋" w:hint="eastAsia"/>
          <w:spacing w:val="10"/>
          <w:sz w:val="27"/>
          <w:szCs w:val="27"/>
          <w:lang w:eastAsia="zh-CN"/>
        </w:rPr>
        <w:t>本基金管理人承诺以诚实信用、勤勉尽责的原则管理和运用基金资产，但不保证基金一定盈利，也不保证最低收益。基金的过往业绩及其净值高低并不预示其未来业绩表现，基金管理人管理的其他基金的业绩不构成对本基金业绩表现的保证。投资有风险，敬请投资者在投资基金前仔细阅读基金的《基金合同》《招募说明书》《基金产品资料概要》及其更新等法律文件，全面认识基金的风险收益特征和产品特性，充分考虑自身的风险承受能力，在了解产品情况、听取销售机构适当性匹配意见的基础上，理性判断市场，谨慎做出投资决策。基金具体风险评级结果以销售机构提供的评级结果为准。基金管理人提醒投资者基金投资的“买者自负”原则，在做出投资决策后，基金运营状况与基金净值变化引致的投资风险，由投资者自行负担。基金管理人不对基金投资收益做出任何承诺或保证。</w:t>
      </w:r>
    </w:p>
    <w:p w:rsidR="00D85E50" w:rsidRDefault="00D85E50">
      <w:pPr>
        <w:spacing w:line="360" w:lineRule="auto"/>
        <w:jc w:val="both"/>
        <w:rPr>
          <w:rFonts w:ascii="仿宋" w:eastAsia="仿宋" w:hAnsi="仿宋" w:cs="仿宋"/>
          <w:spacing w:val="10"/>
          <w:sz w:val="27"/>
          <w:szCs w:val="27"/>
          <w:lang w:eastAsia="zh-CN"/>
        </w:rPr>
      </w:pPr>
    </w:p>
    <w:p w:rsidR="00D85E50" w:rsidRDefault="0025435B">
      <w:pPr>
        <w:spacing w:line="360" w:lineRule="auto"/>
        <w:jc w:val="both"/>
        <w:rPr>
          <w:rFonts w:ascii="仿宋" w:eastAsia="仿宋" w:hAnsi="仿宋" w:cs="仿宋"/>
          <w:spacing w:val="10"/>
          <w:sz w:val="27"/>
          <w:szCs w:val="27"/>
          <w:lang w:eastAsia="zh-CN"/>
        </w:rPr>
      </w:pPr>
      <w:r>
        <w:rPr>
          <w:rFonts w:ascii="仿宋" w:eastAsia="仿宋" w:hAnsi="仿宋" w:cs="仿宋" w:hint="eastAsia"/>
          <w:spacing w:val="10"/>
          <w:sz w:val="27"/>
          <w:szCs w:val="27"/>
          <w:lang w:eastAsia="zh-CN"/>
        </w:rPr>
        <w:t>特此公告</w:t>
      </w:r>
    </w:p>
    <w:p w:rsidR="00D85E50" w:rsidRDefault="00D85E50">
      <w:pPr>
        <w:spacing w:line="360" w:lineRule="auto"/>
        <w:jc w:val="right"/>
        <w:rPr>
          <w:rFonts w:ascii="仿宋" w:eastAsia="仿宋" w:hAnsi="仿宋" w:cs="仿宋"/>
          <w:spacing w:val="10"/>
          <w:sz w:val="27"/>
          <w:szCs w:val="27"/>
          <w:lang w:eastAsia="zh-CN"/>
        </w:rPr>
      </w:pPr>
    </w:p>
    <w:p w:rsidR="00D85E50" w:rsidRDefault="0025435B">
      <w:pPr>
        <w:spacing w:line="360" w:lineRule="auto"/>
        <w:jc w:val="right"/>
        <w:rPr>
          <w:rFonts w:ascii="仿宋" w:eastAsia="仿宋" w:hAnsi="仿宋" w:cs="仿宋"/>
          <w:spacing w:val="10"/>
          <w:sz w:val="27"/>
          <w:szCs w:val="27"/>
          <w:lang w:eastAsia="zh-CN"/>
        </w:rPr>
      </w:pPr>
      <w:r>
        <w:rPr>
          <w:rFonts w:ascii="仿宋" w:eastAsia="仿宋" w:hAnsi="仿宋" w:cs="仿宋" w:hint="eastAsia"/>
          <w:spacing w:val="10"/>
          <w:sz w:val="27"/>
          <w:szCs w:val="27"/>
          <w:lang w:eastAsia="zh-CN"/>
        </w:rPr>
        <w:t>东吴基金管理有限公司</w:t>
      </w:r>
    </w:p>
    <w:p w:rsidR="00D85E50" w:rsidRDefault="0025435B">
      <w:pPr>
        <w:spacing w:line="360" w:lineRule="auto"/>
        <w:jc w:val="right"/>
        <w:rPr>
          <w:rFonts w:ascii="仿宋" w:eastAsia="仿宋" w:hAnsi="仿宋" w:cs="仿宋"/>
          <w:spacing w:val="10"/>
          <w:sz w:val="27"/>
          <w:szCs w:val="27"/>
          <w:lang w:eastAsia="zh-CN"/>
        </w:rPr>
      </w:pPr>
      <w:r>
        <w:rPr>
          <w:rFonts w:ascii="仿宋" w:eastAsia="仿宋" w:hAnsi="仿宋" w:cs="仿宋" w:hint="eastAsia"/>
          <w:spacing w:val="10"/>
          <w:sz w:val="27"/>
          <w:szCs w:val="27"/>
          <w:lang w:eastAsia="zh-CN"/>
        </w:rPr>
        <w:t>2026年</w:t>
      </w:r>
      <w:r>
        <w:rPr>
          <w:rFonts w:ascii="仿宋" w:eastAsia="仿宋" w:hAnsi="仿宋" w:cs="仿宋"/>
          <w:spacing w:val="10"/>
          <w:sz w:val="27"/>
          <w:szCs w:val="27"/>
          <w:lang w:eastAsia="zh-CN"/>
        </w:rPr>
        <w:t>04</w:t>
      </w:r>
      <w:r>
        <w:rPr>
          <w:rFonts w:ascii="仿宋" w:eastAsia="仿宋" w:hAnsi="仿宋" w:cs="仿宋" w:hint="eastAsia"/>
          <w:spacing w:val="10"/>
          <w:sz w:val="27"/>
          <w:szCs w:val="27"/>
          <w:lang w:eastAsia="zh-CN"/>
        </w:rPr>
        <w:t>月</w:t>
      </w:r>
      <w:r>
        <w:rPr>
          <w:rFonts w:ascii="仿宋" w:eastAsia="仿宋" w:hAnsi="仿宋" w:cs="仿宋"/>
          <w:spacing w:val="10"/>
          <w:sz w:val="27"/>
          <w:szCs w:val="27"/>
          <w:lang w:eastAsia="zh-CN"/>
        </w:rPr>
        <w:t>17</w:t>
      </w:r>
      <w:r>
        <w:rPr>
          <w:rFonts w:ascii="仿宋" w:eastAsia="仿宋" w:hAnsi="仿宋" w:cs="仿宋" w:hint="eastAsia"/>
          <w:spacing w:val="10"/>
          <w:sz w:val="27"/>
          <w:szCs w:val="27"/>
          <w:lang w:eastAsia="zh-CN"/>
        </w:rPr>
        <w:t>日</w:t>
      </w:r>
    </w:p>
    <w:p w:rsidR="00D85E50" w:rsidRDefault="00D85E50">
      <w:pPr>
        <w:spacing w:line="360" w:lineRule="auto"/>
        <w:ind w:firstLineChars="200" w:firstLine="580"/>
        <w:jc w:val="both"/>
        <w:rPr>
          <w:rFonts w:ascii="仿宋" w:eastAsia="仿宋" w:hAnsi="仿宋" w:cs="仿宋"/>
          <w:bCs/>
          <w:spacing w:val="10"/>
          <w:sz w:val="27"/>
          <w:szCs w:val="27"/>
          <w:lang w:eastAsia="zh-CN"/>
        </w:rPr>
      </w:pPr>
    </w:p>
    <w:p w:rsidR="00D85E50" w:rsidRDefault="00D85E50">
      <w:pPr>
        <w:spacing w:line="360" w:lineRule="auto"/>
        <w:jc w:val="both"/>
        <w:rPr>
          <w:b/>
          <w:bCs/>
          <w:spacing w:val="10"/>
          <w:lang w:eastAsia="zh-CN"/>
        </w:rPr>
      </w:pPr>
    </w:p>
    <w:sectPr w:rsidR="00D85E50" w:rsidSect="00CF490B">
      <w:footerReference w:type="default" r:id="rId6"/>
      <w:pgSz w:w="11905" w:h="16839"/>
      <w:pgMar w:top="1440" w:right="1800" w:bottom="1440" w:left="1800" w:header="0" w:footer="0" w:gutter="0"/>
      <w:cols w:space="720"/>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490B" w:rsidRDefault="0025435B">
      <w:r>
        <w:separator/>
      </w:r>
    </w:p>
  </w:endnote>
  <w:endnote w:type="continuationSeparator" w:id="0">
    <w:p w:rsidR="00CF490B" w:rsidRDefault="002543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等线">
    <w:altName w:val="Arial Unicode MS"/>
    <w:charset w:val="86"/>
    <w:family w:val="auto"/>
    <w:pitch w:val="variable"/>
    <w:sig w:usb0="00000000" w:usb1="38CF7CFA" w:usb2="00000016" w:usb3="00000000" w:csb0="0004000F" w:csb1="00000000"/>
  </w:font>
  <w:font w:name="仿宋">
    <w:altName w:val="Arial Unicode MS"/>
    <w:charset w:val="86"/>
    <w:family w:val="modern"/>
    <w:pitch w:val="fixed"/>
    <w:sig w:usb0="00000000" w:usb1="38CF7CFA" w:usb2="00000016" w:usb3="00000000" w:csb0="00040001"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3462477"/>
    </w:sdtPr>
    <w:sdtContent>
      <w:p w:rsidR="00D85E50" w:rsidRDefault="00CF490B">
        <w:pPr>
          <w:pStyle w:val="a3"/>
          <w:jc w:val="center"/>
        </w:pPr>
        <w:r>
          <w:fldChar w:fldCharType="begin"/>
        </w:r>
        <w:r w:rsidR="0025435B">
          <w:instrText>PAGE   \* MERGEFORMAT</w:instrText>
        </w:r>
        <w:r>
          <w:fldChar w:fldCharType="separate"/>
        </w:r>
        <w:r w:rsidR="008D56D2" w:rsidRPr="008D56D2">
          <w:rPr>
            <w:noProof/>
            <w:lang w:val="zh-CN"/>
          </w:rPr>
          <w:t>1</w:t>
        </w:r>
        <w:r>
          <w:fldChar w:fldCharType="end"/>
        </w:r>
      </w:p>
    </w:sdtContent>
  </w:sdt>
  <w:p w:rsidR="00D85E50" w:rsidRDefault="00D85E50">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490B" w:rsidRDefault="0025435B">
      <w:r>
        <w:separator/>
      </w:r>
    </w:p>
  </w:footnote>
  <w:footnote w:type="continuationSeparator" w:id="0">
    <w:p w:rsidR="00CF490B" w:rsidRDefault="0025435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936BE"/>
    <w:rsid w:val="001A1189"/>
    <w:rsid w:val="001C0760"/>
    <w:rsid w:val="0025435B"/>
    <w:rsid w:val="002F631A"/>
    <w:rsid w:val="003E66EA"/>
    <w:rsid w:val="00675DF2"/>
    <w:rsid w:val="006936BE"/>
    <w:rsid w:val="00734240"/>
    <w:rsid w:val="00791976"/>
    <w:rsid w:val="008D56D2"/>
    <w:rsid w:val="00A756E5"/>
    <w:rsid w:val="00B428A6"/>
    <w:rsid w:val="00B93083"/>
    <w:rsid w:val="00BC4E5F"/>
    <w:rsid w:val="00C176D1"/>
    <w:rsid w:val="00CE4772"/>
    <w:rsid w:val="00CF490B"/>
    <w:rsid w:val="00D85E50"/>
    <w:rsid w:val="00DD3638"/>
    <w:rsid w:val="4F343E97"/>
    <w:rsid w:val="63603F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490B"/>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CF490B"/>
    <w:pPr>
      <w:widowControl w:val="0"/>
      <w:tabs>
        <w:tab w:val="center" w:pos="4153"/>
        <w:tab w:val="right" w:pos="8306"/>
      </w:tabs>
      <w:kinsoku/>
      <w:autoSpaceDE/>
      <w:autoSpaceDN/>
      <w:adjustRightInd/>
      <w:textAlignment w:val="auto"/>
    </w:pPr>
    <w:rPr>
      <w:rFonts w:asciiTheme="minorHAnsi" w:eastAsiaTheme="minorEastAsia" w:hAnsiTheme="minorHAnsi" w:cstheme="minorBidi"/>
      <w:snapToGrid/>
      <w:color w:val="auto"/>
      <w:kern w:val="2"/>
      <w:sz w:val="18"/>
      <w:szCs w:val="18"/>
      <w:lang w:eastAsia="zh-CN"/>
    </w:rPr>
  </w:style>
  <w:style w:type="paragraph" w:styleId="a4">
    <w:name w:val="header"/>
    <w:basedOn w:val="a"/>
    <w:link w:val="Char0"/>
    <w:uiPriority w:val="99"/>
    <w:unhideWhenUsed/>
    <w:qFormat/>
    <w:rsid w:val="00CF490B"/>
    <w:pPr>
      <w:widowControl w:val="0"/>
      <w:pBdr>
        <w:bottom w:val="single" w:sz="6" w:space="1" w:color="auto"/>
      </w:pBdr>
      <w:tabs>
        <w:tab w:val="center" w:pos="4153"/>
        <w:tab w:val="right" w:pos="8306"/>
      </w:tabs>
      <w:kinsoku/>
      <w:autoSpaceDE/>
      <w:autoSpaceDN/>
      <w:adjustRightInd/>
      <w:jc w:val="center"/>
      <w:textAlignment w:val="auto"/>
    </w:pPr>
    <w:rPr>
      <w:rFonts w:asciiTheme="minorHAnsi" w:eastAsiaTheme="minorEastAsia" w:hAnsiTheme="minorHAnsi" w:cstheme="minorBidi"/>
      <w:snapToGrid/>
      <w:color w:val="auto"/>
      <w:kern w:val="2"/>
      <w:sz w:val="18"/>
      <w:szCs w:val="18"/>
      <w:lang w:eastAsia="zh-CN"/>
    </w:rPr>
  </w:style>
  <w:style w:type="table" w:styleId="a5">
    <w:name w:val="Table Grid"/>
    <w:basedOn w:val="a1"/>
    <w:qFormat/>
    <w:rsid w:val="00CF490B"/>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sid w:val="00CF490B"/>
    <w:rPr>
      <w:sz w:val="18"/>
      <w:szCs w:val="18"/>
    </w:rPr>
  </w:style>
  <w:style w:type="character" w:customStyle="1" w:styleId="Char">
    <w:name w:val="页脚 Char"/>
    <w:basedOn w:val="a0"/>
    <w:link w:val="a3"/>
    <w:uiPriority w:val="99"/>
    <w:qFormat/>
    <w:rsid w:val="00CF490B"/>
    <w:rPr>
      <w:sz w:val="18"/>
      <w:szCs w:val="18"/>
    </w:rPr>
  </w:style>
  <w:style w:type="character" w:customStyle="1" w:styleId="font51">
    <w:name w:val="font51"/>
    <w:basedOn w:val="a0"/>
    <w:rsid w:val="00CF490B"/>
    <w:rPr>
      <w:rFonts w:ascii="Times New Roman" w:hAnsi="Times New Roman" w:cs="Times New Roman" w:hint="default"/>
      <w:color w:val="000000"/>
      <w:sz w:val="20"/>
      <w:szCs w:val="20"/>
      <w:u w:val="none"/>
    </w:rPr>
  </w:style>
  <w:style w:type="paragraph" w:styleId="a6">
    <w:name w:val="Balloon Text"/>
    <w:basedOn w:val="a"/>
    <w:link w:val="Char1"/>
    <w:uiPriority w:val="99"/>
    <w:semiHidden/>
    <w:unhideWhenUsed/>
    <w:rsid w:val="008D56D2"/>
    <w:rPr>
      <w:sz w:val="18"/>
      <w:szCs w:val="18"/>
    </w:rPr>
  </w:style>
  <w:style w:type="character" w:customStyle="1" w:styleId="Char1">
    <w:name w:val="批注框文本 Char"/>
    <w:basedOn w:val="a0"/>
    <w:link w:val="a6"/>
    <w:uiPriority w:val="99"/>
    <w:semiHidden/>
    <w:rsid w:val="008D56D2"/>
    <w:rPr>
      <w:rFonts w:ascii="Arial" w:eastAsia="Arial" w:hAnsi="Arial" w:cs="Arial"/>
      <w:snapToGrid w:val="0"/>
      <w:color w:val="000000"/>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1909</Characters>
  <Application>Microsoft Office Word</Application>
  <DocSecurity>4</DocSecurity>
  <Lines>15</Lines>
  <Paragraphs>4</Paragraphs>
  <ScaleCrop>false</ScaleCrop>
  <Company/>
  <LinksUpToDate>false</LinksUpToDate>
  <CharactersWithSpaces>2239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闫浩0206</dc:creator>
  <cp:lastModifiedBy>ZHONGM</cp:lastModifiedBy>
  <cp:revision>2</cp:revision>
  <dcterms:created xsi:type="dcterms:W3CDTF">2026-04-16T16:02:00Z</dcterms:created>
  <dcterms:modified xsi:type="dcterms:W3CDTF">2026-04-16T16:02:00Z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eyJoZGlkIjoiODViY2JkMjU3NGYzZTEwMzZmMGFkZWViYmNkYWU3NDIiLCJ1c2VySWQiOiIxNTI1Nzc4MzgzIn0=</vt:lpwstr>
  </property>
  <property fmtid="{D5CDD505-2E9C-101B-9397-08002B2CF9AE}" pid="3" name="KSOProductBuildVer">
    <vt:lpwstr>2052-12.1.0.25225</vt:lpwstr>
  </property>
  <property fmtid="{D5CDD505-2E9C-101B-9397-08002B2CF9AE}" pid="4" name="ICV">
    <vt:lpwstr>5B8C85BA4DA24B6FA5BA91CBAB702440_12</vt:lpwstr>
  </property>
</Properties>
</file>