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ACF" w:rsidRDefault="00485307">
      <w:pPr>
        <w:widowControl/>
        <w:jc w:val="center"/>
        <w:rPr>
          <w:rFonts w:asciiTheme="minorEastAsia" w:eastAsiaTheme="minorEastAsia" w:hAnsiTheme="minorEastAsia" w:cs="宋体"/>
          <w:b/>
          <w:kern w:val="0"/>
          <w:sz w:val="30"/>
          <w:szCs w:val="30"/>
        </w:rPr>
      </w:pPr>
      <w:r>
        <w:rPr>
          <w:rFonts w:asciiTheme="minorEastAsia" w:eastAsiaTheme="minorEastAsia" w:hAnsiTheme="minorEastAsia" w:cs="宋体"/>
          <w:b/>
          <w:kern w:val="0"/>
          <w:sz w:val="30"/>
          <w:szCs w:val="30"/>
        </w:rPr>
        <w:t>中银中证科创创业人工智能</w:t>
      </w:r>
      <w:bookmarkStart w:id="0" w:name="_GoBack"/>
      <w:bookmarkEnd w:id="0"/>
      <w:r>
        <w:rPr>
          <w:rFonts w:asciiTheme="minorEastAsia" w:eastAsiaTheme="minorEastAsia" w:hAnsiTheme="minorEastAsia" w:cs="宋体"/>
          <w:b/>
          <w:kern w:val="0"/>
          <w:sz w:val="30"/>
          <w:szCs w:val="30"/>
        </w:rPr>
        <w:t>指数型发起式证券投资基金</w:t>
      </w:r>
      <w:r>
        <w:rPr>
          <w:rFonts w:asciiTheme="minorEastAsia" w:eastAsiaTheme="minorEastAsia" w:hAnsiTheme="minorEastAsia" w:cs="宋体" w:hint="eastAsia"/>
          <w:b/>
          <w:kern w:val="0"/>
          <w:sz w:val="30"/>
          <w:szCs w:val="30"/>
        </w:rPr>
        <w:t>基金合同生效公告</w:t>
      </w:r>
    </w:p>
    <w:p w:rsidR="003F5ACF" w:rsidRDefault="00485307">
      <w:pPr>
        <w:jc w:val="center"/>
        <w:rPr>
          <w:rFonts w:asciiTheme="minorEastAsia" w:eastAsiaTheme="minorEastAsia" w:hAnsiTheme="minorEastAsia" w:cs="宋体"/>
          <w:kern w:val="0"/>
          <w:sz w:val="24"/>
          <w:szCs w:val="24"/>
        </w:rPr>
      </w:pPr>
      <w:r>
        <w:rPr>
          <w:rFonts w:asciiTheme="minorEastAsia" w:eastAsiaTheme="minorEastAsia" w:hAnsiTheme="minorEastAsia"/>
          <w:color w:val="000000"/>
          <w:sz w:val="24"/>
          <w:szCs w:val="24"/>
        </w:rPr>
        <w:t>公告送出日期：</w:t>
      </w:r>
      <w:r>
        <w:rPr>
          <w:rFonts w:asciiTheme="minorEastAsia" w:eastAsiaTheme="minorEastAsia" w:hAnsiTheme="minorEastAsia"/>
          <w:sz w:val="24"/>
          <w:szCs w:val="24"/>
        </w:rPr>
        <w:t>2026</w:t>
      </w:r>
      <w:r>
        <w:rPr>
          <w:rFonts w:asciiTheme="minorEastAsia" w:eastAsiaTheme="minorEastAsia" w:hAnsiTheme="minorEastAsia"/>
          <w:sz w:val="24"/>
          <w:szCs w:val="24"/>
        </w:rPr>
        <w:t>年</w:t>
      </w:r>
      <w:r>
        <w:rPr>
          <w:rFonts w:asciiTheme="minorEastAsia" w:eastAsiaTheme="minorEastAsia" w:hAnsiTheme="minorEastAsia"/>
          <w:sz w:val="24"/>
          <w:szCs w:val="24"/>
        </w:rPr>
        <w:t>4</w:t>
      </w:r>
      <w:r>
        <w:rPr>
          <w:rFonts w:asciiTheme="minorEastAsia" w:eastAsiaTheme="minorEastAsia" w:hAnsiTheme="minorEastAsia"/>
          <w:sz w:val="24"/>
          <w:szCs w:val="24"/>
        </w:rPr>
        <w:t>月</w:t>
      </w:r>
      <w:r>
        <w:rPr>
          <w:rFonts w:asciiTheme="minorEastAsia" w:eastAsiaTheme="minorEastAsia" w:hAnsiTheme="minorEastAsia"/>
          <w:sz w:val="24"/>
          <w:szCs w:val="24"/>
        </w:rPr>
        <w:t>16</w:t>
      </w:r>
      <w:r>
        <w:rPr>
          <w:rFonts w:asciiTheme="minorEastAsia" w:eastAsiaTheme="minorEastAsia" w:hAnsiTheme="minorEastAsia"/>
          <w:sz w:val="24"/>
          <w:szCs w:val="24"/>
        </w:rPr>
        <w:t>日</w:t>
      </w:r>
    </w:p>
    <w:p w:rsidR="003F5ACF" w:rsidRDefault="003F5ACF">
      <w:pPr>
        <w:spacing w:line="560" w:lineRule="exact"/>
        <w:rPr>
          <w:rFonts w:asciiTheme="minorEastAsia" w:eastAsiaTheme="minorEastAsia" w:hAnsiTheme="minorEastAsia"/>
          <w:color w:val="000000"/>
          <w:sz w:val="24"/>
          <w:szCs w:val="24"/>
        </w:rPr>
      </w:pPr>
    </w:p>
    <w:p w:rsidR="003F5ACF" w:rsidRDefault="00485307">
      <w:pPr>
        <w:pStyle w:val="2"/>
        <w:spacing w:line="560" w:lineRule="exact"/>
        <w:rPr>
          <w:rFonts w:asciiTheme="minorEastAsia" w:eastAsiaTheme="minorEastAsia" w:hAnsiTheme="minorEastAsia"/>
          <w:bCs w:val="0"/>
          <w:color w:val="000000"/>
          <w:sz w:val="24"/>
          <w:szCs w:val="24"/>
        </w:rPr>
      </w:pPr>
      <w:bookmarkStart w:id="1" w:name="_Toc275961391"/>
      <w:r>
        <w:rPr>
          <w:rFonts w:asciiTheme="minorEastAsia" w:eastAsiaTheme="minorEastAsia" w:hAnsiTheme="minorEastAsia"/>
          <w:bCs w:val="0"/>
          <w:color w:val="000000"/>
          <w:sz w:val="24"/>
          <w:szCs w:val="24"/>
        </w:rPr>
        <w:t xml:space="preserve">1 </w:t>
      </w:r>
      <w:r>
        <w:rPr>
          <w:rFonts w:asciiTheme="minorEastAsia" w:eastAsiaTheme="minorEastAsia" w:hAnsiTheme="minorEastAsia"/>
          <w:bCs w:val="0"/>
          <w:color w:val="000000"/>
          <w:sz w:val="24"/>
          <w:szCs w:val="24"/>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5"/>
        <w:gridCol w:w="2550"/>
        <w:gridCol w:w="2594"/>
      </w:tblGrid>
      <w:tr w:rsidR="003F5ACF">
        <w:trPr>
          <w:trHeight w:val="386"/>
          <w:jc w:val="center"/>
        </w:trPr>
        <w:tc>
          <w:tcPr>
            <w:tcW w:w="4495" w:type="dxa"/>
            <w:vAlign w:val="center"/>
          </w:tcPr>
          <w:p w:rsidR="003F5ACF" w:rsidRDefault="00485307">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基金名称</w:t>
            </w:r>
          </w:p>
        </w:tc>
        <w:tc>
          <w:tcPr>
            <w:tcW w:w="5144" w:type="dxa"/>
            <w:gridSpan w:val="2"/>
            <w:vAlign w:val="center"/>
          </w:tcPr>
          <w:p w:rsidR="003F5ACF" w:rsidRDefault="00485307">
            <w:pPr>
              <w:rPr>
                <w:rFonts w:asciiTheme="minorEastAsia" w:eastAsiaTheme="minorEastAsia" w:hAnsiTheme="minorEastAsia"/>
                <w:sz w:val="24"/>
                <w:szCs w:val="24"/>
              </w:rPr>
            </w:pPr>
            <w:r>
              <w:rPr>
                <w:rFonts w:asciiTheme="minorEastAsia" w:eastAsiaTheme="minorEastAsia" w:hAnsiTheme="minorEastAsia"/>
                <w:sz w:val="24"/>
                <w:szCs w:val="24"/>
              </w:rPr>
              <w:t>中银中证科创创业人工智能指数型发起式证券投资基金</w:t>
            </w:r>
          </w:p>
        </w:tc>
      </w:tr>
      <w:tr w:rsidR="003F5ACF">
        <w:trPr>
          <w:trHeight w:val="386"/>
          <w:jc w:val="center"/>
        </w:trPr>
        <w:tc>
          <w:tcPr>
            <w:tcW w:w="4495" w:type="dxa"/>
            <w:vAlign w:val="center"/>
          </w:tcPr>
          <w:p w:rsidR="003F5ACF" w:rsidRDefault="00485307">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基金简称</w:t>
            </w:r>
          </w:p>
        </w:tc>
        <w:tc>
          <w:tcPr>
            <w:tcW w:w="5144" w:type="dxa"/>
            <w:gridSpan w:val="2"/>
            <w:vAlign w:val="center"/>
          </w:tcPr>
          <w:p w:rsidR="003F5ACF" w:rsidRDefault="00485307">
            <w:pPr>
              <w:rPr>
                <w:rFonts w:asciiTheme="minorEastAsia" w:eastAsiaTheme="minorEastAsia" w:hAnsiTheme="minorEastAsia"/>
                <w:sz w:val="24"/>
                <w:szCs w:val="24"/>
              </w:rPr>
            </w:pPr>
            <w:r>
              <w:rPr>
                <w:rFonts w:asciiTheme="minorEastAsia" w:eastAsiaTheme="minorEastAsia" w:hAnsiTheme="minorEastAsia"/>
                <w:sz w:val="24"/>
                <w:szCs w:val="24"/>
              </w:rPr>
              <w:t>中银中证科创创业人工智能指数发起</w:t>
            </w:r>
          </w:p>
        </w:tc>
      </w:tr>
      <w:tr w:rsidR="003F5ACF">
        <w:trPr>
          <w:trHeight w:val="421"/>
          <w:jc w:val="center"/>
        </w:trPr>
        <w:tc>
          <w:tcPr>
            <w:tcW w:w="4495" w:type="dxa"/>
            <w:vAlign w:val="center"/>
          </w:tcPr>
          <w:p w:rsidR="003F5ACF" w:rsidRDefault="00485307">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基金主代码</w:t>
            </w:r>
          </w:p>
        </w:tc>
        <w:tc>
          <w:tcPr>
            <w:tcW w:w="5144" w:type="dxa"/>
            <w:gridSpan w:val="2"/>
            <w:vAlign w:val="center"/>
          </w:tcPr>
          <w:p w:rsidR="003F5ACF" w:rsidRDefault="00485307">
            <w:pPr>
              <w:rPr>
                <w:rFonts w:asciiTheme="minorEastAsia" w:eastAsiaTheme="minorEastAsia" w:hAnsiTheme="minorEastAsia"/>
                <w:sz w:val="24"/>
                <w:szCs w:val="24"/>
              </w:rPr>
            </w:pPr>
            <w:r>
              <w:rPr>
                <w:rFonts w:asciiTheme="minorEastAsia" w:eastAsiaTheme="minorEastAsia" w:hAnsiTheme="minorEastAsia"/>
                <w:sz w:val="24"/>
                <w:szCs w:val="24"/>
              </w:rPr>
              <w:t>027033</w:t>
            </w:r>
          </w:p>
        </w:tc>
      </w:tr>
      <w:tr w:rsidR="003F5ACF">
        <w:trPr>
          <w:trHeight w:val="386"/>
          <w:jc w:val="center"/>
        </w:trPr>
        <w:tc>
          <w:tcPr>
            <w:tcW w:w="4495" w:type="dxa"/>
            <w:vAlign w:val="center"/>
          </w:tcPr>
          <w:p w:rsidR="003F5ACF" w:rsidRDefault="00485307">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基金运作方式</w:t>
            </w:r>
          </w:p>
        </w:tc>
        <w:tc>
          <w:tcPr>
            <w:tcW w:w="5144" w:type="dxa"/>
            <w:gridSpan w:val="2"/>
            <w:vAlign w:val="center"/>
          </w:tcPr>
          <w:p w:rsidR="003F5ACF" w:rsidRDefault="00485307">
            <w:pPr>
              <w:rPr>
                <w:rFonts w:asciiTheme="minorEastAsia" w:eastAsiaTheme="minorEastAsia" w:hAnsiTheme="minorEastAsia"/>
                <w:sz w:val="24"/>
                <w:szCs w:val="24"/>
              </w:rPr>
            </w:pPr>
            <w:r>
              <w:rPr>
                <w:rFonts w:asciiTheme="minorEastAsia" w:eastAsiaTheme="minorEastAsia" w:hAnsiTheme="minorEastAsia"/>
                <w:sz w:val="24"/>
                <w:szCs w:val="24"/>
              </w:rPr>
              <w:t>契约型开放式</w:t>
            </w:r>
          </w:p>
        </w:tc>
      </w:tr>
      <w:tr w:rsidR="003F5ACF">
        <w:trPr>
          <w:trHeight w:val="386"/>
          <w:jc w:val="center"/>
        </w:trPr>
        <w:tc>
          <w:tcPr>
            <w:tcW w:w="4495" w:type="dxa"/>
            <w:vAlign w:val="center"/>
          </w:tcPr>
          <w:p w:rsidR="003F5ACF" w:rsidRDefault="00485307">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基金合同生效日</w:t>
            </w:r>
          </w:p>
        </w:tc>
        <w:tc>
          <w:tcPr>
            <w:tcW w:w="5144" w:type="dxa"/>
            <w:gridSpan w:val="2"/>
            <w:vAlign w:val="center"/>
          </w:tcPr>
          <w:p w:rsidR="003F5ACF" w:rsidRDefault="00485307">
            <w:pPr>
              <w:rPr>
                <w:rFonts w:asciiTheme="minorEastAsia" w:eastAsiaTheme="minorEastAsia" w:hAnsiTheme="minorEastAsia"/>
                <w:sz w:val="24"/>
                <w:szCs w:val="24"/>
              </w:rPr>
            </w:pPr>
            <w:r>
              <w:rPr>
                <w:rFonts w:asciiTheme="minorEastAsia" w:eastAsiaTheme="minorEastAsia" w:hAnsiTheme="minorEastAsia" w:hint="eastAsia"/>
                <w:kern w:val="0"/>
                <w:sz w:val="24"/>
                <w:szCs w:val="24"/>
              </w:rPr>
              <w:t>2026</w:t>
            </w:r>
            <w:r>
              <w:rPr>
                <w:rFonts w:asciiTheme="minorEastAsia" w:eastAsiaTheme="minorEastAsia" w:hAnsiTheme="minorEastAsia" w:hint="eastAsia"/>
                <w:kern w:val="0"/>
                <w:sz w:val="24"/>
                <w:szCs w:val="24"/>
              </w:rPr>
              <w:t>年</w:t>
            </w:r>
            <w:r>
              <w:rPr>
                <w:rFonts w:asciiTheme="minorEastAsia" w:eastAsiaTheme="minorEastAsia" w:hAnsiTheme="minorEastAsia" w:hint="eastAsia"/>
                <w:kern w:val="0"/>
                <w:sz w:val="24"/>
                <w:szCs w:val="24"/>
              </w:rPr>
              <w:t>4</w:t>
            </w:r>
            <w:r>
              <w:rPr>
                <w:rFonts w:asciiTheme="minorEastAsia" w:eastAsiaTheme="minorEastAsia" w:hAnsiTheme="minorEastAsia" w:hint="eastAsia"/>
                <w:kern w:val="0"/>
                <w:sz w:val="24"/>
                <w:szCs w:val="24"/>
              </w:rPr>
              <w:t>月</w:t>
            </w:r>
            <w:r>
              <w:rPr>
                <w:rFonts w:asciiTheme="minorEastAsia" w:eastAsiaTheme="minorEastAsia" w:hAnsiTheme="minorEastAsia" w:hint="eastAsia"/>
                <w:kern w:val="0"/>
                <w:sz w:val="24"/>
                <w:szCs w:val="24"/>
              </w:rPr>
              <w:t>15</w:t>
            </w:r>
            <w:r>
              <w:rPr>
                <w:rFonts w:asciiTheme="minorEastAsia" w:eastAsiaTheme="minorEastAsia" w:hAnsiTheme="minorEastAsia" w:hint="eastAsia"/>
                <w:kern w:val="0"/>
                <w:sz w:val="24"/>
                <w:szCs w:val="24"/>
              </w:rPr>
              <w:t>日</w:t>
            </w:r>
          </w:p>
        </w:tc>
      </w:tr>
      <w:tr w:rsidR="003F5ACF">
        <w:trPr>
          <w:trHeight w:val="386"/>
          <w:jc w:val="center"/>
        </w:trPr>
        <w:tc>
          <w:tcPr>
            <w:tcW w:w="4495" w:type="dxa"/>
            <w:vAlign w:val="center"/>
          </w:tcPr>
          <w:p w:rsidR="003F5ACF" w:rsidRDefault="00485307">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基金管理人名称</w:t>
            </w:r>
          </w:p>
        </w:tc>
        <w:tc>
          <w:tcPr>
            <w:tcW w:w="5144" w:type="dxa"/>
            <w:gridSpan w:val="2"/>
            <w:vAlign w:val="center"/>
          </w:tcPr>
          <w:p w:rsidR="003F5ACF" w:rsidRDefault="00485307">
            <w:pPr>
              <w:rPr>
                <w:rFonts w:asciiTheme="minorEastAsia" w:eastAsiaTheme="minorEastAsia" w:hAnsiTheme="minorEastAsia"/>
                <w:sz w:val="24"/>
                <w:szCs w:val="24"/>
              </w:rPr>
            </w:pPr>
            <w:r>
              <w:rPr>
                <w:rFonts w:asciiTheme="minorEastAsia" w:eastAsiaTheme="minorEastAsia" w:hAnsiTheme="minorEastAsia"/>
                <w:sz w:val="24"/>
                <w:szCs w:val="24"/>
              </w:rPr>
              <w:t>中银基金管理有限公司</w:t>
            </w:r>
          </w:p>
        </w:tc>
      </w:tr>
      <w:tr w:rsidR="003F5ACF">
        <w:trPr>
          <w:trHeight w:val="386"/>
          <w:jc w:val="center"/>
        </w:trPr>
        <w:tc>
          <w:tcPr>
            <w:tcW w:w="4495" w:type="dxa"/>
            <w:vAlign w:val="center"/>
          </w:tcPr>
          <w:p w:rsidR="003F5ACF" w:rsidRDefault="00485307">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基金托管人名称</w:t>
            </w:r>
          </w:p>
        </w:tc>
        <w:tc>
          <w:tcPr>
            <w:tcW w:w="5144" w:type="dxa"/>
            <w:gridSpan w:val="2"/>
            <w:vAlign w:val="center"/>
          </w:tcPr>
          <w:p w:rsidR="003F5ACF" w:rsidRDefault="00485307">
            <w:pPr>
              <w:rPr>
                <w:rFonts w:asciiTheme="minorEastAsia" w:eastAsiaTheme="minorEastAsia" w:hAnsiTheme="minorEastAsia"/>
                <w:sz w:val="24"/>
                <w:szCs w:val="24"/>
              </w:rPr>
            </w:pPr>
            <w:r>
              <w:rPr>
                <w:rFonts w:asciiTheme="minorEastAsia" w:eastAsiaTheme="minorEastAsia" w:hAnsiTheme="minorEastAsia"/>
                <w:sz w:val="24"/>
                <w:szCs w:val="24"/>
              </w:rPr>
              <w:t>交通银行股份有限公司</w:t>
            </w:r>
          </w:p>
        </w:tc>
      </w:tr>
      <w:tr w:rsidR="003F5ACF">
        <w:trPr>
          <w:trHeight w:val="386"/>
          <w:jc w:val="center"/>
        </w:trPr>
        <w:tc>
          <w:tcPr>
            <w:tcW w:w="4495" w:type="dxa"/>
            <w:vAlign w:val="center"/>
          </w:tcPr>
          <w:p w:rsidR="003F5ACF" w:rsidRDefault="00485307">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公告依据</w:t>
            </w:r>
          </w:p>
        </w:tc>
        <w:tc>
          <w:tcPr>
            <w:tcW w:w="5144" w:type="dxa"/>
            <w:gridSpan w:val="2"/>
            <w:vAlign w:val="center"/>
          </w:tcPr>
          <w:p w:rsidR="003F5ACF" w:rsidRDefault="00485307">
            <w:pPr>
              <w:rPr>
                <w:rFonts w:asciiTheme="minorEastAsia" w:eastAsiaTheme="minorEastAsia" w:hAnsiTheme="minorEastAsia"/>
                <w:sz w:val="24"/>
                <w:szCs w:val="24"/>
              </w:rPr>
            </w:pPr>
            <w:r>
              <w:rPr>
                <w:rFonts w:asciiTheme="minorEastAsia" w:eastAsiaTheme="minorEastAsia" w:hAnsiTheme="minorEastAsia"/>
                <w:sz w:val="24"/>
                <w:szCs w:val="24"/>
              </w:rPr>
              <w:t>《中华人民共和国证券投资基金法》《公开募集证券投资基金运作管理办法》《</w:t>
            </w:r>
            <w:r>
              <w:rPr>
                <w:rFonts w:asciiTheme="minorEastAsia" w:eastAsiaTheme="minorEastAsia" w:hAnsiTheme="minorEastAsia"/>
                <w:sz w:val="24"/>
                <w:szCs w:val="24"/>
              </w:rPr>
              <w:t>中银中证科创创业人工智能指数型发起式证券投资基金基金合同》《中银中证科创创业人工智能指数型发起式证券投资基金招募说明书》等</w:t>
            </w:r>
          </w:p>
        </w:tc>
      </w:tr>
      <w:tr w:rsidR="003F5ACF">
        <w:trPr>
          <w:trHeight w:val="386"/>
          <w:jc w:val="center"/>
        </w:trPr>
        <w:tc>
          <w:tcPr>
            <w:tcW w:w="4495" w:type="dxa"/>
            <w:vAlign w:val="center"/>
          </w:tcPr>
          <w:p w:rsidR="003F5ACF" w:rsidRDefault="00485307">
            <w:pPr>
              <w:spacing w:line="560" w:lineRule="exact"/>
              <w:rPr>
                <w:rFonts w:asciiTheme="minorEastAsia" w:eastAsiaTheme="minorEastAsia" w:hAnsiTheme="minorEastAsia"/>
                <w:color w:val="000000"/>
                <w:sz w:val="24"/>
                <w:szCs w:val="24"/>
              </w:rPr>
            </w:pPr>
            <w:r>
              <w:rPr>
                <w:rFonts w:eastAsiaTheme="minorEastAsia"/>
                <w:color w:val="000000"/>
                <w:sz w:val="24"/>
                <w:szCs w:val="24"/>
              </w:rPr>
              <w:t>下属分级基金的基金简称</w:t>
            </w:r>
          </w:p>
        </w:tc>
        <w:tc>
          <w:tcPr>
            <w:tcW w:w="2550" w:type="dxa"/>
            <w:vAlign w:val="center"/>
          </w:tcPr>
          <w:p w:rsidR="003F5ACF" w:rsidRDefault="00485307">
            <w:pPr>
              <w:rPr>
                <w:rFonts w:asciiTheme="minorEastAsia" w:eastAsiaTheme="minorEastAsia" w:hAnsiTheme="minorEastAsia"/>
                <w:sz w:val="24"/>
                <w:szCs w:val="24"/>
              </w:rPr>
            </w:pPr>
            <w:r>
              <w:rPr>
                <w:rFonts w:asciiTheme="minorEastAsia" w:eastAsiaTheme="minorEastAsia" w:hAnsiTheme="minorEastAsia"/>
                <w:sz w:val="24"/>
                <w:szCs w:val="24"/>
              </w:rPr>
              <w:t>中银中证科创创业人工智能指数发起</w:t>
            </w:r>
            <w:r>
              <w:rPr>
                <w:rFonts w:asciiTheme="minorEastAsia" w:eastAsiaTheme="minorEastAsia" w:hAnsiTheme="minorEastAsia"/>
                <w:sz w:val="24"/>
                <w:szCs w:val="24"/>
              </w:rPr>
              <w:t>A</w:t>
            </w:r>
          </w:p>
        </w:tc>
        <w:tc>
          <w:tcPr>
            <w:tcW w:w="2594" w:type="dxa"/>
            <w:vAlign w:val="center"/>
          </w:tcPr>
          <w:p w:rsidR="003F5ACF" w:rsidRDefault="00485307">
            <w:pPr>
              <w:rPr>
                <w:rFonts w:asciiTheme="minorEastAsia" w:eastAsiaTheme="minorEastAsia" w:hAnsiTheme="minorEastAsia"/>
                <w:sz w:val="24"/>
                <w:szCs w:val="24"/>
              </w:rPr>
            </w:pPr>
            <w:r>
              <w:rPr>
                <w:rFonts w:asciiTheme="minorEastAsia" w:eastAsiaTheme="minorEastAsia" w:hAnsiTheme="minorEastAsia"/>
                <w:sz w:val="24"/>
                <w:szCs w:val="24"/>
              </w:rPr>
              <w:t>中银中证科创创业人工智能指数发起</w:t>
            </w:r>
            <w:r>
              <w:rPr>
                <w:rFonts w:asciiTheme="minorEastAsia" w:eastAsiaTheme="minorEastAsia" w:hAnsiTheme="minorEastAsia"/>
                <w:sz w:val="24"/>
                <w:szCs w:val="24"/>
              </w:rPr>
              <w:t>C</w:t>
            </w:r>
          </w:p>
        </w:tc>
      </w:tr>
      <w:tr w:rsidR="003F5ACF">
        <w:trPr>
          <w:trHeight w:val="386"/>
          <w:jc w:val="center"/>
        </w:trPr>
        <w:tc>
          <w:tcPr>
            <w:tcW w:w="4495" w:type="dxa"/>
            <w:vAlign w:val="center"/>
          </w:tcPr>
          <w:p w:rsidR="003F5ACF" w:rsidRDefault="00485307">
            <w:pPr>
              <w:spacing w:line="560" w:lineRule="exact"/>
              <w:rPr>
                <w:rFonts w:eastAsiaTheme="minorEastAsia"/>
                <w:color w:val="000000"/>
                <w:sz w:val="24"/>
                <w:szCs w:val="24"/>
              </w:rPr>
            </w:pPr>
            <w:r>
              <w:rPr>
                <w:rFonts w:eastAsiaTheme="minorEastAsia"/>
                <w:color w:val="000000"/>
                <w:sz w:val="24"/>
                <w:szCs w:val="24"/>
              </w:rPr>
              <w:t>下属分级基金的交易代码</w:t>
            </w:r>
          </w:p>
        </w:tc>
        <w:tc>
          <w:tcPr>
            <w:tcW w:w="2550" w:type="dxa"/>
            <w:vAlign w:val="center"/>
          </w:tcPr>
          <w:p w:rsidR="003F5ACF" w:rsidRDefault="00485307">
            <w:pPr>
              <w:rPr>
                <w:rFonts w:asciiTheme="minorEastAsia" w:eastAsiaTheme="minorEastAsia" w:hAnsiTheme="minorEastAsia"/>
                <w:sz w:val="24"/>
                <w:szCs w:val="24"/>
              </w:rPr>
            </w:pPr>
            <w:r>
              <w:rPr>
                <w:rFonts w:asciiTheme="minorEastAsia" w:eastAsiaTheme="minorEastAsia" w:hAnsiTheme="minorEastAsia"/>
                <w:sz w:val="24"/>
                <w:szCs w:val="24"/>
              </w:rPr>
              <w:t>027033</w:t>
            </w:r>
          </w:p>
        </w:tc>
        <w:tc>
          <w:tcPr>
            <w:tcW w:w="2594" w:type="dxa"/>
            <w:vAlign w:val="center"/>
          </w:tcPr>
          <w:p w:rsidR="003F5ACF" w:rsidRDefault="00485307">
            <w:pPr>
              <w:rPr>
                <w:rFonts w:asciiTheme="minorEastAsia" w:eastAsiaTheme="minorEastAsia" w:hAnsiTheme="minorEastAsia"/>
                <w:sz w:val="24"/>
                <w:szCs w:val="24"/>
              </w:rPr>
            </w:pPr>
            <w:r>
              <w:rPr>
                <w:rFonts w:asciiTheme="minorEastAsia" w:eastAsiaTheme="minorEastAsia" w:hAnsiTheme="minorEastAsia"/>
                <w:sz w:val="24"/>
                <w:szCs w:val="24"/>
              </w:rPr>
              <w:t>027034</w:t>
            </w:r>
          </w:p>
        </w:tc>
      </w:tr>
    </w:tbl>
    <w:p w:rsidR="003F5ACF" w:rsidRDefault="00485307">
      <w:pPr>
        <w:pStyle w:val="2"/>
        <w:spacing w:line="530" w:lineRule="exact"/>
        <w:rPr>
          <w:rFonts w:asciiTheme="minorEastAsia" w:eastAsiaTheme="minorEastAsia" w:hAnsiTheme="minorEastAsia"/>
          <w:bCs w:val="0"/>
          <w:color w:val="000000"/>
          <w:sz w:val="24"/>
          <w:szCs w:val="24"/>
        </w:rPr>
      </w:pPr>
      <w:bookmarkStart w:id="2" w:name="_Toc275961392"/>
      <w:r>
        <w:rPr>
          <w:rFonts w:asciiTheme="minorEastAsia" w:eastAsiaTheme="minorEastAsia" w:hAnsiTheme="minorEastAsia" w:hint="eastAsia"/>
          <w:bCs w:val="0"/>
          <w:color w:val="000000"/>
          <w:sz w:val="24"/>
          <w:szCs w:val="24"/>
        </w:rPr>
        <w:t>2</w:t>
      </w:r>
      <w:r>
        <w:rPr>
          <w:rFonts w:asciiTheme="minorEastAsia" w:eastAsiaTheme="minorEastAsia" w:hAnsiTheme="minorEastAsia"/>
          <w:bCs w:val="0"/>
          <w:color w:val="000000"/>
          <w:sz w:val="24"/>
          <w:szCs w:val="24"/>
        </w:rPr>
        <w:t xml:space="preserve"> </w:t>
      </w:r>
      <w:r>
        <w:rPr>
          <w:rFonts w:asciiTheme="minorEastAsia" w:eastAsiaTheme="minorEastAsia" w:hAnsiTheme="minorEastAsia"/>
          <w:bCs w:val="0"/>
          <w:color w:val="000000"/>
          <w:sz w:val="24"/>
          <w:szCs w:val="24"/>
        </w:rPr>
        <w:t>基金募集情况</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8"/>
        <w:gridCol w:w="2127"/>
        <w:gridCol w:w="1695"/>
        <w:gridCol w:w="6"/>
        <w:gridCol w:w="1764"/>
        <w:gridCol w:w="6"/>
        <w:gridCol w:w="1673"/>
      </w:tblGrid>
      <w:tr w:rsidR="003F5ACF">
        <w:trPr>
          <w:trHeight w:val="386"/>
          <w:jc w:val="center"/>
        </w:trPr>
        <w:tc>
          <w:tcPr>
            <w:tcW w:w="4495" w:type="dxa"/>
            <w:gridSpan w:val="2"/>
            <w:vAlign w:val="center"/>
          </w:tcPr>
          <w:p w:rsidR="003F5ACF" w:rsidRDefault="00485307">
            <w:pPr>
              <w:spacing w:line="53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基金募集申请获中国证监会核准的文号</w:t>
            </w:r>
          </w:p>
        </w:tc>
        <w:tc>
          <w:tcPr>
            <w:tcW w:w="5144" w:type="dxa"/>
            <w:gridSpan w:val="5"/>
            <w:vAlign w:val="center"/>
          </w:tcPr>
          <w:p w:rsidR="003F5ACF" w:rsidRDefault="00485307">
            <w:pPr>
              <w:rPr>
                <w:rFonts w:asciiTheme="minorEastAsia" w:eastAsiaTheme="minorEastAsia" w:hAnsiTheme="minorEastAsia" w:cs="宋体"/>
                <w:sz w:val="24"/>
                <w:szCs w:val="24"/>
              </w:rPr>
            </w:pPr>
            <w:r>
              <w:rPr>
                <w:rFonts w:asciiTheme="minorEastAsia" w:eastAsiaTheme="minorEastAsia" w:hAnsiTheme="minorEastAsia"/>
                <w:sz w:val="24"/>
                <w:szCs w:val="24"/>
              </w:rPr>
              <w:t>证监许可</w:t>
            </w:r>
            <w:r>
              <w:rPr>
                <w:rFonts w:asciiTheme="minorEastAsia" w:eastAsiaTheme="minorEastAsia" w:hAnsiTheme="minorEastAsia"/>
                <w:sz w:val="24"/>
                <w:szCs w:val="24"/>
              </w:rPr>
              <w:t>[2026]468</w:t>
            </w:r>
            <w:r>
              <w:rPr>
                <w:rFonts w:asciiTheme="minorEastAsia" w:eastAsiaTheme="minorEastAsia" w:hAnsiTheme="minorEastAsia"/>
                <w:sz w:val="24"/>
                <w:szCs w:val="24"/>
              </w:rPr>
              <w:t>号</w:t>
            </w:r>
          </w:p>
        </w:tc>
      </w:tr>
      <w:tr w:rsidR="003F5ACF">
        <w:trPr>
          <w:trHeight w:val="1037"/>
          <w:jc w:val="center"/>
        </w:trPr>
        <w:tc>
          <w:tcPr>
            <w:tcW w:w="4495" w:type="dxa"/>
            <w:gridSpan w:val="2"/>
            <w:vAlign w:val="center"/>
          </w:tcPr>
          <w:p w:rsidR="003F5ACF" w:rsidRDefault="00485307">
            <w:pPr>
              <w:spacing w:line="53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基金募集期间</w:t>
            </w:r>
          </w:p>
        </w:tc>
        <w:tc>
          <w:tcPr>
            <w:tcW w:w="5144" w:type="dxa"/>
            <w:gridSpan w:val="5"/>
            <w:vAlign w:val="center"/>
          </w:tcPr>
          <w:p w:rsidR="003F5ACF" w:rsidRDefault="00485307">
            <w:pPr>
              <w:spacing w:line="530" w:lineRule="exact"/>
              <w:rPr>
                <w:rFonts w:asciiTheme="minorEastAsia" w:eastAsiaTheme="minorEastAsia" w:hAnsiTheme="minorEastAsia"/>
                <w:sz w:val="24"/>
                <w:szCs w:val="24"/>
              </w:rPr>
            </w:pPr>
            <w:r>
              <w:rPr>
                <w:rFonts w:asciiTheme="minorEastAsia" w:eastAsiaTheme="minorEastAsia" w:hAnsiTheme="minorEastAsia"/>
                <w:sz w:val="24"/>
                <w:szCs w:val="24"/>
              </w:rPr>
              <w:t>自</w:t>
            </w:r>
            <w:r>
              <w:rPr>
                <w:rFonts w:asciiTheme="minorEastAsia" w:eastAsiaTheme="minorEastAsia" w:hAnsiTheme="minorEastAsia"/>
                <w:sz w:val="24"/>
                <w:szCs w:val="24"/>
              </w:rPr>
              <w:t>2026</w:t>
            </w:r>
            <w:r>
              <w:rPr>
                <w:rFonts w:asciiTheme="minorEastAsia" w:eastAsiaTheme="minorEastAsia" w:hAnsiTheme="minorEastAsia"/>
                <w:sz w:val="24"/>
                <w:szCs w:val="24"/>
              </w:rPr>
              <w:t>年</w:t>
            </w:r>
            <w:r>
              <w:rPr>
                <w:rFonts w:asciiTheme="minorEastAsia" w:eastAsiaTheme="minorEastAsia" w:hAnsiTheme="minorEastAsia"/>
                <w:sz w:val="24"/>
                <w:szCs w:val="24"/>
              </w:rPr>
              <w:t>3</w:t>
            </w:r>
            <w:r>
              <w:rPr>
                <w:rFonts w:asciiTheme="minorEastAsia" w:eastAsiaTheme="minorEastAsia" w:hAnsiTheme="minorEastAsia"/>
                <w:sz w:val="24"/>
                <w:szCs w:val="24"/>
              </w:rPr>
              <w:t>月</w:t>
            </w:r>
            <w:r>
              <w:rPr>
                <w:rFonts w:asciiTheme="minorEastAsia" w:eastAsiaTheme="minorEastAsia" w:hAnsiTheme="minorEastAsia"/>
                <w:sz w:val="24"/>
                <w:szCs w:val="24"/>
              </w:rPr>
              <w:t>23</w:t>
            </w:r>
            <w:r>
              <w:rPr>
                <w:rFonts w:asciiTheme="minorEastAsia" w:eastAsiaTheme="minorEastAsia" w:hAnsiTheme="minorEastAsia"/>
                <w:sz w:val="24"/>
                <w:szCs w:val="24"/>
              </w:rPr>
              <w:t>日</w:t>
            </w:r>
          </w:p>
          <w:p w:rsidR="003F5ACF" w:rsidRDefault="00485307">
            <w:pPr>
              <w:spacing w:line="530" w:lineRule="exact"/>
              <w:rPr>
                <w:rFonts w:asciiTheme="minorEastAsia" w:eastAsiaTheme="minorEastAsia" w:hAnsiTheme="minorEastAsia"/>
                <w:color w:val="000000"/>
                <w:kern w:val="0"/>
                <w:sz w:val="24"/>
                <w:szCs w:val="24"/>
              </w:rPr>
            </w:pPr>
            <w:r>
              <w:rPr>
                <w:rFonts w:asciiTheme="minorEastAsia" w:eastAsiaTheme="minorEastAsia" w:hAnsiTheme="minorEastAsia"/>
                <w:sz w:val="24"/>
                <w:szCs w:val="24"/>
              </w:rPr>
              <w:t>至</w:t>
            </w:r>
            <w:r>
              <w:rPr>
                <w:rFonts w:asciiTheme="minorEastAsia" w:eastAsiaTheme="minorEastAsia" w:hAnsiTheme="minorEastAsia"/>
                <w:sz w:val="24"/>
                <w:szCs w:val="24"/>
              </w:rPr>
              <w:t>2026</w:t>
            </w:r>
            <w:r>
              <w:rPr>
                <w:rFonts w:asciiTheme="minorEastAsia" w:eastAsiaTheme="minorEastAsia" w:hAnsiTheme="minorEastAsia"/>
                <w:sz w:val="24"/>
                <w:szCs w:val="24"/>
              </w:rPr>
              <w:t>年</w:t>
            </w:r>
            <w:r>
              <w:rPr>
                <w:rFonts w:asciiTheme="minorEastAsia" w:eastAsiaTheme="minorEastAsia" w:hAnsiTheme="minorEastAsia"/>
                <w:sz w:val="24"/>
                <w:szCs w:val="24"/>
              </w:rPr>
              <w:t>4</w:t>
            </w:r>
            <w:r>
              <w:rPr>
                <w:rFonts w:asciiTheme="minorEastAsia" w:eastAsiaTheme="minorEastAsia" w:hAnsiTheme="minorEastAsia"/>
                <w:sz w:val="24"/>
                <w:szCs w:val="24"/>
              </w:rPr>
              <w:t>月</w:t>
            </w:r>
            <w:r>
              <w:rPr>
                <w:rFonts w:asciiTheme="minorEastAsia" w:eastAsiaTheme="minorEastAsia" w:hAnsiTheme="minorEastAsia"/>
                <w:sz w:val="24"/>
                <w:szCs w:val="24"/>
              </w:rPr>
              <w:t>13</w:t>
            </w:r>
            <w:r>
              <w:rPr>
                <w:rFonts w:asciiTheme="minorEastAsia" w:eastAsiaTheme="minorEastAsia" w:hAnsiTheme="minorEastAsia"/>
                <w:sz w:val="24"/>
                <w:szCs w:val="24"/>
              </w:rPr>
              <w:t>日</w:t>
            </w:r>
            <w:r>
              <w:rPr>
                <w:rFonts w:asciiTheme="minorEastAsia" w:eastAsiaTheme="minorEastAsia" w:hAnsiTheme="minorEastAsia" w:hint="eastAsia"/>
                <w:sz w:val="24"/>
                <w:szCs w:val="24"/>
              </w:rPr>
              <w:t>止</w:t>
            </w:r>
          </w:p>
        </w:tc>
      </w:tr>
      <w:tr w:rsidR="003F5ACF">
        <w:trPr>
          <w:trHeight w:val="386"/>
          <w:jc w:val="center"/>
        </w:trPr>
        <w:tc>
          <w:tcPr>
            <w:tcW w:w="4495" w:type="dxa"/>
            <w:gridSpan w:val="2"/>
            <w:vAlign w:val="center"/>
          </w:tcPr>
          <w:p w:rsidR="003F5ACF" w:rsidRDefault="00485307">
            <w:pPr>
              <w:spacing w:line="53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验资机构名称</w:t>
            </w:r>
          </w:p>
        </w:tc>
        <w:tc>
          <w:tcPr>
            <w:tcW w:w="5144" w:type="dxa"/>
            <w:gridSpan w:val="5"/>
            <w:vAlign w:val="center"/>
          </w:tcPr>
          <w:p w:rsidR="003F5ACF" w:rsidRDefault="00485307">
            <w:pPr>
              <w:rPr>
                <w:rFonts w:asciiTheme="minorEastAsia" w:eastAsiaTheme="minorEastAsia" w:hAnsiTheme="minorEastAsia" w:cs="宋体"/>
                <w:sz w:val="24"/>
                <w:szCs w:val="24"/>
              </w:rPr>
            </w:pPr>
            <w:r>
              <w:rPr>
                <w:rFonts w:asciiTheme="minorEastAsia" w:eastAsiaTheme="minorEastAsia" w:hAnsiTheme="minorEastAsia"/>
                <w:sz w:val="24"/>
                <w:szCs w:val="24"/>
              </w:rPr>
              <w:t>毕马威华振会计师事务所（特殊普通合伙）</w:t>
            </w:r>
          </w:p>
        </w:tc>
      </w:tr>
      <w:tr w:rsidR="003F5ACF">
        <w:trPr>
          <w:trHeight w:val="386"/>
          <w:jc w:val="center"/>
        </w:trPr>
        <w:tc>
          <w:tcPr>
            <w:tcW w:w="4495" w:type="dxa"/>
            <w:gridSpan w:val="2"/>
            <w:vAlign w:val="center"/>
          </w:tcPr>
          <w:p w:rsidR="003F5ACF" w:rsidRDefault="00485307">
            <w:pPr>
              <w:spacing w:line="53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募集资金划入基金托管专户的日期</w:t>
            </w:r>
          </w:p>
        </w:tc>
        <w:tc>
          <w:tcPr>
            <w:tcW w:w="5144" w:type="dxa"/>
            <w:gridSpan w:val="5"/>
            <w:vAlign w:val="center"/>
          </w:tcPr>
          <w:p w:rsidR="003F5ACF" w:rsidRDefault="00485307">
            <w:pPr>
              <w:rPr>
                <w:rFonts w:asciiTheme="minorEastAsia" w:eastAsiaTheme="minorEastAsia" w:hAnsiTheme="minorEastAsia" w:cs="宋体"/>
                <w:sz w:val="24"/>
                <w:szCs w:val="24"/>
              </w:rPr>
            </w:pPr>
            <w:r>
              <w:rPr>
                <w:rFonts w:asciiTheme="minorEastAsia" w:eastAsiaTheme="minorEastAsia" w:hAnsiTheme="minorEastAsia"/>
                <w:sz w:val="24"/>
                <w:szCs w:val="24"/>
              </w:rPr>
              <w:t>2026</w:t>
            </w:r>
            <w:r>
              <w:rPr>
                <w:rFonts w:asciiTheme="minorEastAsia" w:eastAsiaTheme="minorEastAsia" w:hAnsiTheme="minorEastAsia"/>
                <w:sz w:val="24"/>
                <w:szCs w:val="24"/>
              </w:rPr>
              <w:t>年</w:t>
            </w:r>
            <w:r>
              <w:rPr>
                <w:rFonts w:asciiTheme="minorEastAsia" w:eastAsiaTheme="minorEastAsia" w:hAnsiTheme="minorEastAsia"/>
                <w:sz w:val="24"/>
                <w:szCs w:val="24"/>
              </w:rPr>
              <w:t>4</w:t>
            </w:r>
            <w:r>
              <w:rPr>
                <w:rFonts w:asciiTheme="minorEastAsia" w:eastAsiaTheme="minorEastAsia" w:hAnsiTheme="minorEastAsia"/>
                <w:sz w:val="24"/>
                <w:szCs w:val="24"/>
              </w:rPr>
              <w:t>月</w:t>
            </w:r>
            <w:r>
              <w:rPr>
                <w:rFonts w:asciiTheme="minorEastAsia" w:eastAsiaTheme="minorEastAsia" w:hAnsiTheme="minorEastAsia"/>
                <w:sz w:val="24"/>
                <w:szCs w:val="24"/>
              </w:rPr>
              <w:t>15</w:t>
            </w:r>
            <w:r>
              <w:rPr>
                <w:rFonts w:asciiTheme="minorEastAsia" w:eastAsiaTheme="minorEastAsia" w:hAnsiTheme="minorEastAsia"/>
                <w:sz w:val="24"/>
                <w:szCs w:val="24"/>
              </w:rPr>
              <w:t>日</w:t>
            </w:r>
          </w:p>
        </w:tc>
      </w:tr>
      <w:tr w:rsidR="003F5ACF">
        <w:trPr>
          <w:trHeight w:val="386"/>
          <w:jc w:val="center"/>
        </w:trPr>
        <w:tc>
          <w:tcPr>
            <w:tcW w:w="4495" w:type="dxa"/>
            <w:gridSpan w:val="2"/>
            <w:vAlign w:val="center"/>
          </w:tcPr>
          <w:p w:rsidR="003F5ACF" w:rsidRDefault="00485307">
            <w:pPr>
              <w:spacing w:line="53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lastRenderedPageBreak/>
              <w:t>募集有效认购总户数（单位：</w:t>
            </w:r>
            <w:r>
              <w:rPr>
                <w:rFonts w:asciiTheme="minorEastAsia" w:eastAsiaTheme="minorEastAsia" w:hAnsiTheme="minorEastAsia" w:hint="eastAsia"/>
                <w:color w:val="000000"/>
                <w:sz w:val="24"/>
                <w:szCs w:val="24"/>
              </w:rPr>
              <w:t>户</w:t>
            </w:r>
            <w:r>
              <w:rPr>
                <w:rFonts w:asciiTheme="minorEastAsia" w:eastAsiaTheme="minorEastAsia" w:hAnsiTheme="minorEastAsia"/>
                <w:color w:val="000000"/>
                <w:sz w:val="24"/>
                <w:szCs w:val="24"/>
              </w:rPr>
              <w:t>）</w:t>
            </w:r>
          </w:p>
        </w:tc>
        <w:tc>
          <w:tcPr>
            <w:tcW w:w="5144" w:type="dxa"/>
            <w:gridSpan w:val="5"/>
            <w:vAlign w:val="center"/>
          </w:tcPr>
          <w:p w:rsidR="003F5ACF" w:rsidRDefault="00485307">
            <w:pPr>
              <w:rPr>
                <w:rFonts w:asciiTheme="minorEastAsia" w:eastAsiaTheme="minorEastAsia" w:hAnsiTheme="minorEastAsia"/>
                <w:sz w:val="24"/>
                <w:szCs w:val="24"/>
              </w:rPr>
            </w:pPr>
            <w:r>
              <w:rPr>
                <w:rFonts w:asciiTheme="minorEastAsia" w:eastAsiaTheme="minorEastAsia" w:hAnsiTheme="minorEastAsia"/>
                <w:sz w:val="24"/>
                <w:szCs w:val="24"/>
              </w:rPr>
              <w:t>20261</w:t>
            </w:r>
          </w:p>
        </w:tc>
      </w:tr>
      <w:tr w:rsidR="003F5ACF">
        <w:trPr>
          <w:trHeight w:val="386"/>
          <w:jc w:val="center"/>
        </w:trPr>
        <w:tc>
          <w:tcPr>
            <w:tcW w:w="4495" w:type="dxa"/>
            <w:gridSpan w:val="2"/>
            <w:vAlign w:val="center"/>
          </w:tcPr>
          <w:p w:rsidR="003F5ACF" w:rsidRDefault="00485307">
            <w:pPr>
              <w:spacing w:line="530" w:lineRule="exac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份额类别</w:t>
            </w:r>
          </w:p>
        </w:tc>
        <w:tc>
          <w:tcPr>
            <w:tcW w:w="1701" w:type="dxa"/>
            <w:gridSpan w:val="2"/>
            <w:vAlign w:val="center"/>
          </w:tcPr>
          <w:p w:rsidR="003F5ACF" w:rsidRDefault="00485307">
            <w:pPr>
              <w:rPr>
                <w:rFonts w:asciiTheme="minorEastAsia" w:eastAsiaTheme="minorEastAsia" w:hAnsiTheme="minorEastAsia"/>
                <w:sz w:val="24"/>
                <w:szCs w:val="24"/>
              </w:rPr>
            </w:pPr>
            <w:r>
              <w:rPr>
                <w:rFonts w:asciiTheme="minorEastAsia" w:eastAsiaTheme="minorEastAsia" w:hAnsiTheme="minorEastAsia"/>
                <w:sz w:val="24"/>
                <w:szCs w:val="24"/>
              </w:rPr>
              <w:t>中银中证科创创业人工智能指数发起</w:t>
            </w:r>
            <w:r>
              <w:rPr>
                <w:rFonts w:asciiTheme="minorEastAsia" w:eastAsiaTheme="minorEastAsia" w:hAnsiTheme="minorEastAsia"/>
                <w:sz w:val="24"/>
                <w:szCs w:val="24"/>
              </w:rPr>
              <w:t>A</w:t>
            </w:r>
          </w:p>
        </w:tc>
        <w:tc>
          <w:tcPr>
            <w:tcW w:w="1770" w:type="dxa"/>
            <w:gridSpan w:val="2"/>
            <w:vAlign w:val="center"/>
          </w:tcPr>
          <w:p w:rsidR="003F5ACF" w:rsidRDefault="00485307">
            <w:pPr>
              <w:rPr>
                <w:rFonts w:asciiTheme="minorEastAsia" w:eastAsiaTheme="minorEastAsia" w:hAnsiTheme="minorEastAsia"/>
                <w:sz w:val="24"/>
                <w:szCs w:val="24"/>
              </w:rPr>
            </w:pPr>
            <w:r>
              <w:rPr>
                <w:rFonts w:asciiTheme="minorEastAsia" w:eastAsiaTheme="minorEastAsia" w:hAnsiTheme="minorEastAsia"/>
                <w:sz w:val="24"/>
                <w:szCs w:val="24"/>
              </w:rPr>
              <w:t>中银中证科创创业人工智能指数发起</w:t>
            </w:r>
            <w:r>
              <w:rPr>
                <w:rFonts w:asciiTheme="minorEastAsia" w:eastAsiaTheme="minorEastAsia" w:hAnsiTheme="minorEastAsia"/>
                <w:sz w:val="24"/>
                <w:szCs w:val="24"/>
              </w:rPr>
              <w:t>C</w:t>
            </w:r>
          </w:p>
        </w:tc>
        <w:tc>
          <w:tcPr>
            <w:tcW w:w="1673" w:type="dxa"/>
            <w:vAlign w:val="center"/>
          </w:tcPr>
          <w:p w:rsidR="003F5ACF" w:rsidRDefault="00485307">
            <w:pPr>
              <w:rPr>
                <w:rFonts w:asciiTheme="minorEastAsia" w:eastAsiaTheme="minorEastAsia" w:hAnsiTheme="minorEastAsia"/>
                <w:sz w:val="24"/>
                <w:szCs w:val="24"/>
              </w:rPr>
            </w:pPr>
            <w:r>
              <w:rPr>
                <w:rFonts w:asciiTheme="minorEastAsia" w:eastAsiaTheme="minorEastAsia" w:hAnsiTheme="minorEastAsia"/>
                <w:sz w:val="24"/>
                <w:szCs w:val="24"/>
              </w:rPr>
              <w:t>中银中证科创创业人工智能指数发起合计</w:t>
            </w:r>
          </w:p>
        </w:tc>
      </w:tr>
      <w:tr w:rsidR="003F5ACF">
        <w:trPr>
          <w:trHeight w:val="386"/>
          <w:jc w:val="center"/>
        </w:trPr>
        <w:tc>
          <w:tcPr>
            <w:tcW w:w="4495" w:type="dxa"/>
            <w:gridSpan w:val="2"/>
            <w:tcBorders>
              <w:top w:val="single" w:sz="4" w:space="0" w:color="auto"/>
              <w:left w:val="single" w:sz="4" w:space="0" w:color="auto"/>
              <w:bottom w:val="single" w:sz="4" w:space="0" w:color="auto"/>
              <w:right w:val="single" w:sz="4" w:space="0" w:color="auto"/>
            </w:tcBorders>
            <w:vAlign w:val="center"/>
          </w:tcPr>
          <w:p w:rsidR="003F5ACF" w:rsidRDefault="00485307">
            <w:pPr>
              <w:spacing w:line="53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募集期间净认购金额（单位：</w:t>
            </w:r>
            <w:r>
              <w:rPr>
                <w:rFonts w:asciiTheme="minorEastAsia" w:eastAsiaTheme="minorEastAsia" w:hAnsiTheme="minorEastAsia" w:hint="eastAsia"/>
                <w:color w:val="000000"/>
                <w:sz w:val="24"/>
                <w:szCs w:val="24"/>
              </w:rPr>
              <w:t>人民币元</w:t>
            </w:r>
            <w:r>
              <w:rPr>
                <w:rFonts w:asciiTheme="minorEastAsia" w:eastAsiaTheme="minorEastAsia" w:hAnsiTheme="minorEastAsia"/>
                <w:color w:val="000000"/>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F5ACF" w:rsidRDefault="00485307">
            <w:pPr>
              <w:spacing w:line="530" w:lineRule="exact"/>
              <w:ind w:right="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142,210,764.76</w:t>
            </w:r>
          </w:p>
        </w:tc>
        <w:tc>
          <w:tcPr>
            <w:tcW w:w="1770" w:type="dxa"/>
            <w:gridSpan w:val="2"/>
            <w:tcBorders>
              <w:top w:val="single" w:sz="4" w:space="0" w:color="auto"/>
              <w:left w:val="single" w:sz="4" w:space="0" w:color="auto"/>
              <w:bottom w:val="single" w:sz="4" w:space="0" w:color="auto"/>
              <w:right w:val="single" w:sz="4" w:space="0" w:color="auto"/>
            </w:tcBorders>
            <w:vAlign w:val="center"/>
          </w:tcPr>
          <w:p w:rsidR="003F5ACF" w:rsidRDefault="00485307">
            <w:pPr>
              <w:spacing w:line="530" w:lineRule="exact"/>
              <w:ind w:right="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106,588,461.10</w:t>
            </w:r>
          </w:p>
        </w:tc>
        <w:tc>
          <w:tcPr>
            <w:tcW w:w="1673" w:type="dxa"/>
            <w:tcBorders>
              <w:top w:val="single" w:sz="4" w:space="0" w:color="auto"/>
              <w:left w:val="single" w:sz="4" w:space="0" w:color="auto"/>
              <w:bottom w:val="single" w:sz="4" w:space="0" w:color="auto"/>
              <w:right w:val="single" w:sz="4" w:space="0" w:color="auto"/>
            </w:tcBorders>
            <w:vAlign w:val="center"/>
          </w:tcPr>
          <w:p w:rsidR="003F5ACF" w:rsidRDefault="00485307">
            <w:pPr>
              <w:spacing w:line="530" w:lineRule="exact"/>
              <w:ind w:right="480"/>
              <w:rPr>
                <w:rFonts w:asciiTheme="minorEastAsia" w:eastAsiaTheme="minorEastAsia" w:hAnsiTheme="minorEastAsia"/>
                <w:sz w:val="24"/>
                <w:szCs w:val="24"/>
              </w:rPr>
            </w:pPr>
            <w:r>
              <w:rPr>
                <w:rFonts w:asciiTheme="minorEastAsia" w:eastAsiaTheme="minorEastAsia" w:hAnsiTheme="minorEastAsia"/>
                <w:sz w:val="24"/>
                <w:szCs w:val="24"/>
              </w:rPr>
              <w:t>248,799,225.86</w:t>
            </w:r>
          </w:p>
        </w:tc>
      </w:tr>
      <w:tr w:rsidR="003F5ACF">
        <w:trPr>
          <w:trHeight w:val="386"/>
          <w:jc w:val="center"/>
        </w:trPr>
        <w:tc>
          <w:tcPr>
            <w:tcW w:w="4495" w:type="dxa"/>
            <w:gridSpan w:val="2"/>
            <w:tcBorders>
              <w:top w:val="single" w:sz="4" w:space="0" w:color="auto"/>
              <w:left w:val="single" w:sz="4" w:space="0" w:color="auto"/>
              <w:bottom w:val="single" w:sz="4" w:space="0" w:color="auto"/>
              <w:right w:val="single" w:sz="4" w:space="0" w:color="auto"/>
            </w:tcBorders>
            <w:vAlign w:val="center"/>
          </w:tcPr>
          <w:p w:rsidR="003F5ACF" w:rsidRDefault="00485307">
            <w:pPr>
              <w:spacing w:line="53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认购资金在募集期间产生的利息（单位：</w:t>
            </w:r>
            <w:r>
              <w:rPr>
                <w:rFonts w:asciiTheme="minorEastAsia" w:eastAsiaTheme="minorEastAsia" w:hAnsiTheme="minorEastAsia" w:hint="eastAsia"/>
                <w:color w:val="000000"/>
                <w:sz w:val="24"/>
                <w:szCs w:val="24"/>
              </w:rPr>
              <w:t>人民币元</w:t>
            </w:r>
            <w:r>
              <w:rPr>
                <w:rFonts w:asciiTheme="minorEastAsia" w:eastAsiaTheme="minorEastAsia" w:hAnsiTheme="minorEastAsia"/>
                <w:color w:val="000000"/>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F5ACF" w:rsidRDefault="00485307">
            <w:pPr>
              <w:spacing w:line="530" w:lineRule="exact"/>
              <w:ind w:right="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24,249.43</w:t>
            </w:r>
          </w:p>
        </w:tc>
        <w:tc>
          <w:tcPr>
            <w:tcW w:w="1770" w:type="dxa"/>
            <w:gridSpan w:val="2"/>
            <w:tcBorders>
              <w:top w:val="single" w:sz="4" w:space="0" w:color="auto"/>
              <w:left w:val="single" w:sz="4" w:space="0" w:color="auto"/>
              <w:bottom w:val="single" w:sz="4" w:space="0" w:color="auto"/>
              <w:right w:val="single" w:sz="4" w:space="0" w:color="auto"/>
            </w:tcBorders>
            <w:vAlign w:val="center"/>
          </w:tcPr>
          <w:p w:rsidR="003F5ACF" w:rsidRDefault="00485307">
            <w:pPr>
              <w:spacing w:line="530" w:lineRule="exact"/>
              <w:ind w:right="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9,927.40</w:t>
            </w:r>
          </w:p>
        </w:tc>
        <w:tc>
          <w:tcPr>
            <w:tcW w:w="1673" w:type="dxa"/>
            <w:tcBorders>
              <w:top w:val="single" w:sz="4" w:space="0" w:color="auto"/>
              <w:left w:val="single" w:sz="4" w:space="0" w:color="auto"/>
              <w:bottom w:val="single" w:sz="4" w:space="0" w:color="auto"/>
              <w:right w:val="single" w:sz="4" w:space="0" w:color="auto"/>
            </w:tcBorders>
            <w:vAlign w:val="center"/>
          </w:tcPr>
          <w:p w:rsidR="003F5ACF" w:rsidRDefault="00485307">
            <w:pPr>
              <w:spacing w:line="530" w:lineRule="exact"/>
              <w:ind w:right="480"/>
              <w:rPr>
                <w:rFonts w:asciiTheme="minorEastAsia" w:eastAsiaTheme="minorEastAsia" w:hAnsiTheme="minorEastAsia"/>
                <w:sz w:val="24"/>
                <w:szCs w:val="24"/>
              </w:rPr>
            </w:pPr>
            <w:r>
              <w:rPr>
                <w:rFonts w:asciiTheme="minorEastAsia" w:eastAsiaTheme="minorEastAsia" w:hAnsiTheme="minorEastAsia"/>
                <w:sz w:val="24"/>
                <w:szCs w:val="24"/>
              </w:rPr>
              <w:t>34,176.83</w:t>
            </w:r>
          </w:p>
        </w:tc>
      </w:tr>
      <w:tr w:rsidR="003F5ACF">
        <w:trPr>
          <w:jc w:val="center"/>
        </w:trPr>
        <w:tc>
          <w:tcPr>
            <w:tcW w:w="2368" w:type="dxa"/>
            <w:vMerge w:val="restart"/>
            <w:vAlign w:val="center"/>
          </w:tcPr>
          <w:p w:rsidR="003F5ACF" w:rsidRDefault="00485307">
            <w:pPr>
              <w:spacing w:line="53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募集份额（单位：</w:t>
            </w:r>
            <w:r>
              <w:rPr>
                <w:rFonts w:asciiTheme="minorEastAsia" w:eastAsiaTheme="minorEastAsia" w:hAnsiTheme="minorEastAsia" w:hint="eastAsia"/>
                <w:color w:val="000000"/>
                <w:sz w:val="24"/>
                <w:szCs w:val="24"/>
              </w:rPr>
              <w:t>份</w:t>
            </w:r>
            <w:r>
              <w:rPr>
                <w:rFonts w:asciiTheme="minorEastAsia" w:eastAsiaTheme="minorEastAsia" w:hAnsiTheme="minorEastAsia"/>
                <w:color w:val="000000"/>
                <w:sz w:val="24"/>
                <w:szCs w:val="24"/>
              </w:rPr>
              <w:t>）</w:t>
            </w:r>
          </w:p>
        </w:tc>
        <w:tc>
          <w:tcPr>
            <w:tcW w:w="2127" w:type="dxa"/>
            <w:vAlign w:val="center"/>
          </w:tcPr>
          <w:p w:rsidR="003F5ACF" w:rsidRDefault="00485307">
            <w:pPr>
              <w:spacing w:line="53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有效认购份额</w:t>
            </w:r>
          </w:p>
        </w:tc>
        <w:tc>
          <w:tcPr>
            <w:tcW w:w="1695" w:type="dxa"/>
            <w:vAlign w:val="center"/>
          </w:tcPr>
          <w:p w:rsidR="003F5ACF" w:rsidRDefault="00485307">
            <w:pP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142,210,764.76</w:t>
            </w:r>
          </w:p>
        </w:tc>
        <w:tc>
          <w:tcPr>
            <w:tcW w:w="1770" w:type="dxa"/>
            <w:gridSpan w:val="2"/>
            <w:vAlign w:val="center"/>
          </w:tcPr>
          <w:p w:rsidR="003F5ACF" w:rsidRDefault="00485307">
            <w:pP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106,588,461.10</w:t>
            </w:r>
          </w:p>
        </w:tc>
        <w:tc>
          <w:tcPr>
            <w:tcW w:w="1679" w:type="dxa"/>
            <w:gridSpan w:val="2"/>
            <w:vAlign w:val="center"/>
          </w:tcPr>
          <w:p w:rsidR="003F5ACF" w:rsidRDefault="00485307">
            <w:pPr>
              <w:rPr>
                <w:rFonts w:asciiTheme="minorEastAsia" w:eastAsiaTheme="minorEastAsia" w:hAnsiTheme="minorEastAsia"/>
                <w:sz w:val="24"/>
                <w:szCs w:val="24"/>
              </w:rPr>
            </w:pPr>
            <w:r>
              <w:rPr>
                <w:rFonts w:asciiTheme="minorEastAsia" w:eastAsiaTheme="minorEastAsia" w:hAnsiTheme="minorEastAsia"/>
                <w:sz w:val="24"/>
                <w:szCs w:val="24"/>
              </w:rPr>
              <w:t>248,799,225.86</w:t>
            </w:r>
          </w:p>
        </w:tc>
      </w:tr>
      <w:tr w:rsidR="003F5ACF">
        <w:trPr>
          <w:jc w:val="center"/>
        </w:trPr>
        <w:tc>
          <w:tcPr>
            <w:tcW w:w="2368" w:type="dxa"/>
            <w:vMerge/>
            <w:vAlign w:val="center"/>
          </w:tcPr>
          <w:p w:rsidR="003F5ACF" w:rsidRDefault="003F5ACF">
            <w:pPr>
              <w:spacing w:line="530" w:lineRule="exact"/>
              <w:rPr>
                <w:rFonts w:asciiTheme="minorEastAsia" w:eastAsiaTheme="minorEastAsia" w:hAnsiTheme="minorEastAsia"/>
                <w:color w:val="000000"/>
                <w:sz w:val="24"/>
                <w:szCs w:val="24"/>
              </w:rPr>
            </w:pPr>
          </w:p>
        </w:tc>
        <w:tc>
          <w:tcPr>
            <w:tcW w:w="2127" w:type="dxa"/>
            <w:vAlign w:val="center"/>
          </w:tcPr>
          <w:p w:rsidR="003F5ACF" w:rsidRDefault="00485307">
            <w:pPr>
              <w:spacing w:line="53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利息结转的份额</w:t>
            </w:r>
          </w:p>
        </w:tc>
        <w:tc>
          <w:tcPr>
            <w:tcW w:w="1695" w:type="dxa"/>
            <w:vAlign w:val="center"/>
          </w:tcPr>
          <w:p w:rsidR="003F5ACF" w:rsidRDefault="00485307">
            <w:pP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24,249.43</w:t>
            </w:r>
          </w:p>
        </w:tc>
        <w:tc>
          <w:tcPr>
            <w:tcW w:w="1770" w:type="dxa"/>
            <w:gridSpan w:val="2"/>
            <w:vAlign w:val="center"/>
          </w:tcPr>
          <w:p w:rsidR="003F5ACF" w:rsidRDefault="00485307">
            <w:pP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9,927.40</w:t>
            </w:r>
          </w:p>
        </w:tc>
        <w:tc>
          <w:tcPr>
            <w:tcW w:w="1679" w:type="dxa"/>
            <w:gridSpan w:val="2"/>
            <w:vAlign w:val="center"/>
          </w:tcPr>
          <w:p w:rsidR="003F5ACF" w:rsidRDefault="00485307">
            <w:pPr>
              <w:rPr>
                <w:rFonts w:asciiTheme="minorEastAsia" w:eastAsiaTheme="minorEastAsia" w:hAnsiTheme="minorEastAsia"/>
                <w:sz w:val="24"/>
                <w:szCs w:val="24"/>
              </w:rPr>
            </w:pPr>
            <w:r>
              <w:rPr>
                <w:rFonts w:asciiTheme="minorEastAsia" w:eastAsiaTheme="minorEastAsia" w:hAnsiTheme="minorEastAsia"/>
                <w:sz w:val="24"/>
                <w:szCs w:val="24"/>
              </w:rPr>
              <w:t>34,176.83</w:t>
            </w:r>
          </w:p>
        </w:tc>
      </w:tr>
      <w:tr w:rsidR="003F5ACF">
        <w:trPr>
          <w:jc w:val="center"/>
        </w:trPr>
        <w:tc>
          <w:tcPr>
            <w:tcW w:w="2368" w:type="dxa"/>
            <w:vMerge/>
            <w:vAlign w:val="center"/>
          </w:tcPr>
          <w:p w:rsidR="003F5ACF" w:rsidRDefault="003F5ACF">
            <w:pPr>
              <w:spacing w:line="530" w:lineRule="exact"/>
              <w:rPr>
                <w:rFonts w:asciiTheme="minorEastAsia" w:eastAsiaTheme="minorEastAsia" w:hAnsiTheme="minorEastAsia"/>
                <w:color w:val="000000"/>
                <w:sz w:val="24"/>
                <w:szCs w:val="24"/>
              </w:rPr>
            </w:pPr>
          </w:p>
        </w:tc>
        <w:tc>
          <w:tcPr>
            <w:tcW w:w="2127" w:type="dxa"/>
            <w:vAlign w:val="center"/>
          </w:tcPr>
          <w:p w:rsidR="003F5ACF" w:rsidRDefault="00485307">
            <w:pPr>
              <w:spacing w:line="53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合计</w:t>
            </w:r>
          </w:p>
        </w:tc>
        <w:tc>
          <w:tcPr>
            <w:tcW w:w="1695" w:type="dxa"/>
            <w:vAlign w:val="center"/>
          </w:tcPr>
          <w:p w:rsidR="003F5ACF" w:rsidRDefault="00485307">
            <w:pP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142,235,014.19</w:t>
            </w:r>
          </w:p>
        </w:tc>
        <w:tc>
          <w:tcPr>
            <w:tcW w:w="1770" w:type="dxa"/>
            <w:gridSpan w:val="2"/>
            <w:vAlign w:val="center"/>
          </w:tcPr>
          <w:p w:rsidR="003F5ACF" w:rsidRDefault="00485307">
            <w:pP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106,598,388.50</w:t>
            </w:r>
          </w:p>
        </w:tc>
        <w:tc>
          <w:tcPr>
            <w:tcW w:w="1679" w:type="dxa"/>
            <w:gridSpan w:val="2"/>
            <w:vAlign w:val="center"/>
          </w:tcPr>
          <w:p w:rsidR="003F5ACF" w:rsidRDefault="00485307">
            <w:pPr>
              <w:rPr>
                <w:rFonts w:asciiTheme="minorEastAsia" w:eastAsiaTheme="minorEastAsia" w:hAnsiTheme="minorEastAsia"/>
                <w:sz w:val="24"/>
                <w:szCs w:val="24"/>
              </w:rPr>
            </w:pPr>
            <w:r>
              <w:rPr>
                <w:rFonts w:asciiTheme="minorEastAsia" w:eastAsiaTheme="minorEastAsia" w:hAnsiTheme="minorEastAsia"/>
                <w:sz w:val="24"/>
                <w:szCs w:val="24"/>
              </w:rPr>
              <w:t>248,833,402.69</w:t>
            </w:r>
          </w:p>
        </w:tc>
      </w:tr>
      <w:tr w:rsidR="003F5ACF">
        <w:trPr>
          <w:jc w:val="center"/>
        </w:trPr>
        <w:tc>
          <w:tcPr>
            <w:tcW w:w="2368" w:type="dxa"/>
            <w:vMerge w:val="restart"/>
            <w:vAlign w:val="center"/>
          </w:tcPr>
          <w:p w:rsidR="003F5ACF" w:rsidRDefault="00485307">
            <w:pPr>
              <w:spacing w:line="53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其中：募集期间基金管理人运用固有资金认购本基金情况</w:t>
            </w:r>
          </w:p>
        </w:tc>
        <w:tc>
          <w:tcPr>
            <w:tcW w:w="2127" w:type="dxa"/>
            <w:vAlign w:val="center"/>
          </w:tcPr>
          <w:p w:rsidR="003F5ACF" w:rsidRDefault="00485307">
            <w:pPr>
              <w:spacing w:line="53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认购的基金份额（单位：</w:t>
            </w:r>
            <w:r>
              <w:rPr>
                <w:rFonts w:asciiTheme="minorEastAsia" w:eastAsiaTheme="minorEastAsia" w:hAnsiTheme="minorEastAsia"/>
                <w:color w:val="000000"/>
                <w:sz w:val="24"/>
                <w:szCs w:val="24"/>
              </w:rPr>
              <w:t xml:space="preserve"> </w:t>
            </w:r>
            <w:r>
              <w:rPr>
                <w:rFonts w:asciiTheme="minorEastAsia" w:eastAsiaTheme="minorEastAsia" w:hAnsiTheme="minorEastAsia" w:hint="eastAsia"/>
                <w:color w:val="000000"/>
                <w:sz w:val="24"/>
                <w:szCs w:val="24"/>
              </w:rPr>
              <w:t>份</w:t>
            </w:r>
            <w:r>
              <w:rPr>
                <w:rFonts w:asciiTheme="minorEastAsia" w:eastAsiaTheme="minorEastAsia" w:hAnsiTheme="minorEastAsia"/>
                <w:color w:val="000000"/>
                <w:sz w:val="24"/>
                <w:szCs w:val="24"/>
              </w:rPr>
              <w:t>）</w:t>
            </w:r>
          </w:p>
        </w:tc>
        <w:tc>
          <w:tcPr>
            <w:tcW w:w="1695" w:type="dxa"/>
            <w:vAlign w:val="center"/>
          </w:tcPr>
          <w:p w:rsidR="003F5ACF" w:rsidRDefault="00485307">
            <w:pP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10,001,388.92</w:t>
            </w:r>
          </w:p>
        </w:tc>
        <w:tc>
          <w:tcPr>
            <w:tcW w:w="1770" w:type="dxa"/>
            <w:gridSpan w:val="2"/>
            <w:vAlign w:val="center"/>
          </w:tcPr>
          <w:p w:rsidR="003F5ACF" w:rsidRDefault="00485307">
            <w:pP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0.00</w:t>
            </w:r>
          </w:p>
        </w:tc>
        <w:tc>
          <w:tcPr>
            <w:tcW w:w="1679" w:type="dxa"/>
            <w:gridSpan w:val="2"/>
            <w:vAlign w:val="center"/>
          </w:tcPr>
          <w:p w:rsidR="003F5ACF" w:rsidRDefault="00485307">
            <w:pPr>
              <w:rPr>
                <w:rFonts w:asciiTheme="minorEastAsia" w:eastAsiaTheme="minorEastAsia" w:hAnsiTheme="minorEastAsia"/>
                <w:sz w:val="24"/>
                <w:szCs w:val="24"/>
              </w:rPr>
            </w:pPr>
            <w:r>
              <w:rPr>
                <w:rFonts w:asciiTheme="minorEastAsia" w:eastAsiaTheme="minorEastAsia" w:hAnsiTheme="minorEastAsia"/>
                <w:sz w:val="24"/>
                <w:szCs w:val="24"/>
              </w:rPr>
              <w:t>10,001,388.92</w:t>
            </w:r>
          </w:p>
        </w:tc>
      </w:tr>
      <w:tr w:rsidR="003F5ACF">
        <w:trPr>
          <w:jc w:val="center"/>
        </w:trPr>
        <w:tc>
          <w:tcPr>
            <w:tcW w:w="2368" w:type="dxa"/>
            <w:vMerge/>
            <w:vAlign w:val="center"/>
          </w:tcPr>
          <w:p w:rsidR="003F5ACF" w:rsidRDefault="003F5ACF">
            <w:pPr>
              <w:spacing w:line="530" w:lineRule="exact"/>
              <w:rPr>
                <w:rFonts w:asciiTheme="minorEastAsia" w:eastAsiaTheme="minorEastAsia" w:hAnsiTheme="minorEastAsia"/>
                <w:color w:val="000000"/>
                <w:sz w:val="24"/>
                <w:szCs w:val="24"/>
              </w:rPr>
            </w:pPr>
          </w:p>
        </w:tc>
        <w:tc>
          <w:tcPr>
            <w:tcW w:w="2127" w:type="dxa"/>
            <w:vAlign w:val="center"/>
          </w:tcPr>
          <w:p w:rsidR="003F5ACF" w:rsidRDefault="00485307">
            <w:pPr>
              <w:spacing w:line="53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占基金总份额比例</w:t>
            </w:r>
          </w:p>
        </w:tc>
        <w:tc>
          <w:tcPr>
            <w:tcW w:w="1695" w:type="dxa"/>
            <w:vAlign w:val="center"/>
          </w:tcPr>
          <w:p w:rsidR="003F5ACF" w:rsidRDefault="00485307">
            <w:pP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7.0316%</w:t>
            </w:r>
          </w:p>
        </w:tc>
        <w:tc>
          <w:tcPr>
            <w:tcW w:w="1770" w:type="dxa"/>
            <w:gridSpan w:val="2"/>
            <w:vAlign w:val="center"/>
          </w:tcPr>
          <w:p w:rsidR="003F5ACF" w:rsidRDefault="00485307">
            <w:pP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0.0000%</w:t>
            </w:r>
          </w:p>
        </w:tc>
        <w:tc>
          <w:tcPr>
            <w:tcW w:w="1679" w:type="dxa"/>
            <w:gridSpan w:val="2"/>
            <w:vAlign w:val="center"/>
          </w:tcPr>
          <w:p w:rsidR="003F5ACF" w:rsidRDefault="00485307">
            <w:pPr>
              <w:rPr>
                <w:rFonts w:asciiTheme="minorEastAsia" w:eastAsiaTheme="minorEastAsia" w:hAnsiTheme="minorEastAsia"/>
                <w:sz w:val="24"/>
                <w:szCs w:val="24"/>
              </w:rPr>
            </w:pPr>
            <w:r>
              <w:rPr>
                <w:rFonts w:asciiTheme="minorEastAsia" w:eastAsiaTheme="minorEastAsia" w:hAnsiTheme="minorEastAsia"/>
                <w:sz w:val="24"/>
                <w:szCs w:val="24"/>
              </w:rPr>
              <w:t>4.0193%</w:t>
            </w:r>
          </w:p>
        </w:tc>
      </w:tr>
      <w:tr w:rsidR="003F5ACF">
        <w:trPr>
          <w:jc w:val="center"/>
        </w:trPr>
        <w:tc>
          <w:tcPr>
            <w:tcW w:w="2368" w:type="dxa"/>
            <w:vMerge/>
            <w:vAlign w:val="center"/>
          </w:tcPr>
          <w:p w:rsidR="003F5ACF" w:rsidRDefault="003F5ACF">
            <w:pPr>
              <w:spacing w:line="530" w:lineRule="exact"/>
              <w:rPr>
                <w:rFonts w:asciiTheme="minorEastAsia" w:eastAsiaTheme="minorEastAsia" w:hAnsiTheme="minorEastAsia"/>
                <w:color w:val="000000"/>
                <w:sz w:val="24"/>
                <w:szCs w:val="24"/>
              </w:rPr>
            </w:pPr>
          </w:p>
        </w:tc>
        <w:tc>
          <w:tcPr>
            <w:tcW w:w="2127" w:type="dxa"/>
            <w:vAlign w:val="center"/>
          </w:tcPr>
          <w:p w:rsidR="003F5ACF" w:rsidRDefault="00485307">
            <w:pPr>
              <w:spacing w:line="53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其他需要说明的事项</w:t>
            </w:r>
          </w:p>
        </w:tc>
        <w:tc>
          <w:tcPr>
            <w:tcW w:w="1695" w:type="dxa"/>
            <w:vAlign w:val="center"/>
          </w:tcPr>
          <w:p w:rsidR="003F5ACF" w:rsidRDefault="00485307">
            <w:pP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认购本基金的认购日期</w:t>
            </w:r>
            <w:r>
              <w:rPr>
                <w:rFonts w:asciiTheme="minorEastAsia" w:eastAsiaTheme="minorEastAsia" w:hAnsiTheme="minorEastAsia"/>
                <w:color w:val="000000"/>
                <w:sz w:val="24"/>
                <w:szCs w:val="24"/>
              </w:rPr>
              <w:t>2026</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4</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10</w:t>
            </w:r>
            <w:r>
              <w:rPr>
                <w:rFonts w:asciiTheme="minorEastAsia" w:eastAsiaTheme="minorEastAsia" w:hAnsiTheme="minorEastAsia"/>
                <w:color w:val="000000"/>
                <w:sz w:val="24"/>
                <w:szCs w:val="24"/>
              </w:rPr>
              <w:t>日，适用费率</w:t>
            </w:r>
            <w:r>
              <w:rPr>
                <w:rFonts w:asciiTheme="minorEastAsia" w:eastAsiaTheme="minorEastAsia" w:hAnsiTheme="minorEastAsia"/>
                <w:color w:val="000000"/>
                <w:sz w:val="24"/>
                <w:szCs w:val="24"/>
              </w:rPr>
              <w:t>0</w:t>
            </w:r>
            <w:r>
              <w:rPr>
                <w:rFonts w:asciiTheme="minorEastAsia" w:eastAsiaTheme="minorEastAsia" w:hAnsiTheme="minorEastAsia"/>
                <w:color w:val="000000"/>
                <w:sz w:val="24"/>
                <w:szCs w:val="24"/>
              </w:rPr>
              <w:t>元</w:t>
            </w: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笔。</w:t>
            </w:r>
          </w:p>
        </w:tc>
        <w:tc>
          <w:tcPr>
            <w:tcW w:w="1770" w:type="dxa"/>
            <w:gridSpan w:val="2"/>
            <w:vAlign w:val="center"/>
          </w:tcPr>
          <w:p w:rsidR="003F5ACF" w:rsidRDefault="00485307">
            <w:pP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 </w:t>
            </w:r>
          </w:p>
        </w:tc>
        <w:tc>
          <w:tcPr>
            <w:tcW w:w="1679" w:type="dxa"/>
            <w:gridSpan w:val="2"/>
            <w:vAlign w:val="center"/>
          </w:tcPr>
          <w:p w:rsidR="003F5ACF" w:rsidRDefault="003F5ACF">
            <w:pPr>
              <w:rPr>
                <w:rFonts w:asciiTheme="minorEastAsia" w:eastAsiaTheme="minorEastAsia" w:hAnsiTheme="minorEastAsia"/>
                <w:sz w:val="24"/>
                <w:szCs w:val="24"/>
              </w:rPr>
            </w:pPr>
          </w:p>
        </w:tc>
      </w:tr>
      <w:tr w:rsidR="003F5ACF">
        <w:trPr>
          <w:jc w:val="center"/>
        </w:trPr>
        <w:tc>
          <w:tcPr>
            <w:tcW w:w="2368" w:type="dxa"/>
            <w:vMerge w:val="restart"/>
            <w:vAlign w:val="center"/>
          </w:tcPr>
          <w:p w:rsidR="003F5ACF" w:rsidRDefault="00485307">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其中：募集期间基金管理人的从业人员认购本基金情况</w:t>
            </w:r>
          </w:p>
        </w:tc>
        <w:tc>
          <w:tcPr>
            <w:tcW w:w="2127" w:type="dxa"/>
            <w:vAlign w:val="center"/>
          </w:tcPr>
          <w:p w:rsidR="003F5ACF" w:rsidRDefault="00485307">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认购的基金份额（单位：</w:t>
            </w:r>
            <w:r>
              <w:rPr>
                <w:rFonts w:asciiTheme="minorEastAsia" w:eastAsiaTheme="minorEastAsia" w:hAnsiTheme="minorEastAsia" w:hint="eastAsia"/>
                <w:color w:val="000000"/>
                <w:sz w:val="24"/>
                <w:szCs w:val="24"/>
              </w:rPr>
              <w:t>份</w:t>
            </w:r>
            <w:r>
              <w:rPr>
                <w:rFonts w:asciiTheme="minorEastAsia" w:eastAsiaTheme="minorEastAsia" w:hAnsiTheme="minorEastAsia"/>
                <w:color w:val="000000"/>
                <w:sz w:val="24"/>
                <w:szCs w:val="24"/>
              </w:rPr>
              <w:t>）</w:t>
            </w:r>
          </w:p>
        </w:tc>
        <w:tc>
          <w:tcPr>
            <w:tcW w:w="1695" w:type="dxa"/>
            <w:vAlign w:val="center"/>
          </w:tcPr>
          <w:p w:rsidR="003F5ACF" w:rsidRDefault="00485307">
            <w:pP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90,000.11</w:t>
            </w:r>
          </w:p>
        </w:tc>
        <w:tc>
          <w:tcPr>
            <w:tcW w:w="1770" w:type="dxa"/>
            <w:gridSpan w:val="2"/>
            <w:vAlign w:val="center"/>
          </w:tcPr>
          <w:p w:rsidR="003F5ACF" w:rsidRDefault="00485307">
            <w:pP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8,200.06</w:t>
            </w:r>
          </w:p>
        </w:tc>
        <w:tc>
          <w:tcPr>
            <w:tcW w:w="1679" w:type="dxa"/>
            <w:gridSpan w:val="2"/>
            <w:vAlign w:val="center"/>
          </w:tcPr>
          <w:p w:rsidR="003F5ACF" w:rsidRDefault="00485307">
            <w:pPr>
              <w:rPr>
                <w:rFonts w:asciiTheme="minorEastAsia" w:eastAsiaTheme="minorEastAsia" w:hAnsiTheme="minorEastAsia"/>
                <w:sz w:val="24"/>
                <w:szCs w:val="24"/>
              </w:rPr>
            </w:pPr>
            <w:r>
              <w:rPr>
                <w:rFonts w:asciiTheme="minorEastAsia" w:eastAsiaTheme="minorEastAsia" w:hAnsiTheme="minorEastAsia"/>
                <w:sz w:val="24"/>
                <w:szCs w:val="24"/>
              </w:rPr>
              <w:t>98,200.17</w:t>
            </w:r>
          </w:p>
        </w:tc>
      </w:tr>
      <w:tr w:rsidR="003F5ACF">
        <w:trPr>
          <w:jc w:val="center"/>
        </w:trPr>
        <w:tc>
          <w:tcPr>
            <w:tcW w:w="2368" w:type="dxa"/>
            <w:vMerge/>
            <w:vAlign w:val="center"/>
          </w:tcPr>
          <w:p w:rsidR="003F5ACF" w:rsidRDefault="003F5ACF">
            <w:pPr>
              <w:spacing w:line="560" w:lineRule="exact"/>
              <w:rPr>
                <w:rFonts w:asciiTheme="minorEastAsia" w:eastAsiaTheme="minorEastAsia" w:hAnsiTheme="minorEastAsia"/>
                <w:color w:val="000000"/>
                <w:sz w:val="24"/>
                <w:szCs w:val="24"/>
              </w:rPr>
            </w:pPr>
          </w:p>
        </w:tc>
        <w:tc>
          <w:tcPr>
            <w:tcW w:w="2127" w:type="dxa"/>
            <w:vAlign w:val="center"/>
          </w:tcPr>
          <w:p w:rsidR="003F5ACF" w:rsidRDefault="00485307">
            <w:pPr>
              <w:spacing w:line="560" w:lineRule="exact"/>
              <w:rPr>
                <w:rFonts w:asciiTheme="minorEastAsia" w:eastAsiaTheme="minorEastAsia" w:hAnsiTheme="minorEastAsia"/>
                <w:color w:val="000000"/>
                <w:sz w:val="24"/>
                <w:szCs w:val="24"/>
              </w:rPr>
            </w:pPr>
            <w:bookmarkStart w:id="3" w:name="_Hlk120722625"/>
            <w:r>
              <w:rPr>
                <w:rFonts w:asciiTheme="minorEastAsia" w:eastAsiaTheme="minorEastAsia" w:hAnsiTheme="minorEastAsia"/>
                <w:color w:val="000000"/>
                <w:sz w:val="24"/>
                <w:szCs w:val="24"/>
              </w:rPr>
              <w:t>占基金总份额比例</w:t>
            </w:r>
            <w:bookmarkEnd w:id="3"/>
          </w:p>
        </w:tc>
        <w:tc>
          <w:tcPr>
            <w:tcW w:w="1695" w:type="dxa"/>
            <w:vAlign w:val="center"/>
          </w:tcPr>
          <w:p w:rsidR="003F5ACF" w:rsidRDefault="00485307">
            <w:pP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0.0633%</w:t>
            </w:r>
          </w:p>
        </w:tc>
        <w:tc>
          <w:tcPr>
            <w:tcW w:w="1770" w:type="dxa"/>
            <w:gridSpan w:val="2"/>
            <w:vAlign w:val="center"/>
          </w:tcPr>
          <w:p w:rsidR="003F5ACF" w:rsidRDefault="00485307">
            <w:pP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0.0077%</w:t>
            </w:r>
          </w:p>
        </w:tc>
        <w:tc>
          <w:tcPr>
            <w:tcW w:w="1679" w:type="dxa"/>
            <w:gridSpan w:val="2"/>
            <w:vAlign w:val="center"/>
          </w:tcPr>
          <w:p w:rsidR="003F5ACF" w:rsidRDefault="00485307">
            <w:pPr>
              <w:rPr>
                <w:rFonts w:asciiTheme="minorEastAsia" w:eastAsiaTheme="minorEastAsia" w:hAnsiTheme="minorEastAsia"/>
                <w:sz w:val="24"/>
                <w:szCs w:val="24"/>
              </w:rPr>
            </w:pPr>
            <w:r>
              <w:rPr>
                <w:rFonts w:asciiTheme="minorEastAsia" w:eastAsiaTheme="minorEastAsia" w:hAnsiTheme="minorEastAsia"/>
                <w:sz w:val="24"/>
                <w:szCs w:val="24"/>
              </w:rPr>
              <w:t>0.0395%</w:t>
            </w:r>
          </w:p>
        </w:tc>
      </w:tr>
      <w:tr w:rsidR="003F5ACF">
        <w:trPr>
          <w:jc w:val="center"/>
        </w:trPr>
        <w:tc>
          <w:tcPr>
            <w:tcW w:w="7960" w:type="dxa"/>
            <w:gridSpan w:val="5"/>
            <w:vAlign w:val="center"/>
          </w:tcPr>
          <w:p w:rsidR="003F5ACF" w:rsidRDefault="00485307">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募集期限届满基金是否符合法律法规规定的办理基金备案手续的条件</w:t>
            </w:r>
          </w:p>
        </w:tc>
        <w:tc>
          <w:tcPr>
            <w:tcW w:w="1679" w:type="dxa"/>
            <w:gridSpan w:val="2"/>
            <w:vAlign w:val="center"/>
          </w:tcPr>
          <w:p w:rsidR="003F5ACF" w:rsidRDefault="00485307">
            <w:pP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是</w:t>
            </w:r>
          </w:p>
        </w:tc>
      </w:tr>
      <w:tr w:rsidR="003F5ACF">
        <w:trPr>
          <w:jc w:val="center"/>
        </w:trPr>
        <w:tc>
          <w:tcPr>
            <w:tcW w:w="7960" w:type="dxa"/>
            <w:gridSpan w:val="5"/>
            <w:vAlign w:val="center"/>
          </w:tcPr>
          <w:p w:rsidR="003F5ACF" w:rsidRDefault="00485307">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向中国证监会办理基金备案手续获得书面确认的日期</w:t>
            </w:r>
          </w:p>
        </w:tc>
        <w:tc>
          <w:tcPr>
            <w:tcW w:w="1679" w:type="dxa"/>
            <w:gridSpan w:val="2"/>
            <w:vAlign w:val="center"/>
          </w:tcPr>
          <w:p w:rsidR="003F5ACF" w:rsidRDefault="00485307">
            <w:pPr>
              <w:ind w:right="480"/>
              <w:rPr>
                <w:rFonts w:asciiTheme="minorEastAsia" w:eastAsiaTheme="minorEastAsia" w:hAnsiTheme="minorEastAsia" w:cs="宋体"/>
                <w:sz w:val="24"/>
                <w:szCs w:val="24"/>
              </w:rPr>
            </w:pPr>
            <w:r>
              <w:rPr>
                <w:rFonts w:asciiTheme="minorEastAsia" w:eastAsiaTheme="minorEastAsia" w:hAnsiTheme="minorEastAsia"/>
                <w:sz w:val="24"/>
                <w:szCs w:val="24"/>
              </w:rPr>
              <w:t>2026</w:t>
            </w:r>
            <w:r>
              <w:rPr>
                <w:rFonts w:asciiTheme="minorEastAsia" w:eastAsiaTheme="minorEastAsia" w:hAnsiTheme="minorEastAsia"/>
                <w:sz w:val="24"/>
                <w:szCs w:val="24"/>
              </w:rPr>
              <w:t>年</w:t>
            </w:r>
            <w:r>
              <w:rPr>
                <w:rFonts w:asciiTheme="minorEastAsia" w:eastAsiaTheme="minorEastAsia" w:hAnsiTheme="minorEastAsia"/>
                <w:sz w:val="24"/>
                <w:szCs w:val="24"/>
              </w:rPr>
              <w:t>4</w:t>
            </w:r>
            <w:r>
              <w:rPr>
                <w:rFonts w:asciiTheme="minorEastAsia" w:eastAsiaTheme="minorEastAsia" w:hAnsiTheme="minorEastAsia"/>
                <w:sz w:val="24"/>
                <w:szCs w:val="24"/>
              </w:rPr>
              <w:t>月</w:t>
            </w:r>
            <w:r>
              <w:rPr>
                <w:rFonts w:asciiTheme="minorEastAsia" w:eastAsiaTheme="minorEastAsia" w:hAnsiTheme="minorEastAsia"/>
                <w:sz w:val="24"/>
                <w:szCs w:val="24"/>
              </w:rPr>
              <w:t>15</w:t>
            </w:r>
            <w:r>
              <w:rPr>
                <w:rFonts w:asciiTheme="minorEastAsia" w:eastAsiaTheme="minorEastAsia" w:hAnsiTheme="minorEastAsia"/>
                <w:sz w:val="24"/>
                <w:szCs w:val="24"/>
              </w:rPr>
              <w:t>日</w:t>
            </w:r>
          </w:p>
        </w:tc>
      </w:tr>
    </w:tbl>
    <w:p w:rsidR="003F5ACF" w:rsidRDefault="00485307">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kern w:val="0"/>
          <w:sz w:val="24"/>
          <w:szCs w:val="24"/>
        </w:rPr>
        <w:t>注</w:t>
      </w:r>
      <w:r>
        <w:rPr>
          <w:rFonts w:asciiTheme="minorEastAsia" w:eastAsiaTheme="minorEastAsia" w:hAnsiTheme="minorEastAsia" w:hint="eastAsia"/>
          <w:kern w:val="0"/>
          <w:sz w:val="24"/>
          <w:szCs w:val="24"/>
        </w:rPr>
        <w:t>：</w:t>
      </w:r>
      <w:r>
        <w:rPr>
          <w:rFonts w:asciiTheme="minorEastAsia" w:eastAsiaTheme="minorEastAsia" w:hAnsiTheme="minorEastAsia"/>
          <w:kern w:val="0"/>
          <w:sz w:val="24"/>
          <w:szCs w:val="24"/>
        </w:rPr>
        <w:t>1</w:t>
      </w:r>
      <w:r>
        <w:rPr>
          <w:rFonts w:asciiTheme="minorEastAsia" w:eastAsiaTheme="minorEastAsia" w:hAnsiTheme="minorEastAsia"/>
          <w:kern w:val="0"/>
          <w:sz w:val="24"/>
          <w:szCs w:val="24"/>
        </w:rPr>
        <w:t>、基金管理人的高级管理人员、基金投资和研究部门负责人持有本基金份额总量的数量区间为</w:t>
      </w:r>
      <w:r>
        <w:rPr>
          <w:rFonts w:asciiTheme="minorEastAsia" w:eastAsiaTheme="minorEastAsia" w:hAnsiTheme="minorEastAsia"/>
          <w:kern w:val="0"/>
          <w:sz w:val="24"/>
          <w:szCs w:val="24"/>
        </w:rPr>
        <w:t>0</w:t>
      </w:r>
      <w:r>
        <w:rPr>
          <w:rFonts w:asciiTheme="minorEastAsia" w:eastAsiaTheme="minorEastAsia" w:hAnsiTheme="minorEastAsia"/>
          <w:kern w:val="0"/>
          <w:sz w:val="24"/>
          <w:szCs w:val="24"/>
        </w:rPr>
        <w:t>至</w:t>
      </w:r>
      <w:r>
        <w:rPr>
          <w:rFonts w:asciiTheme="minorEastAsia" w:eastAsiaTheme="minorEastAsia" w:hAnsiTheme="minorEastAsia"/>
          <w:kern w:val="0"/>
          <w:sz w:val="24"/>
          <w:szCs w:val="24"/>
        </w:rPr>
        <w:t>10</w:t>
      </w:r>
      <w:r>
        <w:rPr>
          <w:rFonts w:asciiTheme="minorEastAsia" w:eastAsiaTheme="minorEastAsia" w:hAnsiTheme="minorEastAsia"/>
          <w:kern w:val="0"/>
          <w:sz w:val="24"/>
          <w:szCs w:val="24"/>
        </w:rPr>
        <w:t>万份（含），本基金的基金经理持有本基金份额总量的区间为</w:t>
      </w:r>
      <w:r>
        <w:rPr>
          <w:rFonts w:asciiTheme="minorEastAsia" w:eastAsiaTheme="minorEastAsia" w:hAnsiTheme="minorEastAsia"/>
          <w:kern w:val="0"/>
          <w:sz w:val="24"/>
          <w:szCs w:val="24"/>
        </w:rPr>
        <w:t>0</w:t>
      </w:r>
      <w:r>
        <w:rPr>
          <w:rFonts w:asciiTheme="minorEastAsia" w:eastAsiaTheme="minorEastAsia" w:hAnsiTheme="minorEastAsia"/>
          <w:kern w:val="0"/>
          <w:sz w:val="24"/>
          <w:szCs w:val="24"/>
        </w:rPr>
        <w:t>至</w:t>
      </w:r>
      <w:r>
        <w:rPr>
          <w:rFonts w:asciiTheme="minorEastAsia" w:eastAsiaTheme="minorEastAsia" w:hAnsiTheme="minorEastAsia"/>
          <w:kern w:val="0"/>
          <w:sz w:val="24"/>
          <w:szCs w:val="24"/>
        </w:rPr>
        <w:t>10</w:t>
      </w:r>
      <w:r>
        <w:rPr>
          <w:rFonts w:asciiTheme="minorEastAsia" w:eastAsiaTheme="minorEastAsia" w:hAnsiTheme="minorEastAsia"/>
          <w:kern w:val="0"/>
          <w:sz w:val="24"/>
          <w:szCs w:val="24"/>
        </w:rPr>
        <w:t>万份（含）。</w:t>
      </w:r>
    </w:p>
    <w:p w:rsidR="003F5ACF" w:rsidRDefault="00485307">
      <w:pPr>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2</w:t>
      </w:r>
      <w:r>
        <w:rPr>
          <w:rFonts w:asciiTheme="minorEastAsia" w:eastAsiaTheme="minorEastAsia" w:hAnsiTheme="minorEastAsia"/>
          <w:kern w:val="0"/>
          <w:sz w:val="24"/>
          <w:szCs w:val="24"/>
        </w:rPr>
        <w:t>、本基金合同生效前的律师费、会计师费、信息披露费由基金管理人承担，不从基金资产中支付。</w:t>
      </w:r>
    </w:p>
    <w:p w:rsidR="003F5ACF" w:rsidRDefault="00485307">
      <w:pPr>
        <w:pStyle w:val="2"/>
        <w:spacing w:line="560" w:lineRule="exact"/>
        <w:rPr>
          <w:rFonts w:asciiTheme="minorEastAsia" w:eastAsiaTheme="minorEastAsia" w:hAnsiTheme="minorEastAsia"/>
          <w:bCs w:val="0"/>
          <w:color w:val="000000"/>
          <w:sz w:val="24"/>
          <w:szCs w:val="24"/>
        </w:rPr>
      </w:pPr>
      <w:r>
        <w:rPr>
          <w:rFonts w:asciiTheme="minorEastAsia" w:eastAsiaTheme="minorEastAsia" w:hAnsiTheme="minorEastAsia" w:hint="eastAsia"/>
          <w:bCs w:val="0"/>
          <w:sz w:val="24"/>
          <w:szCs w:val="24"/>
        </w:rPr>
        <w:t>3</w:t>
      </w:r>
      <w:r>
        <w:rPr>
          <w:rFonts w:asciiTheme="minorEastAsia" w:eastAsiaTheme="minorEastAsia" w:hAnsiTheme="minorEastAsia"/>
          <w:bCs w:val="0"/>
          <w:sz w:val="24"/>
          <w:szCs w:val="24"/>
        </w:rPr>
        <w:t xml:space="preserve"> </w:t>
      </w:r>
      <w:r>
        <w:rPr>
          <w:rFonts w:asciiTheme="minorEastAsia" w:eastAsiaTheme="minorEastAsia" w:hAnsiTheme="minorEastAsia" w:hint="eastAsia"/>
          <w:bCs w:val="0"/>
          <w:color w:val="000000"/>
          <w:sz w:val="24"/>
          <w:szCs w:val="24"/>
        </w:rPr>
        <w:t>发起式基金发起资金持有份额情况</w:t>
      </w:r>
    </w:p>
    <w:tbl>
      <w:tblPr>
        <w:tblStyle w:val="aa"/>
        <w:tblW w:w="9640" w:type="dxa"/>
        <w:jc w:val="center"/>
        <w:tblLayout w:type="fixed"/>
        <w:tblLook w:val="04A0"/>
      </w:tblPr>
      <w:tblGrid>
        <w:gridCol w:w="1660"/>
        <w:gridCol w:w="1559"/>
        <w:gridCol w:w="1843"/>
        <w:gridCol w:w="1559"/>
        <w:gridCol w:w="1701"/>
        <w:gridCol w:w="1318"/>
      </w:tblGrid>
      <w:tr w:rsidR="003F5ACF">
        <w:trPr>
          <w:jc w:val="center"/>
        </w:trPr>
        <w:tc>
          <w:tcPr>
            <w:tcW w:w="1660" w:type="dxa"/>
          </w:tcPr>
          <w:p w:rsidR="003F5ACF" w:rsidRDefault="00485307">
            <w:pPr>
              <w:widowControl/>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项目</w:t>
            </w:r>
          </w:p>
        </w:tc>
        <w:tc>
          <w:tcPr>
            <w:tcW w:w="1559" w:type="dxa"/>
          </w:tcPr>
          <w:p w:rsidR="003F5ACF" w:rsidRDefault="00485307">
            <w:pPr>
              <w:adjustRightInd w:val="0"/>
              <w:snapToGrid w:val="0"/>
              <w:spacing w:line="360" w:lineRule="exact"/>
              <w:ind w:right="120"/>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持有份额总数</w:t>
            </w:r>
          </w:p>
        </w:tc>
        <w:tc>
          <w:tcPr>
            <w:tcW w:w="1843" w:type="dxa"/>
          </w:tcPr>
          <w:p w:rsidR="003F5ACF" w:rsidRDefault="00485307">
            <w:pPr>
              <w:adjustRightInd w:val="0"/>
              <w:snapToGrid w:val="0"/>
              <w:spacing w:line="360" w:lineRule="exac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持有份额占基金总份额比例</w:t>
            </w:r>
          </w:p>
        </w:tc>
        <w:tc>
          <w:tcPr>
            <w:tcW w:w="1559" w:type="dxa"/>
          </w:tcPr>
          <w:p w:rsidR="003F5ACF" w:rsidRDefault="00485307">
            <w:pPr>
              <w:adjustRightInd w:val="0"/>
              <w:snapToGrid w:val="0"/>
              <w:spacing w:line="360" w:lineRule="exac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发起份额总数</w:t>
            </w:r>
          </w:p>
        </w:tc>
        <w:tc>
          <w:tcPr>
            <w:tcW w:w="1701" w:type="dxa"/>
          </w:tcPr>
          <w:p w:rsidR="003F5ACF" w:rsidRDefault="00485307">
            <w:pPr>
              <w:adjustRightInd w:val="0"/>
              <w:snapToGrid w:val="0"/>
              <w:spacing w:line="360" w:lineRule="exac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发起份额占基金总份额比例</w:t>
            </w:r>
          </w:p>
        </w:tc>
        <w:tc>
          <w:tcPr>
            <w:tcW w:w="1318" w:type="dxa"/>
          </w:tcPr>
          <w:p w:rsidR="003F5ACF" w:rsidRDefault="00485307">
            <w:pPr>
              <w:widowControl/>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发起份额承诺持有期限</w:t>
            </w:r>
          </w:p>
        </w:tc>
      </w:tr>
      <w:tr w:rsidR="003F5ACF">
        <w:trPr>
          <w:jc w:val="center"/>
        </w:trPr>
        <w:tc>
          <w:tcPr>
            <w:tcW w:w="1660" w:type="dxa"/>
          </w:tcPr>
          <w:p w:rsidR="003F5ACF" w:rsidRDefault="00485307">
            <w:pPr>
              <w:spacing w:line="360" w:lineRule="exact"/>
              <w:ind w:left="240" w:hangingChars="100" w:hanging="240"/>
              <w:jc w:val="left"/>
            </w:pPr>
            <w:r>
              <w:rPr>
                <w:rFonts w:asciiTheme="minorEastAsia" w:eastAsiaTheme="minorEastAsia" w:hAnsiTheme="minorEastAsia"/>
                <w:color w:val="000000"/>
                <w:position w:val="-1"/>
                <w:sz w:val="24"/>
              </w:rPr>
              <w:t>基金管理人固有资金</w:t>
            </w:r>
          </w:p>
        </w:tc>
        <w:tc>
          <w:tcPr>
            <w:tcW w:w="1559" w:type="dxa"/>
          </w:tcPr>
          <w:p w:rsidR="003F5ACF" w:rsidRDefault="00485307">
            <w:pPr>
              <w:spacing w:line="360" w:lineRule="exact"/>
              <w:jc w:val="left"/>
            </w:pPr>
            <w:r>
              <w:rPr>
                <w:rFonts w:asciiTheme="minorEastAsia" w:eastAsiaTheme="minorEastAsia" w:hAnsiTheme="minorEastAsia"/>
                <w:color w:val="000000"/>
                <w:position w:val="-1"/>
                <w:sz w:val="24"/>
              </w:rPr>
              <w:t>10,001,388.92</w:t>
            </w:r>
          </w:p>
        </w:tc>
        <w:tc>
          <w:tcPr>
            <w:tcW w:w="1843" w:type="dxa"/>
          </w:tcPr>
          <w:p w:rsidR="003F5ACF" w:rsidRDefault="00485307">
            <w:pPr>
              <w:spacing w:line="360" w:lineRule="exact"/>
              <w:jc w:val="left"/>
            </w:pPr>
            <w:r>
              <w:rPr>
                <w:rFonts w:asciiTheme="minorEastAsia" w:eastAsiaTheme="minorEastAsia" w:hAnsiTheme="minorEastAsia"/>
                <w:color w:val="000000"/>
                <w:position w:val="-1"/>
                <w:sz w:val="24"/>
              </w:rPr>
              <w:t>4.0193%</w:t>
            </w:r>
          </w:p>
        </w:tc>
        <w:tc>
          <w:tcPr>
            <w:tcW w:w="1559" w:type="dxa"/>
          </w:tcPr>
          <w:p w:rsidR="003F5ACF" w:rsidRDefault="00485307">
            <w:pPr>
              <w:spacing w:line="360" w:lineRule="exact"/>
              <w:jc w:val="left"/>
            </w:pPr>
            <w:r>
              <w:rPr>
                <w:rFonts w:asciiTheme="minorEastAsia" w:eastAsiaTheme="minorEastAsia" w:hAnsiTheme="minorEastAsia"/>
                <w:color w:val="000000"/>
                <w:position w:val="-1"/>
                <w:sz w:val="24"/>
              </w:rPr>
              <w:t>10,001,388.92</w:t>
            </w:r>
          </w:p>
        </w:tc>
        <w:tc>
          <w:tcPr>
            <w:tcW w:w="1701" w:type="dxa"/>
          </w:tcPr>
          <w:p w:rsidR="003F5ACF" w:rsidRDefault="00485307">
            <w:pPr>
              <w:spacing w:line="360" w:lineRule="exact"/>
              <w:jc w:val="left"/>
            </w:pPr>
            <w:r>
              <w:rPr>
                <w:rFonts w:asciiTheme="minorEastAsia" w:eastAsiaTheme="minorEastAsia" w:hAnsiTheme="minorEastAsia"/>
                <w:color w:val="000000"/>
                <w:position w:val="-1"/>
                <w:sz w:val="24"/>
              </w:rPr>
              <w:t>4.0193%</w:t>
            </w:r>
          </w:p>
        </w:tc>
        <w:tc>
          <w:tcPr>
            <w:tcW w:w="1318" w:type="dxa"/>
          </w:tcPr>
          <w:p w:rsidR="003F5ACF" w:rsidRDefault="00485307">
            <w:pPr>
              <w:spacing w:line="360" w:lineRule="exact"/>
              <w:jc w:val="left"/>
            </w:pPr>
            <w:r>
              <w:rPr>
                <w:rFonts w:asciiTheme="minorEastAsia" w:eastAsiaTheme="minorEastAsia" w:hAnsiTheme="minorEastAsia"/>
                <w:color w:val="000000"/>
                <w:position w:val="-1"/>
                <w:sz w:val="24"/>
              </w:rPr>
              <w:t>3</w:t>
            </w:r>
            <w:r>
              <w:rPr>
                <w:rFonts w:asciiTheme="minorEastAsia" w:eastAsiaTheme="minorEastAsia" w:hAnsiTheme="minorEastAsia"/>
                <w:color w:val="000000"/>
                <w:position w:val="-1"/>
                <w:sz w:val="24"/>
              </w:rPr>
              <w:t>年</w:t>
            </w:r>
          </w:p>
        </w:tc>
      </w:tr>
      <w:tr w:rsidR="003F5ACF">
        <w:trPr>
          <w:jc w:val="center"/>
        </w:trPr>
        <w:tc>
          <w:tcPr>
            <w:tcW w:w="1660" w:type="dxa"/>
          </w:tcPr>
          <w:p w:rsidR="003F5ACF" w:rsidRDefault="00485307">
            <w:pPr>
              <w:spacing w:line="360" w:lineRule="exact"/>
              <w:ind w:left="240" w:hangingChars="100" w:hanging="240"/>
              <w:jc w:val="left"/>
            </w:pPr>
            <w:r>
              <w:rPr>
                <w:rFonts w:asciiTheme="minorEastAsia" w:eastAsiaTheme="minorEastAsia" w:hAnsiTheme="minorEastAsia"/>
                <w:color w:val="000000"/>
                <w:position w:val="-1"/>
                <w:sz w:val="24"/>
              </w:rPr>
              <w:t>基金管理人高级管理人员</w:t>
            </w:r>
          </w:p>
        </w:tc>
        <w:tc>
          <w:tcPr>
            <w:tcW w:w="1559" w:type="dxa"/>
          </w:tcPr>
          <w:p w:rsidR="003F5ACF" w:rsidRDefault="00485307">
            <w:pPr>
              <w:spacing w:line="360" w:lineRule="exact"/>
              <w:jc w:val="left"/>
            </w:pPr>
            <w:r>
              <w:rPr>
                <w:rFonts w:asciiTheme="minorEastAsia" w:eastAsiaTheme="minorEastAsia" w:hAnsiTheme="minorEastAsia"/>
                <w:color w:val="000000"/>
                <w:position w:val="-1"/>
                <w:sz w:val="24"/>
              </w:rPr>
              <w:t>-</w:t>
            </w:r>
          </w:p>
        </w:tc>
        <w:tc>
          <w:tcPr>
            <w:tcW w:w="1843" w:type="dxa"/>
          </w:tcPr>
          <w:p w:rsidR="003F5ACF" w:rsidRDefault="00485307">
            <w:pPr>
              <w:spacing w:line="360" w:lineRule="exact"/>
              <w:jc w:val="left"/>
            </w:pPr>
            <w:r>
              <w:rPr>
                <w:rFonts w:asciiTheme="minorEastAsia" w:eastAsiaTheme="minorEastAsia" w:hAnsiTheme="minorEastAsia"/>
                <w:color w:val="000000"/>
                <w:position w:val="-1"/>
                <w:sz w:val="24"/>
              </w:rPr>
              <w:t>-</w:t>
            </w:r>
          </w:p>
        </w:tc>
        <w:tc>
          <w:tcPr>
            <w:tcW w:w="1559" w:type="dxa"/>
          </w:tcPr>
          <w:p w:rsidR="003F5ACF" w:rsidRDefault="00485307">
            <w:pPr>
              <w:spacing w:line="360" w:lineRule="exact"/>
              <w:jc w:val="left"/>
            </w:pPr>
            <w:r>
              <w:rPr>
                <w:rFonts w:asciiTheme="minorEastAsia" w:eastAsiaTheme="minorEastAsia" w:hAnsiTheme="minorEastAsia"/>
                <w:color w:val="000000"/>
                <w:position w:val="-1"/>
                <w:sz w:val="24"/>
              </w:rPr>
              <w:t>-</w:t>
            </w:r>
          </w:p>
        </w:tc>
        <w:tc>
          <w:tcPr>
            <w:tcW w:w="1701" w:type="dxa"/>
          </w:tcPr>
          <w:p w:rsidR="003F5ACF" w:rsidRDefault="00485307">
            <w:pPr>
              <w:spacing w:line="360" w:lineRule="exact"/>
              <w:jc w:val="left"/>
            </w:pPr>
            <w:r>
              <w:rPr>
                <w:rFonts w:asciiTheme="minorEastAsia" w:eastAsiaTheme="minorEastAsia" w:hAnsiTheme="minorEastAsia"/>
                <w:color w:val="000000"/>
                <w:position w:val="-1"/>
                <w:sz w:val="24"/>
              </w:rPr>
              <w:t>-</w:t>
            </w:r>
          </w:p>
        </w:tc>
        <w:tc>
          <w:tcPr>
            <w:tcW w:w="1318" w:type="dxa"/>
          </w:tcPr>
          <w:p w:rsidR="003F5ACF" w:rsidRDefault="00485307">
            <w:pPr>
              <w:spacing w:line="360" w:lineRule="exact"/>
              <w:jc w:val="left"/>
            </w:pPr>
            <w:r>
              <w:rPr>
                <w:rFonts w:asciiTheme="minorEastAsia" w:eastAsiaTheme="minorEastAsia" w:hAnsiTheme="minorEastAsia"/>
                <w:color w:val="000000"/>
                <w:position w:val="-1"/>
                <w:sz w:val="24"/>
              </w:rPr>
              <w:t>-</w:t>
            </w:r>
          </w:p>
        </w:tc>
      </w:tr>
      <w:tr w:rsidR="003F5ACF">
        <w:trPr>
          <w:jc w:val="center"/>
        </w:trPr>
        <w:tc>
          <w:tcPr>
            <w:tcW w:w="1660" w:type="dxa"/>
          </w:tcPr>
          <w:p w:rsidR="003F5ACF" w:rsidRDefault="00485307">
            <w:pPr>
              <w:spacing w:line="360" w:lineRule="exact"/>
              <w:ind w:left="240" w:hangingChars="100" w:hanging="240"/>
              <w:jc w:val="left"/>
            </w:pPr>
            <w:r>
              <w:rPr>
                <w:rFonts w:asciiTheme="minorEastAsia" w:eastAsiaTheme="minorEastAsia" w:hAnsiTheme="minorEastAsia"/>
                <w:color w:val="000000"/>
                <w:position w:val="-1"/>
                <w:sz w:val="24"/>
              </w:rPr>
              <w:t>基金经理等人员</w:t>
            </w:r>
          </w:p>
        </w:tc>
        <w:tc>
          <w:tcPr>
            <w:tcW w:w="1559" w:type="dxa"/>
          </w:tcPr>
          <w:p w:rsidR="003F5ACF" w:rsidRDefault="00485307">
            <w:pPr>
              <w:spacing w:line="360" w:lineRule="exact"/>
              <w:jc w:val="left"/>
            </w:pPr>
            <w:r>
              <w:rPr>
                <w:rFonts w:asciiTheme="minorEastAsia" w:eastAsiaTheme="minorEastAsia" w:hAnsiTheme="minorEastAsia"/>
                <w:color w:val="000000"/>
                <w:position w:val="-1"/>
                <w:sz w:val="24"/>
              </w:rPr>
              <w:t>-</w:t>
            </w:r>
          </w:p>
        </w:tc>
        <w:tc>
          <w:tcPr>
            <w:tcW w:w="1843" w:type="dxa"/>
          </w:tcPr>
          <w:p w:rsidR="003F5ACF" w:rsidRDefault="00485307">
            <w:pPr>
              <w:spacing w:line="360" w:lineRule="exact"/>
              <w:jc w:val="left"/>
            </w:pPr>
            <w:r>
              <w:rPr>
                <w:rFonts w:asciiTheme="minorEastAsia" w:eastAsiaTheme="minorEastAsia" w:hAnsiTheme="minorEastAsia"/>
                <w:color w:val="000000"/>
                <w:position w:val="-1"/>
                <w:sz w:val="24"/>
              </w:rPr>
              <w:t>-</w:t>
            </w:r>
          </w:p>
        </w:tc>
        <w:tc>
          <w:tcPr>
            <w:tcW w:w="1559" w:type="dxa"/>
          </w:tcPr>
          <w:p w:rsidR="003F5ACF" w:rsidRDefault="00485307">
            <w:pPr>
              <w:spacing w:line="360" w:lineRule="exact"/>
              <w:jc w:val="left"/>
            </w:pPr>
            <w:r>
              <w:rPr>
                <w:rFonts w:asciiTheme="minorEastAsia" w:eastAsiaTheme="minorEastAsia" w:hAnsiTheme="minorEastAsia"/>
                <w:color w:val="000000"/>
                <w:position w:val="-1"/>
                <w:sz w:val="24"/>
              </w:rPr>
              <w:t>-</w:t>
            </w:r>
          </w:p>
        </w:tc>
        <w:tc>
          <w:tcPr>
            <w:tcW w:w="1701" w:type="dxa"/>
          </w:tcPr>
          <w:p w:rsidR="003F5ACF" w:rsidRDefault="00485307">
            <w:pPr>
              <w:spacing w:line="360" w:lineRule="exact"/>
              <w:jc w:val="left"/>
            </w:pPr>
            <w:r>
              <w:rPr>
                <w:rFonts w:asciiTheme="minorEastAsia" w:eastAsiaTheme="minorEastAsia" w:hAnsiTheme="minorEastAsia"/>
                <w:color w:val="000000"/>
                <w:position w:val="-1"/>
                <w:sz w:val="24"/>
              </w:rPr>
              <w:t>-</w:t>
            </w:r>
          </w:p>
        </w:tc>
        <w:tc>
          <w:tcPr>
            <w:tcW w:w="1318" w:type="dxa"/>
          </w:tcPr>
          <w:p w:rsidR="003F5ACF" w:rsidRDefault="00485307">
            <w:pPr>
              <w:spacing w:line="360" w:lineRule="exact"/>
              <w:jc w:val="left"/>
            </w:pPr>
            <w:r>
              <w:rPr>
                <w:rFonts w:asciiTheme="minorEastAsia" w:eastAsiaTheme="minorEastAsia" w:hAnsiTheme="minorEastAsia"/>
                <w:color w:val="000000"/>
                <w:position w:val="-1"/>
                <w:sz w:val="24"/>
              </w:rPr>
              <w:t>-</w:t>
            </w:r>
          </w:p>
        </w:tc>
      </w:tr>
      <w:tr w:rsidR="003F5ACF">
        <w:trPr>
          <w:jc w:val="center"/>
        </w:trPr>
        <w:tc>
          <w:tcPr>
            <w:tcW w:w="1660" w:type="dxa"/>
          </w:tcPr>
          <w:p w:rsidR="003F5ACF" w:rsidRDefault="00485307">
            <w:pPr>
              <w:spacing w:line="360" w:lineRule="exact"/>
              <w:ind w:left="240" w:hangingChars="100" w:hanging="240"/>
              <w:jc w:val="left"/>
            </w:pPr>
            <w:r>
              <w:rPr>
                <w:rFonts w:asciiTheme="minorEastAsia" w:eastAsiaTheme="minorEastAsia" w:hAnsiTheme="minorEastAsia"/>
                <w:color w:val="000000"/>
                <w:position w:val="-1"/>
                <w:sz w:val="24"/>
              </w:rPr>
              <w:t>基金管理人股东</w:t>
            </w:r>
          </w:p>
        </w:tc>
        <w:tc>
          <w:tcPr>
            <w:tcW w:w="1559" w:type="dxa"/>
          </w:tcPr>
          <w:p w:rsidR="003F5ACF" w:rsidRDefault="00485307">
            <w:pPr>
              <w:spacing w:line="360" w:lineRule="exact"/>
              <w:jc w:val="left"/>
            </w:pPr>
            <w:r>
              <w:rPr>
                <w:rFonts w:asciiTheme="minorEastAsia" w:eastAsiaTheme="minorEastAsia" w:hAnsiTheme="minorEastAsia"/>
                <w:color w:val="000000"/>
                <w:position w:val="-1"/>
                <w:sz w:val="24"/>
              </w:rPr>
              <w:t>-</w:t>
            </w:r>
          </w:p>
        </w:tc>
        <w:tc>
          <w:tcPr>
            <w:tcW w:w="1843" w:type="dxa"/>
          </w:tcPr>
          <w:p w:rsidR="003F5ACF" w:rsidRDefault="00485307">
            <w:pPr>
              <w:spacing w:line="360" w:lineRule="exact"/>
              <w:jc w:val="left"/>
            </w:pPr>
            <w:r>
              <w:rPr>
                <w:rFonts w:asciiTheme="minorEastAsia" w:eastAsiaTheme="minorEastAsia" w:hAnsiTheme="minorEastAsia"/>
                <w:color w:val="000000"/>
                <w:position w:val="-1"/>
                <w:sz w:val="24"/>
              </w:rPr>
              <w:t>-</w:t>
            </w:r>
          </w:p>
        </w:tc>
        <w:tc>
          <w:tcPr>
            <w:tcW w:w="1559" w:type="dxa"/>
          </w:tcPr>
          <w:p w:rsidR="003F5ACF" w:rsidRDefault="00485307">
            <w:pPr>
              <w:spacing w:line="360" w:lineRule="exact"/>
              <w:jc w:val="left"/>
            </w:pPr>
            <w:r>
              <w:rPr>
                <w:rFonts w:asciiTheme="minorEastAsia" w:eastAsiaTheme="minorEastAsia" w:hAnsiTheme="minorEastAsia"/>
                <w:color w:val="000000"/>
                <w:position w:val="-1"/>
                <w:sz w:val="24"/>
              </w:rPr>
              <w:t>-</w:t>
            </w:r>
          </w:p>
        </w:tc>
        <w:tc>
          <w:tcPr>
            <w:tcW w:w="1701" w:type="dxa"/>
          </w:tcPr>
          <w:p w:rsidR="003F5ACF" w:rsidRDefault="00485307">
            <w:pPr>
              <w:spacing w:line="360" w:lineRule="exact"/>
              <w:jc w:val="left"/>
            </w:pPr>
            <w:r>
              <w:rPr>
                <w:rFonts w:asciiTheme="minorEastAsia" w:eastAsiaTheme="minorEastAsia" w:hAnsiTheme="minorEastAsia"/>
                <w:color w:val="000000"/>
                <w:position w:val="-1"/>
                <w:sz w:val="24"/>
              </w:rPr>
              <w:t>-</w:t>
            </w:r>
          </w:p>
        </w:tc>
        <w:tc>
          <w:tcPr>
            <w:tcW w:w="1318" w:type="dxa"/>
          </w:tcPr>
          <w:p w:rsidR="003F5ACF" w:rsidRDefault="00485307">
            <w:pPr>
              <w:spacing w:line="360" w:lineRule="exact"/>
              <w:jc w:val="left"/>
            </w:pPr>
            <w:r>
              <w:rPr>
                <w:rFonts w:asciiTheme="minorEastAsia" w:eastAsiaTheme="minorEastAsia" w:hAnsiTheme="minorEastAsia"/>
                <w:color w:val="000000"/>
                <w:position w:val="-1"/>
                <w:sz w:val="24"/>
              </w:rPr>
              <w:t>-</w:t>
            </w:r>
          </w:p>
        </w:tc>
      </w:tr>
      <w:tr w:rsidR="003F5ACF">
        <w:trPr>
          <w:jc w:val="center"/>
        </w:trPr>
        <w:tc>
          <w:tcPr>
            <w:tcW w:w="1660" w:type="dxa"/>
          </w:tcPr>
          <w:p w:rsidR="003F5ACF" w:rsidRDefault="00485307">
            <w:pPr>
              <w:spacing w:line="360" w:lineRule="exact"/>
              <w:ind w:left="240" w:hangingChars="100" w:hanging="240"/>
              <w:jc w:val="left"/>
            </w:pPr>
            <w:r>
              <w:rPr>
                <w:rFonts w:asciiTheme="minorEastAsia" w:eastAsiaTheme="minorEastAsia" w:hAnsiTheme="minorEastAsia"/>
                <w:color w:val="000000"/>
                <w:position w:val="-1"/>
                <w:sz w:val="24"/>
              </w:rPr>
              <w:t>其他</w:t>
            </w:r>
          </w:p>
        </w:tc>
        <w:tc>
          <w:tcPr>
            <w:tcW w:w="1559" w:type="dxa"/>
          </w:tcPr>
          <w:p w:rsidR="003F5ACF" w:rsidRDefault="00485307">
            <w:pPr>
              <w:spacing w:line="360" w:lineRule="exact"/>
              <w:jc w:val="left"/>
            </w:pPr>
            <w:r>
              <w:rPr>
                <w:rFonts w:asciiTheme="minorEastAsia" w:eastAsiaTheme="minorEastAsia" w:hAnsiTheme="minorEastAsia"/>
                <w:color w:val="000000"/>
                <w:position w:val="-1"/>
                <w:sz w:val="24"/>
              </w:rPr>
              <w:t>-</w:t>
            </w:r>
          </w:p>
        </w:tc>
        <w:tc>
          <w:tcPr>
            <w:tcW w:w="1843" w:type="dxa"/>
          </w:tcPr>
          <w:p w:rsidR="003F5ACF" w:rsidRDefault="00485307">
            <w:pPr>
              <w:spacing w:line="360" w:lineRule="exact"/>
              <w:jc w:val="left"/>
            </w:pPr>
            <w:r>
              <w:rPr>
                <w:rFonts w:asciiTheme="minorEastAsia" w:eastAsiaTheme="minorEastAsia" w:hAnsiTheme="minorEastAsia"/>
                <w:color w:val="000000"/>
                <w:position w:val="-1"/>
                <w:sz w:val="24"/>
              </w:rPr>
              <w:t>-</w:t>
            </w:r>
          </w:p>
        </w:tc>
        <w:tc>
          <w:tcPr>
            <w:tcW w:w="1559" w:type="dxa"/>
          </w:tcPr>
          <w:p w:rsidR="003F5ACF" w:rsidRDefault="00485307">
            <w:pPr>
              <w:spacing w:line="360" w:lineRule="exact"/>
              <w:jc w:val="left"/>
            </w:pPr>
            <w:r>
              <w:rPr>
                <w:rFonts w:asciiTheme="minorEastAsia" w:eastAsiaTheme="minorEastAsia" w:hAnsiTheme="minorEastAsia"/>
                <w:color w:val="000000"/>
                <w:position w:val="-1"/>
                <w:sz w:val="24"/>
              </w:rPr>
              <w:t>-</w:t>
            </w:r>
          </w:p>
        </w:tc>
        <w:tc>
          <w:tcPr>
            <w:tcW w:w="1701" w:type="dxa"/>
          </w:tcPr>
          <w:p w:rsidR="003F5ACF" w:rsidRDefault="00485307">
            <w:pPr>
              <w:spacing w:line="360" w:lineRule="exact"/>
              <w:jc w:val="left"/>
            </w:pPr>
            <w:r>
              <w:rPr>
                <w:rFonts w:asciiTheme="minorEastAsia" w:eastAsiaTheme="minorEastAsia" w:hAnsiTheme="minorEastAsia"/>
                <w:color w:val="000000"/>
                <w:position w:val="-1"/>
                <w:sz w:val="24"/>
              </w:rPr>
              <w:t>-</w:t>
            </w:r>
          </w:p>
        </w:tc>
        <w:tc>
          <w:tcPr>
            <w:tcW w:w="1318" w:type="dxa"/>
          </w:tcPr>
          <w:p w:rsidR="003F5ACF" w:rsidRDefault="00485307">
            <w:pPr>
              <w:spacing w:line="360" w:lineRule="exact"/>
              <w:jc w:val="left"/>
            </w:pPr>
            <w:r>
              <w:rPr>
                <w:rFonts w:asciiTheme="minorEastAsia" w:eastAsiaTheme="minorEastAsia" w:hAnsiTheme="minorEastAsia"/>
                <w:color w:val="000000"/>
                <w:position w:val="-1"/>
                <w:sz w:val="24"/>
              </w:rPr>
              <w:t>-</w:t>
            </w:r>
          </w:p>
        </w:tc>
      </w:tr>
      <w:tr w:rsidR="003F5ACF">
        <w:trPr>
          <w:jc w:val="center"/>
        </w:trPr>
        <w:tc>
          <w:tcPr>
            <w:tcW w:w="1660" w:type="dxa"/>
          </w:tcPr>
          <w:p w:rsidR="003F5ACF" w:rsidRDefault="00485307">
            <w:pPr>
              <w:spacing w:line="360" w:lineRule="exact"/>
              <w:ind w:left="240" w:hangingChars="100" w:hanging="240"/>
              <w:jc w:val="left"/>
            </w:pPr>
            <w:r>
              <w:rPr>
                <w:rFonts w:asciiTheme="minorEastAsia" w:eastAsiaTheme="minorEastAsia" w:hAnsiTheme="minorEastAsia"/>
                <w:color w:val="000000"/>
                <w:position w:val="-1"/>
                <w:sz w:val="24"/>
              </w:rPr>
              <w:t>合计</w:t>
            </w:r>
          </w:p>
        </w:tc>
        <w:tc>
          <w:tcPr>
            <w:tcW w:w="1559" w:type="dxa"/>
          </w:tcPr>
          <w:p w:rsidR="003F5ACF" w:rsidRDefault="00485307">
            <w:pPr>
              <w:spacing w:line="360" w:lineRule="exact"/>
              <w:jc w:val="left"/>
            </w:pPr>
            <w:r>
              <w:rPr>
                <w:rFonts w:asciiTheme="minorEastAsia" w:eastAsiaTheme="minorEastAsia" w:hAnsiTheme="minorEastAsia"/>
                <w:color w:val="000000"/>
                <w:position w:val="-1"/>
                <w:sz w:val="24"/>
              </w:rPr>
              <w:t>10,001,388.92</w:t>
            </w:r>
          </w:p>
        </w:tc>
        <w:tc>
          <w:tcPr>
            <w:tcW w:w="1843" w:type="dxa"/>
          </w:tcPr>
          <w:p w:rsidR="003F5ACF" w:rsidRDefault="00485307">
            <w:pPr>
              <w:spacing w:line="360" w:lineRule="exact"/>
              <w:jc w:val="left"/>
            </w:pPr>
            <w:r>
              <w:rPr>
                <w:rFonts w:asciiTheme="minorEastAsia" w:eastAsiaTheme="minorEastAsia" w:hAnsiTheme="minorEastAsia"/>
                <w:color w:val="000000"/>
                <w:position w:val="-1"/>
                <w:sz w:val="24"/>
              </w:rPr>
              <w:t>4.0193%</w:t>
            </w:r>
          </w:p>
        </w:tc>
        <w:tc>
          <w:tcPr>
            <w:tcW w:w="1559" w:type="dxa"/>
          </w:tcPr>
          <w:p w:rsidR="003F5ACF" w:rsidRDefault="00485307">
            <w:pPr>
              <w:spacing w:line="360" w:lineRule="exact"/>
              <w:jc w:val="left"/>
            </w:pPr>
            <w:r>
              <w:rPr>
                <w:rFonts w:asciiTheme="minorEastAsia" w:eastAsiaTheme="minorEastAsia" w:hAnsiTheme="minorEastAsia"/>
                <w:color w:val="000000"/>
                <w:position w:val="-1"/>
                <w:sz w:val="24"/>
              </w:rPr>
              <w:t>10,001,388.92</w:t>
            </w:r>
          </w:p>
        </w:tc>
        <w:tc>
          <w:tcPr>
            <w:tcW w:w="1701" w:type="dxa"/>
          </w:tcPr>
          <w:p w:rsidR="003F5ACF" w:rsidRDefault="00485307">
            <w:pPr>
              <w:spacing w:line="360" w:lineRule="exact"/>
              <w:jc w:val="left"/>
            </w:pPr>
            <w:r>
              <w:rPr>
                <w:rFonts w:asciiTheme="minorEastAsia" w:eastAsiaTheme="minorEastAsia" w:hAnsiTheme="minorEastAsia"/>
                <w:color w:val="000000"/>
                <w:position w:val="-1"/>
                <w:sz w:val="24"/>
              </w:rPr>
              <w:t>4.0193%</w:t>
            </w:r>
          </w:p>
        </w:tc>
        <w:tc>
          <w:tcPr>
            <w:tcW w:w="1318" w:type="dxa"/>
          </w:tcPr>
          <w:p w:rsidR="003F5ACF" w:rsidRDefault="00485307">
            <w:pPr>
              <w:spacing w:line="360" w:lineRule="exact"/>
              <w:jc w:val="left"/>
            </w:pPr>
            <w:r>
              <w:rPr>
                <w:rFonts w:asciiTheme="minorEastAsia" w:eastAsiaTheme="minorEastAsia" w:hAnsiTheme="minorEastAsia"/>
                <w:color w:val="000000"/>
                <w:position w:val="-1"/>
                <w:sz w:val="24"/>
              </w:rPr>
              <w:t>3</w:t>
            </w:r>
            <w:r>
              <w:rPr>
                <w:rFonts w:asciiTheme="minorEastAsia" w:eastAsiaTheme="minorEastAsia" w:hAnsiTheme="minorEastAsia"/>
                <w:color w:val="000000"/>
                <w:position w:val="-1"/>
                <w:sz w:val="24"/>
              </w:rPr>
              <w:t>年</w:t>
            </w:r>
          </w:p>
        </w:tc>
      </w:tr>
    </w:tbl>
    <w:p w:rsidR="003F5ACF" w:rsidRDefault="003F5ACF">
      <w:pPr>
        <w:spacing w:line="360" w:lineRule="auto"/>
        <w:rPr>
          <w:rFonts w:asciiTheme="minorEastAsia" w:eastAsiaTheme="minorEastAsia" w:hAnsiTheme="minorEastAsia"/>
          <w:kern w:val="0"/>
          <w:sz w:val="24"/>
          <w:szCs w:val="24"/>
        </w:rPr>
      </w:pPr>
    </w:p>
    <w:p w:rsidR="003F5ACF" w:rsidRDefault="00485307">
      <w:pPr>
        <w:pStyle w:val="2"/>
        <w:spacing w:line="560" w:lineRule="exact"/>
        <w:rPr>
          <w:rFonts w:asciiTheme="minorEastAsia" w:eastAsiaTheme="minorEastAsia" w:hAnsiTheme="minorEastAsia"/>
          <w:bCs w:val="0"/>
          <w:color w:val="000000"/>
          <w:sz w:val="24"/>
          <w:szCs w:val="24"/>
        </w:rPr>
      </w:pPr>
      <w:r>
        <w:rPr>
          <w:rFonts w:asciiTheme="minorEastAsia" w:eastAsiaTheme="minorEastAsia" w:hAnsiTheme="minorEastAsia"/>
          <w:bCs w:val="0"/>
          <w:color w:val="000000"/>
          <w:sz w:val="24"/>
          <w:szCs w:val="24"/>
        </w:rPr>
        <w:t>4</w:t>
      </w:r>
      <w:r>
        <w:rPr>
          <w:rFonts w:asciiTheme="minorEastAsia" w:eastAsiaTheme="minorEastAsia" w:hAnsiTheme="minorEastAsia"/>
          <w:bCs w:val="0"/>
          <w:color w:val="000000"/>
          <w:sz w:val="24"/>
          <w:szCs w:val="24"/>
        </w:rPr>
        <w:t>其他需要提示的事项</w:t>
      </w:r>
    </w:p>
    <w:p w:rsidR="003F5ACF" w:rsidRDefault="00485307">
      <w:pPr>
        <w:widowControl/>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基金份额持有人可以到基金销售机构的网点进行交易确认单的查询和打印，也可以通过本基金管理人的网站（</w:t>
      </w:r>
      <w:r>
        <w:rPr>
          <w:rFonts w:asciiTheme="minorEastAsia" w:eastAsiaTheme="minorEastAsia" w:hAnsiTheme="minorEastAsia" w:hint="eastAsia"/>
          <w:kern w:val="0"/>
          <w:sz w:val="24"/>
          <w:szCs w:val="24"/>
        </w:rPr>
        <w:t>www.bocim.com</w:t>
      </w:r>
      <w:r>
        <w:rPr>
          <w:rFonts w:asciiTheme="minorEastAsia" w:eastAsiaTheme="minorEastAsia" w:hAnsiTheme="minorEastAsia" w:hint="eastAsia"/>
          <w:kern w:val="0"/>
          <w:sz w:val="24"/>
          <w:szCs w:val="24"/>
        </w:rPr>
        <w:t>）或拨打客户服务电话（</w:t>
      </w:r>
      <w:r>
        <w:rPr>
          <w:rFonts w:asciiTheme="minorEastAsia" w:eastAsiaTheme="minorEastAsia" w:hAnsiTheme="minorEastAsia" w:hint="eastAsia"/>
          <w:kern w:val="0"/>
          <w:sz w:val="24"/>
          <w:szCs w:val="24"/>
        </w:rPr>
        <w:t>400</w:t>
      </w:r>
      <w:r>
        <w:rPr>
          <w:rFonts w:asciiTheme="minorEastAsia" w:eastAsiaTheme="minorEastAsia" w:hAnsiTheme="minorEastAsia" w:hint="eastAsia"/>
          <w:kern w:val="0"/>
          <w:sz w:val="24"/>
          <w:szCs w:val="24"/>
        </w:rPr>
        <w:t>－</w:t>
      </w:r>
      <w:r>
        <w:rPr>
          <w:rFonts w:asciiTheme="minorEastAsia" w:eastAsiaTheme="minorEastAsia" w:hAnsiTheme="minorEastAsia" w:hint="eastAsia"/>
          <w:kern w:val="0"/>
          <w:sz w:val="24"/>
          <w:szCs w:val="24"/>
        </w:rPr>
        <w:t>888</w:t>
      </w:r>
      <w:r>
        <w:rPr>
          <w:rFonts w:asciiTheme="minorEastAsia" w:eastAsiaTheme="minorEastAsia" w:hAnsiTheme="minorEastAsia" w:hint="eastAsia"/>
          <w:kern w:val="0"/>
          <w:sz w:val="24"/>
          <w:szCs w:val="24"/>
        </w:rPr>
        <w:t>－</w:t>
      </w:r>
      <w:r>
        <w:rPr>
          <w:rFonts w:asciiTheme="minorEastAsia" w:eastAsiaTheme="minorEastAsia" w:hAnsiTheme="minorEastAsia" w:hint="eastAsia"/>
          <w:kern w:val="0"/>
          <w:sz w:val="24"/>
          <w:szCs w:val="24"/>
        </w:rPr>
        <w:t>5566/021-38834788</w:t>
      </w:r>
      <w:r>
        <w:rPr>
          <w:rFonts w:asciiTheme="minorEastAsia" w:eastAsiaTheme="minorEastAsia" w:hAnsiTheme="minorEastAsia" w:hint="eastAsia"/>
          <w:kern w:val="0"/>
          <w:sz w:val="24"/>
          <w:szCs w:val="24"/>
        </w:rPr>
        <w:t>）查询交易确认情况。</w:t>
      </w:r>
    </w:p>
    <w:p w:rsidR="003F5ACF" w:rsidRDefault="003F5ACF">
      <w:pPr>
        <w:widowControl/>
        <w:spacing w:line="360" w:lineRule="auto"/>
        <w:ind w:firstLineChars="200" w:firstLine="480"/>
        <w:rPr>
          <w:rFonts w:asciiTheme="minorEastAsia" w:eastAsiaTheme="minorEastAsia" w:hAnsiTheme="minorEastAsia"/>
          <w:kern w:val="0"/>
          <w:sz w:val="24"/>
          <w:szCs w:val="24"/>
        </w:rPr>
      </w:pPr>
    </w:p>
    <w:p w:rsidR="003F5ACF" w:rsidRDefault="00485307">
      <w:pPr>
        <w:widowControl/>
        <w:spacing w:line="360" w:lineRule="auto"/>
        <w:ind w:firstLineChars="200" w:firstLine="48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风险提示：</w:t>
      </w:r>
    </w:p>
    <w:p w:rsidR="003F5ACF" w:rsidRDefault="00485307">
      <w:pPr>
        <w:widowControl/>
        <w:autoSpaceDN w:val="0"/>
        <w:spacing w:line="360" w:lineRule="auto"/>
        <w:ind w:firstLineChars="200" w:firstLine="480"/>
        <w:rPr>
          <w:rFonts w:ascii="宋体" w:eastAsia="宋体" w:hAnsi="宋体"/>
          <w:kern w:val="0"/>
          <w:sz w:val="24"/>
          <w:szCs w:val="24"/>
        </w:rPr>
      </w:pPr>
      <w:r>
        <w:rPr>
          <w:rFonts w:ascii="宋体" w:eastAsia="宋体" w:hAnsi="宋体" w:hint="eastAsia"/>
          <w:kern w:val="0"/>
          <w:sz w:val="24"/>
          <w:szCs w:val="24"/>
        </w:rPr>
        <w:t>基金管理人承诺以诚实信用、勤勉尽责的原则管理和运用基金财产，但不保证基金一定盈利，也不保证最低收益，在市场波动等因素的影响下，基金投资存在本金损失的风险。投资有风险，基金管理人管理的其他基金的业绩不构成对本基金业绩表现的保证。在市场波动等因素的影响下，本基金净值可能会低于初始面值，投资者有可能出现亏损。基金管理人提醒投资者基金投资的“买者自负”原则，在做出投资决策后，基金运营状况与基金净值变化引致的投资风险，由投资者自行负担。投资者投资基金前应认真阅读基金合同、招募说明书、产品资料概要等法律文件，了解基金的</w:t>
      </w:r>
      <w:r>
        <w:rPr>
          <w:rFonts w:ascii="宋体" w:eastAsia="宋体" w:hAnsi="宋体" w:hint="eastAsia"/>
          <w:kern w:val="0"/>
          <w:sz w:val="24"/>
          <w:szCs w:val="24"/>
        </w:rPr>
        <w:t>风险收益特征，根据自身投资目的、投资期限、投资经验、资产状况等判断基金是否和投资者的风险承受能力相匹配，并按照销售机构的要求完成风险承受能力与产品风险之间的匹配检验。</w:t>
      </w:r>
    </w:p>
    <w:p w:rsidR="003F5ACF" w:rsidRDefault="00485307">
      <w:pPr>
        <w:widowControl/>
        <w:autoSpaceDN w:val="0"/>
        <w:spacing w:line="360" w:lineRule="auto"/>
        <w:ind w:firstLineChars="200" w:firstLine="480"/>
      </w:pPr>
      <w:r>
        <w:rPr>
          <w:rFonts w:ascii="宋体" w:eastAsia="宋体" w:hAnsi="宋体" w:hint="eastAsia"/>
          <w:kern w:val="0"/>
          <w:sz w:val="24"/>
          <w:szCs w:val="24"/>
        </w:rPr>
        <w:t>特此公告。</w:t>
      </w:r>
    </w:p>
    <w:p w:rsidR="003F5ACF" w:rsidRDefault="00485307">
      <w:pPr>
        <w:widowControl/>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w:t>
      </w:r>
      <w:r>
        <w:rPr>
          <w:rFonts w:asciiTheme="minorEastAsia" w:eastAsiaTheme="minorEastAsia" w:hAnsiTheme="minorEastAsia" w:hint="eastAsia"/>
          <w:kern w:val="0"/>
          <w:sz w:val="24"/>
          <w:szCs w:val="24"/>
        </w:rPr>
        <w:t>中银基金管理有限公司</w:t>
      </w:r>
    </w:p>
    <w:p w:rsidR="003F5ACF" w:rsidRDefault="00485307">
      <w:pPr>
        <w:widowControl/>
        <w:spacing w:line="360" w:lineRule="auto"/>
        <w:ind w:firstLineChars="2550" w:firstLine="6120"/>
        <w:rPr>
          <w:rFonts w:asciiTheme="minorEastAsia" w:eastAsiaTheme="minorEastAsia" w:hAnsiTheme="minorEastAsia"/>
          <w:kern w:val="0"/>
          <w:sz w:val="24"/>
          <w:szCs w:val="24"/>
        </w:rPr>
      </w:pPr>
      <w:r>
        <w:rPr>
          <w:rFonts w:asciiTheme="minorEastAsia" w:eastAsiaTheme="minorEastAsia" w:hAnsiTheme="minorEastAsia"/>
          <w:sz w:val="24"/>
          <w:szCs w:val="24"/>
        </w:rPr>
        <w:t>2026</w:t>
      </w:r>
      <w:r>
        <w:rPr>
          <w:rFonts w:asciiTheme="minorEastAsia" w:eastAsiaTheme="minorEastAsia" w:hAnsiTheme="minorEastAsia"/>
          <w:sz w:val="24"/>
          <w:szCs w:val="24"/>
        </w:rPr>
        <w:t>年</w:t>
      </w:r>
      <w:r>
        <w:rPr>
          <w:rFonts w:asciiTheme="minorEastAsia" w:eastAsiaTheme="minorEastAsia" w:hAnsiTheme="minorEastAsia"/>
          <w:sz w:val="24"/>
          <w:szCs w:val="24"/>
        </w:rPr>
        <w:t>4</w:t>
      </w:r>
      <w:r>
        <w:rPr>
          <w:rFonts w:asciiTheme="minorEastAsia" w:eastAsiaTheme="minorEastAsia" w:hAnsiTheme="minorEastAsia"/>
          <w:sz w:val="24"/>
          <w:szCs w:val="24"/>
        </w:rPr>
        <w:t>月</w:t>
      </w:r>
      <w:r>
        <w:rPr>
          <w:rFonts w:asciiTheme="minorEastAsia" w:eastAsiaTheme="minorEastAsia" w:hAnsiTheme="minorEastAsia"/>
          <w:sz w:val="24"/>
          <w:szCs w:val="24"/>
        </w:rPr>
        <w:t>16</w:t>
      </w:r>
      <w:r>
        <w:rPr>
          <w:rFonts w:asciiTheme="minorEastAsia" w:eastAsiaTheme="minorEastAsia" w:hAnsiTheme="minorEastAsia"/>
          <w:sz w:val="24"/>
          <w:szCs w:val="24"/>
        </w:rPr>
        <w:t>日</w:t>
      </w:r>
    </w:p>
    <w:sectPr w:rsidR="003F5ACF" w:rsidSect="003F5A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935DF"/>
    <w:rsid w:val="000033E9"/>
    <w:rsid w:val="00003495"/>
    <w:rsid w:val="00006477"/>
    <w:rsid w:val="00014850"/>
    <w:rsid w:val="000169B7"/>
    <w:rsid w:val="0002083E"/>
    <w:rsid w:val="00027856"/>
    <w:rsid w:val="000330C4"/>
    <w:rsid w:val="00035D00"/>
    <w:rsid w:val="00035FAC"/>
    <w:rsid w:val="0003678C"/>
    <w:rsid w:val="00041353"/>
    <w:rsid w:val="00067A30"/>
    <w:rsid w:val="00094585"/>
    <w:rsid w:val="000B2091"/>
    <w:rsid w:val="000C71AE"/>
    <w:rsid w:val="000C73B3"/>
    <w:rsid w:val="000F0925"/>
    <w:rsid w:val="000F1849"/>
    <w:rsid w:val="00100184"/>
    <w:rsid w:val="00110E8E"/>
    <w:rsid w:val="00112D97"/>
    <w:rsid w:val="00126B66"/>
    <w:rsid w:val="00130815"/>
    <w:rsid w:val="00131CAD"/>
    <w:rsid w:val="001362E3"/>
    <w:rsid w:val="00172930"/>
    <w:rsid w:val="0018146B"/>
    <w:rsid w:val="00184681"/>
    <w:rsid w:val="001905B4"/>
    <w:rsid w:val="001A0386"/>
    <w:rsid w:val="001B63CC"/>
    <w:rsid w:val="001C14F0"/>
    <w:rsid w:val="001D1D83"/>
    <w:rsid w:val="001D4314"/>
    <w:rsid w:val="001D4DE5"/>
    <w:rsid w:val="001E280C"/>
    <w:rsid w:val="00207671"/>
    <w:rsid w:val="0023143B"/>
    <w:rsid w:val="00244DE4"/>
    <w:rsid w:val="002452D7"/>
    <w:rsid w:val="00263968"/>
    <w:rsid w:val="00265B34"/>
    <w:rsid w:val="00274CCC"/>
    <w:rsid w:val="00281A2A"/>
    <w:rsid w:val="00282261"/>
    <w:rsid w:val="00284969"/>
    <w:rsid w:val="0029368F"/>
    <w:rsid w:val="002A2812"/>
    <w:rsid w:val="002C3769"/>
    <w:rsid w:val="002D5A7B"/>
    <w:rsid w:val="002F3DF2"/>
    <w:rsid w:val="0030037A"/>
    <w:rsid w:val="00324BFD"/>
    <w:rsid w:val="0033361A"/>
    <w:rsid w:val="0033647C"/>
    <w:rsid w:val="00365488"/>
    <w:rsid w:val="00380302"/>
    <w:rsid w:val="003834AC"/>
    <w:rsid w:val="00384D42"/>
    <w:rsid w:val="00390E48"/>
    <w:rsid w:val="003A7FC9"/>
    <w:rsid w:val="003B44BB"/>
    <w:rsid w:val="003B5F93"/>
    <w:rsid w:val="003C0D0A"/>
    <w:rsid w:val="003C2D5F"/>
    <w:rsid w:val="003C3CE1"/>
    <w:rsid w:val="003C55F4"/>
    <w:rsid w:val="003D4914"/>
    <w:rsid w:val="003D55E7"/>
    <w:rsid w:val="003E0990"/>
    <w:rsid w:val="003E69C1"/>
    <w:rsid w:val="003F2728"/>
    <w:rsid w:val="003F5ACF"/>
    <w:rsid w:val="00424199"/>
    <w:rsid w:val="00432065"/>
    <w:rsid w:val="004428C5"/>
    <w:rsid w:val="0045091C"/>
    <w:rsid w:val="004632E0"/>
    <w:rsid w:val="00485307"/>
    <w:rsid w:val="004966BA"/>
    <w:rsid w:val="004A4255"/>
    <w:rsid w:val="004A631B"/>
    <w:rsid w:val="004C055C"/>
    <w:rsid w:val="004D33CA"/>
    <w:rsid w:val="004D7117"/>
    <w:rsid w:val="004E157F"/>
    <w:rsid w:val="004E591D"/>
    <w:rsid w:val="0050430C"/>
    <w:rsid w:val="00506991"/>
    <w:rsid w:val="00521C4E"/>
    <w:rsid w:val="005373F0"/>
    <w:rsid w:val="0056443F"/>
    <w:rsid w:val="00574BCF"/>
    <w:rsid w:val="00582B99"/>
    <w:rsid w:val="0059791F"/>
    <w:rsid w:val="005B0F7E"/>
    <w:rsid w:val="005B66AC"/>
    <w:rsid w:val="005C1B44"/>
    <w:rsid w:val="005C612F"/>
    <w:rsid w:val="005E0049"/>
    <w:rsid w:val="005E5CE9"/>
    <w:rsid w:val="005F7874"/>
    <w:rsid w:val="00613952"/>
    <w:rsid w:val="006145CA"/>
    <w:rsid w:val="00626047"/>
    <w:rsid w:val="0063547D"/>
    <w:rsid w:val="00636CA8"/>
    <w:rsid w:val="00641457"/>
    <w:rsid w:val="0064285F"/>
    <w:rsid w:val="006510B6"/>
    <w:rsid w:val="00663646"/>
    <w:rsid w:val="00676400"/>
    <w:rsid w:val="00687218"/>
    <w:rsid w:val="006D2D39"/>
    <w:rsid w:val="006D47E3"/>
    <w:rsid w:val="006E3148"/>
    <w:rsid w:val="00713237"/>
    <w:rsid w:val="007138F5"/>
    <w:rsid w:val="00717E45"/>
    <w:rsid w:val="0072686E"/>
    <w:rsid w:val="007304A0"/>
    <w:rsid w:val="00732D56"/>
    <w:rsid w:val="007347E2"/>
    <w:rsid w:val="00777EEA"/>
    <w:rsid w:val="007935A4"/>
    <w:rsid w:val="007A0E2A"/>
    <w:rsid w:val="007B30A7"/>
    <w:rsid w:val="007C24C0"/>
    <w:rsid w:val="007D09A0"/>
    <w:rsid w:val="007D2AD7"/>
    <w:rsid w:val="007D656A"/>
    <w:rsid w:val="007D7152"/>
    <w:rsid w:val="00803653"/>
    <w:rsid w:val="008066EF"/>
    <w:rsid w:val="00835789"/>
    <w:rsid w:val="008461B8"/>
    <w:rsid w:val="00853CBC"/>
    <w:rsid w:val="00866149"/>
    <w:rsid w:val="00890151"/>
    <w:rsid w:val="008B6E7B"/>
    <w:rsid w:val="008D1678"/>
    <w:rsid w:val="008D39CF"/>
    <w:rsid w:val="008F2B68"/>
    <w:rsid w:val="008F4166"/>
    <w:rsid w:val="00901715"/>
    <w:rsid w:val="00901C0C"/>
    <w:rsid w:val="00904108"/>
    <w:rsid w:val="00905C27"/>
    <w:rsid w:val="00907C9A"/>
    <w:rsid w:val="00926187"/>
    <w:rsid w:val="00933BD3"/>
    <w:rsid w:val="00943EEB"/>
    <w:rsid w:val="00946B2E"/>
    <w:rsid w:val="00950074"/>
    <w:rsid w:val="009617EB"/>
    <w:rsid w:val="009628A8"/>
    <w:rsid w:val="00963146"/>
    <w:rsid w:val="00983D94"/>
    <w:rsid w:val="00983EEA"/>
    <w:rsid w:val="0099372E"/>
    <w:rsid w:val="009A261C"/>
    <w:rsid w:val="009A5A1D"/>
    <w:rsid w:val="009B633A"/>
    <w:rsid w:val="009C0701"/>
    <w:rsid w:val="009C0E06"/>
    <w:rsid w:val="009E4C3D"/>
    <w:rsid w:val="009F26F0"/>
    <w:rsid w:val="009F4198"/>
    <w:rsid w:val="009F6680"/>
    <w:rsid w:val="00A056EF"/>
    <w:rsid w:val="00A11426"/>
    <w:rsid w:val="00A11D47"/>
    <w:rsid w:val="00A362FC"/>
    <w:rsid w:val="00A3705C"/>
    <w:rsid w:val="00A4626B"/>
    <w:rsid w:val="00A472CC"/>
    <w:rsid w:val="00A573D2"/>
    <w:rsid w:val="00A74AFB"/>
    <w:rsid w:val="00A7792D"/>
    <w:rsid w:val="00A863BE"/>
    <w:rsid w:val="00A926DC"/>
    <w:rsid w:val="00AA24E0"/>
    <w:rsid w:val="00AB38D5"/>
    <w:rsid w:val="00AB7917"/>
    <w:rsid w:val="00AC5997"/>
    <w:rsid w:val="00AD1E12"/>
    <w:rsid w:val="00AE4C60"/>
    <w:rsid w:val="00AF2101"/>
    <w:rsid w:val="00AF3FFA"/>
    <w:rsid w:val="00AF4DFF"/>
    <w:rsid w:val="00B17059"/>
    <w:rsid w:val="00B2638C"/>
    <w:rsid w:val="00B30290"/>
    <w:rsid w:val="00B471C4"/>
    <w:rsid w:val="00B47279"/>
    <w:rsid w:val="00B53A7A"/>
    <w:rsid w:val="00B8492A"/>
    <w:rsid w:val="00B857DB"/>
    <w:rsid w:val="00B972C3"/>
    <w:rsid w:val="00BA45A8"/>
    <w:rsid w:val="00BA6614"/>
    <w:rsid w:val="00BB2554"/>
    <w:rsid w:val="00BB3EB2"/>
    <w:rsid w:val="00BB519A"/>
    <w:rsid w:val="00BB744C"/>
    <w:rsid w:val="00BC134C"/>
    <w:rsid w:val="00BD354F"/>
    <w:rsid w:val="00BE3E99"/>
    <w:rsid w:val="00BE6907"/>
    <w:rsid w:val="00BF05A6"/>
    <w:rsid w:val="00C02960"/>
    <w:rsid w:val="00C07115"/>
    <w:rsid w:val="00C15306"/>
    <w:rsid w:val="00C24F7F"/>
    <w:rsid w:val="00C30E6A"/>
    <w:rsid w:val="00C35259"/>
    <w:rsid w:val="00C37ADF"/>
    <w:rsid w:val="00C40FE0"/>
    <w:rsid w:val="00C746E9"/>
    <w:rsid w:val="00C80976"/>
    <w:rsid w:val="00C84025"/>
    <w:rsid w:val="00C86A27"/>
    <w:rsid w:val="00C935DF"/>
    <w:rsid w:val="00CA5A13"/>
    <w:rsid w:val="00CB0572"/>
    <w:rsid w:val="00CB19C0"/>
    <w:rsid w:val="00CB56DC"/>
    <w:rsid w:val="00CD022D"/>
    <w:rsid w:val="00CD10CC"/>
    <w:rsid w:val="00CF3761"/>
    <w:rsid w:val="00D31DF3"/>
    <w:rsid w:val="00D42A6E"/>
    <w:rsid w:val="00D4368A"/>
    <w:rsid w:val="00D440B9"/>
    <w:rsid w:val="00D66383"/>
    <w:rsid w:val="00D82585"/>
    <w:rsid w:val="00DB2D06"/>
    <w:rsid w:val="00DB3015"/>
    <w:rsid w:val="00DB739E"/>
    <w:rsid w:val="00DE1327"/>
    <w:rsid w:val="00E1246A"/>
    <w:rsid w:val="00E2069A"/>
    <w:rsid w:val="00E549A3"/>
    <w:rsid w:val="00E64E3E"/>
    <w:rsid w:val="00E6743C"/>
    <w:rsid w:val="00E704B1"/>
    <w:rsid w:val="00E90B8F"/>
    <w:rsid w:val="00E90F0E"/>
    <w:rsid w:val="00E97C27"/>
    <w:rsid w:val="00EA6FA7"/>
    <w:rsid w:val="00EB06D4"/>
    <w:rsid w:val="00EC181E"/>
    <w:rsid w:val="00EE18FB"/>
    <w:rsid w:val="00EE21C3"/>
    <w:rsid w:val="00EE41CA"/>
    <w:rsid w:val="00EE7254"/>
    <w:rsid w:val="00F269BD"/>
    <w:rsid w:val="00F373E7"/>
    <w:rsid w:val="00F62C27"/>
    <w:rsid w:val="00F7439D"/>
    <w:rsid w:val="00F912B1"/>
    <w:rsid w:val="00F9787D"/>
    <w:rsid w:val="00FC35C7"/>
    <w:rsid w:val="00FF2D60"/>
    <w:rsid w:val="00FF2E75"/>
    <w:rsid w:val="00FF6D1E"/>
    <w:rsid w:val="19E335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uiPriority="0"/>
    <w:lsdException w:name="header" w:semiHidden="0"/>
    <w:lsdException w:name="footer" w:semiHidden="0"/>
    <w:lsdException w:name="caption" w:uiPriority="35" w:qFormat="1"/>
    <w:lsdException w:name="footnote reference"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ACF"/>
    <w:pPr>
      <w:widowControl w:val="0"/>
      <w:jc w:val="both"/>
    </w:pPr>
    <w:rPr>
      <w:rFonts w:ascii="Times New Roman" w:eastAsia="方正仿宋简体" w:hAnsi="Times New Roman" w:cs="Times New Roman"/>
      <w:kern w:val="2"/>
      <w:sz w:val="32"/>
    </w:rPr>
  </w:style>
  <w:style w:type="paragraph" w:styleId="2">
    <w:name w:val="heading 2"/>
    <w:basedOn w:val="a"/>
    <w:next w:val="a"/>
    <w:link w:val="2Char"/>
    <w:qFormat/>
    <w:rsid w:val="003F5ACF"/>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3F5ACF"/>
    <w:rPr>
      <w:rFonts w:ascii="宋体" w:eastAsia="宋体"/>
      <w:sz w:val="18"/>
      <w:szCs w:val="18"/>
    </w:rPr>
  </w:style>
  <w:style w:type="paragraph" w:styleId="a4">
    <w:name w:val="annotation text"/>
    <w:basedOn w:val="a"/>
    <w:link w:val="Char0"/>
    <w:unhideWhenUsed/>
    <w:rsid w:val="003F5ACF"/>
    <w:pPr>
      <w:jc w:val="left"/>
    </w:pPr>
  </w:style>
  <w:style w:type="paragraph" w:styleId="a5">
    <w:name w:val="Balloon Text"/>
    <w:basedOn w:val="a"/>
    <w:link w:val="Char1"/>
    <w:uiPriority w:val="99"/>
    <w:semiHidden/>
    <w:unhideWhenUsed/>
    <w:rsid w:val="003F5ACF"/>
    <w:rPr>
      <w:sz w:val="18"/>
      <w:szCs w:val="18"/>
    </w:rPr>
  </w:style>
  <w:style w:type="paragraph" w:styleId="a6">
    <w:name w:val="footer"/>
    <w:basedOn w:val="a"/>
    <w:link w:val="Char2"/>
    <w:uiPriority w:val="99"/>
    <w:unhideWhenUsed/>
    <w:rsid w:val="003F5ACF"/>
    <w:pPr>
      <w:tabs>
        <w:tab w:val="center" w:pos="4153"/>
        <w:tab w:val="right" w:pos="8306"/>
      </w:tabs>
      <w:snapToGrid w:val="0"/>
      <w:jc w:val="left"/>
    </w:pPr>
    <w:rPr>
      <w:sz w:val="18"/>
      <w:szCs w:val="18"/>
    </w:rPr>
  </w:style>
  <w:style w:type="paragraph" w:styleId="a7">
    <w:name w:val="header"/>
    <w:basedOn w:val="a"/>
    <w:link w:val="Char3"/>
    <w:uiPriority w:val="99"/>
    <w:unhideWhenUsed/>
    <w:rsid w:val="003F5ACF"/>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rsid w:val="003F5ACF"/>
    <w:pPr>
      <w:snapToGrid w:val="0"/>
      <w:jc w:val="left"/>
    </w:pPr>
    <w:rPr>
      <w:rFonts w:eastAsia="宋体"/>
      <w:sz w:val="18"/>
    </w:rPr>
  </w:style>
  <w:style w:type="paragraph" w:styleId="a9">
    <w:name w:val="annotation subject"/>
    <w:basedOn w:val="a4"/>
    <w:next w:val="a4"/>
    <w:link w:val="Char5"/>
    <w:uiPriority w:val="99"/>
    <w:semiHidden/>
    <w:unhideWhenUsed/>
    <w:rsid w:val="003F5ACF"/>
    <w:rPr>
      <w:b/>
      <w:bCs/>
    </w:rPr>
  </w:style>
  <w:style w:type="table" w:styleId="aa">
    <w:name w:val="Table Grid"/>
    <w:basedOn w:val="a1"/>
    <w:uiPriority w:val="59"/>
    <w:rsid w:val="003F5A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rsid w:val="003F5ACF"/>
    <w:rPr>
      <w:sz w:val="21"/>
      <w:szCs w:val="21"/>
    </w:rPr>
  </w:style>
  <w:style w:type="character" w:styleId="ac">
    <w:name w:val="footnote reference"/>
    <w:basedOn w:val="a0"/>
    <w:rsid w:val="003F5ACF"/>
    <w:rPr>
      <w:vertAlign w:val="superscript"/>
    </w:rPr>
  </w:style>
  <w:style w:type="character" w:customStyle="1" w:styleId="2Char">
    <w:name w:val="标题 2 Char"/>
    <w:basedOn w:val="a0"/>
    <w:link w:val="2"/>
    <w:rsid w:val="003F5ACF"/>
    <w:rPr>
      <w:rFonts w:ascii="Arial" w:eastAsia="黑体" w:hAnsi="Arial" w:cs="Times New Roman"/>
      <w:b/>
      <w:bCs/>
      <w:sz w:val="32"/>
      <w:szCs w:val="32"/>
    </w:rPr>
  </w:style>
  <w:style w:type="character" w:customStyle="1" w:styleId="Char4">
    <w:name w:val="脚注文本 Char"/>
    <w:basedOn w:val="a0"/>
    <w:link w:val="a8"/>
    <w:rsid w:val="003F5ACF"/>
    <w:rPr>
      <w:rFonts w:ascii="Times New Roman" w:eastAsia="宋体" w:hAnsi="Times New Roman" w:cs="Times New Roman"/>
      <w:sz w:val="18"/>
      <w:szCs w:val="20"/>
    </w:rPr>
  </w:style>
  <w:style w:type="character" w:customStyle="1" w:styleId="Char3">
    <w:name w:val="页眉 Char"/>
    <w:basedOn w:val="a0"/>
    <w:link w:val="a7"/>
    <w:uiPriority w:val="99"/>
    <w:rsid w:val="003F5ACF"/>
    <w:rPr>
      <w:rFonts w:ascii="Times New Roman" w:eastAsia="方正仿宋简体" w:hAnsi="Times New Roman" w:cs="Times New Roman"/>
      <w:sz w:val="18"/>
      <w:szCs w:val="18"/>
    </w:rPr>
  </w:style>
  <w:style w:type="character" w:customStyle="1" w:styleId="Char2">
    <w:name w:val="页脚 Char"/>
    <w:basedOn w:val="a0"/>
    <w:link w:val="a6"/>
    <w:uiPriority w:val="99"/>
    <w:rsid w:val="003F5ACF"/>
    <w:rPr>
      <w:rFonts w:ascii="Times New Roman" w:eastAsia="方正仿宋简体" w:hAnsi="Times New Roman" w:cs="Times New Roman"/>
      <w:sz w:val="18"/>
      <w:szCs w:val="18"/>
    </w:rPr>
  </w:style>
  <w:style w:type="character" w:customStyle="1" w:styleId="Char">
    <w:name w:val="文档结构图 Char"/>
    <w:basedOn w:val="a0"/>
    <w:link w:val="a3"/>
    <w:uiPriority w:val="99"/>
    <w:semiHidden/>
    <w:rsid w:val="003F5ACF"/>
    <w:rPr>
      <w:rFonts w:ascii="宋体" w:eastAsia="宋体" w:hAnsi="Times New Roman" w:cs="Times New Roman"/>
      <w:sz w:val="18"/>
      <w:szCs w:val="18"/>
    </w:rPr>
  </w:style>
  <w:style w:type="character" w:customStyle="1" w:styleId="Char0">
    <w:name w:val="批注文字 Char"/>
    <w:basedOn w:val="a0"/>
    <w:link w:val="a4"/>
    <w:rsid w:val="003F5ACF"/>
    <w:rPr>
      <w:rFonts w:ascii="Times New Roman" w:eastAsia="方正仿宋简体" w:hAnsi="Times New Roman" w:cs="Times New Roman"/>
      <w:sz w:val="32"/>
      <w:szCs w:val="20"/>
    </w:rPr>
  </w:style>
  <w:style w:type="character" w:customStyle="1" w:styleId="Char5">
    <w:name w:val="批注主题 Char"/>
    <w:basedOn w:val="Char0"/>
    <w:link w:val="a9"/>
    <w:uiPriority w:val="99"/>
    <w:semiHidden/>
    <w:rsid w:val="003F5ACF"/>
    <w:rPr>
      <w:rFonts w:ascii="Times New Roman" w:eastAsia="方正仿宋简体" w:hAnsi="Times New Roman" w:cs="Times New Roman"/>
      <w:b/>
      <w:bCs/>
      <w:sz w:val="32"/>
      <w:szCs w:val="20"/>
    </w:rPr>
  </w:style>
  <w:style w:type="character" w:customStyle="1" w:styleId="Char1">
    <w:name w:val="批注框文本 Char"/>
    <w:basedOn w:val="a0"/>
    <w:link w:val="a5"/>
    <w:uiPriority w:val="99"/>
    <w:semiHidden/>
    <w:rsid w:val="003F5ACF"/>
    <w:rPr>
      <w:rFonts w:ascii="Times New Roman" w:eastAsia="方正仿宋简体" w:hAnsi="Times New Roman" w:cs="Times New Roman"/>
      <w:sz w:val="18"/>
      <w:szCs w:val="18"/>
    </w:rPr>
  </w:style>
  <w:style w:type="paragraph" w:customStyle="1" w:styleId="1">
    <w:name w:val="修订1"/>
    <w:hidden/>
    <w:uiPriority w:val="99"/>
    <w:semiHidden/>
    <w:rsid w:val="003F5ACF"/>
    <w:rPr>
      <w:rFonts w:ascii="Times New Roman" w:eastAsia="方正仿宋简体" w:hAnsi="Times New Roman" w:cs="Times New Roman"/>
      <w:kern w:val="2"/>
      <w:sz w:val="32"/>
    </w:rPr>
  </w:style>
  <w:style w:type="paragraph" w:styleId="ad">
    <w:name w:val="List Paragraph"/>
    <w:basedOn w:val="a"/>
    <w:uiPriority w:val="34"/>
    <w:qFormat/>
    <w:rsid w:val="003F5AC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0396C-D0C8-4BCB-A2C1-E3727255D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1810</Characters>
  <Application>Microsoft Office Word</Application>
  <DocSecurity>4</DocSecurity>
  <Lines>15</Lines>
  <Paragraphs>4</Paragraphs>
  <ScaleCrop>false</ScaleCrop>
  <Company>微软中国</Company>
  <LinksUpToDate>false</LinksUpToDate>
  <CharactersWithSpaces>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cp:lastPrinted>2019-06-25T09:29:00Z</cp:lastPrinted>
  <dcterms:created xsi:type="dcterms:W3CDTF">2026-04-15T16:00:00Z</dcterms:created>
  <dcterms:modified xsi:type="dcterms:W3CDTF">2026-04-15T16:00:00Z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B596433574C743D5B17E63237C84E223</vt:lpwstr>
  </property>
</Properties>
</file>