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华泰柏瑞基金管理有限公司关于旗下部分交易型开放式基金新增金融街证券股份有限公司为一级交易商的通知</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华泰柏瑞基金管理有限公司（以下简称</w:t>
      </w:r>
      <w:r>
        <w:rPr>
          <w:rFonts w:hint="default" w:ascii="宋体" w:hAnsi="宋体"/>
          <w:sz w:val="21"/>
          <w:szCs w:val="24"/>
          <w:lang w:val="zh-CN"/>
        </w:rPr>
        <w:t>“</w:t>
      </w:r>
      <w:r>
        <w:rPr>
          <w:rFonts w:hint="eastAsia" w:ascii="宋体" w:hAnsi="宋体"/>
          <w:sz w:val="21"/>
          <w:szCs w:val="24"/>
          <w:lang w:val="zh-CN"/>
        </w:rPr>
        <w:t>本公司</w:t>
      </w:r>
      <w:r>
        <w:rPr>
          <w:rFonts w:hint="default" w:ascii="宋体" w:hAnsi="宋体"/>
          <w:sz w:val="21"/>
          <w:szCs w:val="24"/>
          <w:lang w:val="zh-CN"/>
        </w:rPr>
        <w:t>”</w:t>
      </w:r>
      <w:r>
        <w:rPr>
          <w:rFonts w:hint="eastAsia" w:ascii="宋体" w:hAnsi="宋体"/>
          <w:sz w:val="21"/>
          <w:szCs w:val="24"/>
          <w:lang w:val="zh-CN"/>
        </w:rPr>
        <w:t>）旗下部分交易型开放式基金自即日2026年4月13</w:t>
      </w:r>
    </w:p>
    <w:p>
      <w:pPr>
        <w:spacing w:beforeLines="0" w:afterLines="0"/>
        <w:jc w:val="left"/>
        <w:rPr>
          <w:rFonts w:hint="eastAsia" w:ascii="宋体" w:hAnsi="宋体"/>
          <w:sz w:val="21"/>
          <w:szCs w:val="24"/>
          <w:lang w:val="zh-CN"/>
        </w:rPr>
      </w:pPr>
      <w:r>
        <w:rPr>
          <w:rFonts w:hint="eastAsia" w:ascii="宋体" w:hAnsi="宋体"/>
          <w:sz w:val="21"/>
          <w:szCs w:val="24"/>
          <w:lang w:val="zh-CN"/>
        </w:rPr>
        <w:t>日起增加金融街证券股份有限公司为申购赎回代理券商（以下简称</w:t>
      </w:r>
      <w:r>
        <w:rPr>
          <w:rFonts w:hint="default" w:ascii="宋体" w:hAnsi="宋体"/>
          <w:sz w:val="21"/>
          <w:szCs w:val="24"/>
          <w:lang w:val="zh-CN"/>
        </w:rPr>
        <w:t>“</w:t>
      </w:r>
      <w:r>
        <w:rPr>
          <w:rFonts w:hint="eastAsia" w:ascii="宋体" w:hAnsi="宋体"/>
          <w:sz w:val="21"/>
          <w:szCs w:val="24"/>
          <w:lang w:val="zh-CN"/>
        </w:rPr>
        <w:t>一级交易商</w:t>
      </w:r>
      <w:r>
        <w:rPr>
          <w:rFonts w:hint="default" w:ascii="宋体" w:hAnsi="宋体"/>
          <w:sz w:val="21"/>
          <w:szCs w:val="24"/>
          <w:lang w:val="zh-CN"/>
        </w:rPr>
        <w:t>”</w:t>
      </w:r>
      <w:r>
        <w:rPr>
          <w:rFonts w:hint="eastAsia" w:ascii="宋体" w:hAnsi="宋体"/>
          <w:sz w:val="21"/>
          <w:szCs w:val="24"/>
          <w:lang w:val="zh-CN"/>
        </w:rPr>
        <w:t>）。投资者可通过金融</w:t>
      </w:r>
    </w:p>
    <w:p>
      <w:pPr>
        <w:spacing w:beforeLines="0" w:afterLines="0"/>
        <w:jc w:val="left"/>
        <w:rPr>
          <w:rFonts w:hint="eastAsia" w:ascii="宋体" w:hAnsi="宋体"/>
          <w:sz w:val="21"/>
          <w:szCs w:val="24"/>
          <w:lang w:val="zh-CN"/>
        </w:rPr>
      </w:pPr>
      <w:r>
        <w:rPr>
          <w:rFonts w:hint="eastAsia" w:ascii="宋体" w:hAnsi="宋体"/>
          <w:sz w:val="21"/>
          <w:szCs w:val="24"/>
          <w:lang w:val="zh-CN"/>
        </w:rPr>
        <w:t>街证券股份有限公司各营业网点办理相关基金的申购、赎回等业务,具体事宜通知如下：</w:t>
      </w:r>
    </w:p>
    <w:p>
      <w:pPr>
        <w:spacing w:beforeLines="0" w:afterLines="0"/>
        <w:jc w:val="left"/>
        <w:rPr>
          <w:rFonts w:hint="eastAsia" w:ascii="宋体" w:hAnsi="宋体"/>
          <w:sz w:val="21"/>
          <w:szCs w:val="24"/>
          <w:lang w:val="zh-CN"/>
        </w:rPr>
      </w:pPr>
      <w:r>
        <w:rPr>
          <w:rFonts w:hint="eastAsia" w:ascii="宋体" w:hAnsi="宋体"/>
          <w:sz w:val="21"/>
          <w:szCs w:val="24"/>
          <w:lang w:val="zh-CN"/>
        </w:rPr>
        <w:t>一、适用基金列表</w:t>
      </w:r>
    </w:p>
    <w:p>
      <w:pPr>
        <w:spacing w:beforeLines="0" w:afterLines="0"/>
        <w:jc w:val="left"/>
        <w:rPr>
          <w:rFonts w:hint="eastAsia" w:ascii="宋体" w:hAnsi="宋体"/>
          <w:sz w:val="21"/>
          <w:szCs w:val="24"/>
          <w:lang w:val="zh-CN"/>
        </w:rPr>
      </w:pPr>
      <w:r>
        <w:rPr>
          <w:rFonts w:hint="eastAsia" w:ascii="宋体" w:hAnsi="宋体"/>
          <w:sz w:val="21"/>
          <w:szCs w:val="24"/>
          <w:lang w:val="zh-CN"/>
        </w:rPr>
        <w:t>序号</w:t>
      </w:r>
    </w:p>
    <w:p>
      <w:pPr>
        <w:spacing w:beforeLines="0" w:afterLines="0"/>
        <w:jc w:val="left"/>
        <w:rPr>
          <w:rFonts w:hint="eastAsia" w:ascii="宋体" w:hAnsi="宋体"/>
          <w:sz w:val="21"/>
          <w:szCs w:val="24"/>
          <w:lang w:val="zh-CN"/>
        </w:rPr>
      </w:pPr>
      <w:r>
        <w:rPr>
          <w:rFonts w:hint="eastAsia" w:ascii="宋体" w:hAnsi="宋体"/>
          <w:sz w:val="21"/>
          <w:szCs w:val="24"/>
          <w:lang w:val="zh-CN"/>
        </w:rPr>
        <w:t>基金名称</w:t>
      </w:r>
    </w:p>
    <w:p>
      <w:pPr>
        <w:spacing w:beforeLines="0" w:afterLines="0"/>
        <w:jc w:val="left"/>
        <w:rPr>
          <w:rFonts w:hint="eastAsia" w:ascii="宋体" w:hAnsi="宋体"/>
          <w:sz w:val="21"/>
          <w:szCs w:val="24"/>
          <w:lang w:val="zh-CN"/>
        </w:rPr>
      </w:pPr>
      <w:r>
        <w:rPr>
          <w:rFonts w:hint="eastAsia" w:ascii="宋体" w:hAnsi="宋体"/>
          <w:sz w:val="21"/>
          <w:szCs w:val="24"/>
          <w:lang w:val="zh-CN"/>
        </w:rPr>
        <w:t>基金代码</w:t>
      </w:r>
    </w:p>
    <w:p>
      <w:pPr>
        <w:spacing w:beforeLines="0" w:afterLines="0"/>
        <w:jc w:val="left"/>
        <w:rPr>
          <w:rFonts w:hint="eastAsia" w:ascii="宋体" w:hAnsi="宋体"/>
          <w:sz w:val="21"/>
          <w:szCs w:val="24"/>
          <w:lang w:val="zh-CN"/>
        </w:rPr>
      </w:pPr>
      <w:r>
        <w:rPr>
          <w:rFonts w:hint="eastAsia" w:ascii="宋体" w:hAnsi="宋体"/>
          <w:sz w:val="21"/>
          <w:szCs w:val="24"/>
          <w:lang w:val="zh-CN"/>
        </w:rPr>
        <w:t>1</w:t>
      </w:r>
    </w:p>
    <w:p>
      <w:pPr>
        <w:spacing w:beforeLines="0" w:afterLines="0"/>
        <w:jc w:val="left"/>
        <w:rPr>
          <w:rFonts w:hint="eastAsia" w:ascii="宋体" w:hAnsi="宋体"/>
          <w:sz w:val="21"/>
          <w:szCs w:val="24"/>
          <w:lang w:val="zh-CN"/>
        </w:rPr>
      </w:pPr>
      <w:r>
        <w:rPr>
          <w:rFonts w:hint="eastAsia" w:ascii="宋体" w:hAnsi="宋体"/>
          <w:sz w:val="21"/>
          <w:szCs w:val="24"/>
          <w:lang w:val="zh-CN"/>
        </w:rPr>
        <w:t>2</w:t>
      </w:r>
    </w:p>
    <w:p>
      <w:pPr>
        <w:spacing w:beforeLines="0" w:afterLines="0"/>
        <w:jc w:val="left"/>
        <w:rPr>
          <w:rFonts w:hint="eastAsia" w:ascii="宋体" w:hAnsi="宋体"/>
          <w:sz w:val="21"/>
          <w:szCs w:val="24"/>
          <w:lang w:val="zh-CN"/>
        </w:rPr>
      </w:pPr>
      <w:r>
        <w:rPr>
          <w:rFonts w:hint="eastAsia" w:ascii="宋体" w:hAnsi="宋体"/>
          <w:sz w:val="21"/>
          <w:szCs w:val="24"/>
          <w:lang w:val="zh-CN"/>
        </w:rPr>
        <w:t>3</w:t>
      </w:r>
    </w:p>
    <w:p>
      <w:pPr>
        <w:spacing w:beforeLines="0" w:afterLines="0"/>
        <w:jc w:val="left"/>
        <w:rPr>
          <w:rFonts w:hint="eastAsia" w:ascii="宋体" w:hAnsi="宋体"/>
          <w:sz w:val="21"/>
          <w:szCs w:val="24"/>
          <w:lang w:val="zh-CN"/>
        </w:rPr>
      </w:pPr>
      <w:r>
        <w:rPr>
          <w:rFonts w:hint="eastAsia" w:ascii="宋体" w:hAnsi="宋体"/>
          <w:sz w:val="21"/>
          <w:szCs w:val="24"/>
          <w:lang w:val="zh-CN"/>
        </w:rPr>
        <w:t>4</w:t>
      </w:r>
    </w:p>
    <w:p>
      <w:pPr>
        <w:spacing w:beforeLines="0" w:afterLines="0"/>
        <w:jc w:val="left"/>
        <w:rPr>
          <w:rFonts w:hint="eastAsia" w:ascii="宋体" w:hAnsi="宋体"/>
          <w:sz w:val="21"/>
          <w:szCs w:val="24"/>
          <w:lang w:val="zh-CN"/>
        </w:rPr>
      </w:pPr>
      <w:r>
        <w:rPr>
          <w:rFonts w:hint="eastAsia" w:ascii="宋体" w:hAnsi="宋体"/>
          <w:sz w:val="21"/>
          <w:szCs w:val="24"/>
          <w:lang w:val="zh-CN"/>
        </w:rPr>
        <w:t>5</w:t>
      </w:r>
    </w:p>
    <w:p>
      <w:pPr>
        <w:spacing w:beforeLines="0" w:afterLines="0"/>
        <w:jc w:val="left"/>
        <w:rPr>
          <w:rFonts w:hint="eastAsia" w:ascii="宋体" w:hAnsi="宋体"/>
          <w:sz w:val="21"/>
          <w:szCs w:val="24"/>
          <w:lang w:val="zh-CN"/>
        </w:rPr>
      </w:pPr>
      <w:r>
        <w:rPr>
          <w:rFonts w:hint="eastAsia" w:ascii="宋体" w:hAnsi="宋体"/>
          <w:sz w:val="21"/>
          <w:szCs w:val="24"/>
          <w:lang w:val="zh-CN"/>
        </w:rPr>
        <w:t>6</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华泰柏瑞中证A500交易型开放式指数证券投资基金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华泰柏瑞恒生创新药交易型开放式指数证券投资基金(QDII)</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华泰柏瑞上证科创板半导体材料设备主题交易型开放式指数证券投资基金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华泰柏瑞中证2000交易型开放式指数证券投资基金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华泰柏瑞上证科创板200交易型开放式指数证券投资基金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华泰柏瑞中证全指航空航天交易型开放式指数证券投资基金</w:t>
      </w:r>
    </w:p>
    <w:p>
      <w:pPr>
        <w:spacing w:beforeLines="0" w:afterLines="0"/>
        <w:jc w:val="left"/>
        <w:rPr>
          <w:rFonts w:hint="eastAsia" w:ascii="宋体" w:hAnsi="宋体"/>
          <w:sz w:val="21"/>
          <w:szCs w:val="24"/>
          <w:lang w:val="zh-CN"/>
        </w:rPr>
      </w:pPr>
      <w:r>
        <w:rPr>
          <w:rFonts w:hint="eastAsia" w:ascii="宋体" w:hAnsi="宋体"/>
          <w:sz w:val="21"/>
          <w:szCs w:val="24"/>
          <w:lang w:val="zh-CN"/>
        </w:rPr>
        <w:t>563360</w:t>
      </w:r>
    </w:p>
    <w:p>
      <w:pPr>
        <w:spacing w:beforeLines="0" w:afterLines="0"/>
        <w:jc w:val="left"/>
        <w:rPr>
          <w:rFonts w:hint="eastAsia" w:ascii="宋体" w:hAnsi="宋体"/>
          <w:sz w:val="21"/>
          <w:szCs w:val="24"/>
          <w:lang w:val="zh-CN"/>
        </w:rPr>
      </w:pPr>
      <w:r>
        <w:rPr>
          <w:rFonts w:hint="eastAsia" w:ascii="宋体" w:hAnsi="宋体"/>
          <w:sz w:val="21"/>
          <w:szCs w:val="24"/>
          <w:lang w:val="zh-CN"/>
        </w:rPr>
        <w:t>520500</w:t>
      </w:r>
    </w:p>
    <w:p>
      <w:pPr>
        <w:spacing w:beforeLines="0" w:afterLines="0"/>
        <w:jc w:val="left"/>
        <w:rPr>
          <w:rFonts w:hint="eastAsia" w:ascii="宋体" w:hAnsi="宋体"/>
          <w:sz w:val="21"/>
          <w:szCs w:val="24"/>
          <w:lang w:val="zh-CN"/>
        </w:rPr>
      </w:pPr>
      <w:r>
        <w:rPr>
          <w:rFonts w:hint="eastAsia" w:ascii="宋体" w:hAnsi="宋体"/>
          <w:sz w:val="21"/>
          <w:szCs w:val="24"/>
          <w:lang w:val="zh-CN"/>
        </w:rPr>
        <w:t>588710</w:t>
      </w:r>
    </w:p>
    <w:p>
      <w:pPr>
        <w:spacing w:beforeLines="0" w:afterLines="0"/>
        <w:jc w:val="left"/>
        <w:rPr>
          <w:rFonts w:hint="eastAsia" w:ascii="宋体" w:hAnsi="宋体"/>
          <w:sz w:val="21"/>
          <w:szCs w:val="24"/>
          <w:lang w:val="zh-CN"/>
        </w:rPr>
      </w:pPr>
      <w:r>
        <w:rPr>
          <w:rFonts w:hint="eastAsia" w:ascii="宋体" w:hAnsi="宋体"/>
          <w:sz w:val="21"/>
          <w:szCs w:val="24"/>
          <w:lang w:val="zh-CN"/>
        </w:rPr>
        <w:t>563300</w:t>
      </w:r>
    </w:p>
    <w:p>
      <w:pPr>
        <w:spacing w:beforeLines="0" w:afterLines="0"/>
        <w:jc w:val="left"/>
        <w:rPr>
          <w:rFonts w:hint="eastAsia" w:ascii="宋体" w:hAnsi="宋体"/>
          <w:sz w:val="21"/>
          <w:szCs w:val="24"/>
          <w:lang w:val="zh-CN"/>
        </w:rPr>
      </w:pPr>
      <w:r>
        <w:rPr>
          <w:rFonts w:hint="eastAsia" w:ascii="宋体" w:hAnsi="宋体"/>
          <w:sz w:val="21"/>
          <w:szCs w:val="24"/>
          <w:lang w:val="zh-CN"/>
        </w:rPr>
        <w:t>588230</w:t>
      </w:r>
    </w:p>
    <w:p>
      <w:pPr>
        <w:spacing w:beforeLines="0" w:afterLines="0"/>
        <w:jc w:val="left"/>
        <w:rPr>
          <w:rFonts w:hint="eastAsia" w:ascii="宋体" w:hAnsi="宋体"/>
          <w:sz w:val="21"/>
          <w:szCs w:val="24"/>
          <w:lang w:val="zh-CN"/>
        </w:rPr>
      </w:pPr>
      <w:r>
        <w:rPr>
          <w:rFonts w:hint="eastAsia" w:ascii="宋体" w:hAnsi="宋体"/>
          <w:sz w:val="21"/>
          <w:szCs w:val="24"/>
          <w:lang w:val="zh-CN"/>
        </w:rPr>
        <w:t>563380</w:t>
      </w:r>
    </w:p>
    <w:p>
      <w:pPr>
        <w:spacing w:beforeLines="0" w:afterLines="0"/>
        <w:jc w:val="left"/>
        <w:rPr>
          <w:rFonts w:hint="eastAsia" w:ascii="宋体" w:hAnsi="宋体"/>
          <w:sz w:val="21"/>
          <w:szCs w:val="24"/>
          <w:lang w:val="zh-CN"/>
        </w:rPr>
      </w:pPr>
      <w:r>
        <w:rPr>
          <w:rFonts w:hint="eastAsia" w:ascii="宋体" w:hAnsi="宋体"/>
          <w:sz w:val="21"/>
          <w:szCs w:val="24"/>
          <w:lang w:val="zh-CN"/>
        </w:rPr>
        <w:t>注： 1、上述表格内基金的最小申购、赎回单位限制请详见本公司发布的相关业务公告。</w:t>
      </w:r>
    </w:p>
    <w:p>
      <w:pPr>
        <w:spacing w:beforeLines="0" w:afterLines="0"/>
        <w:jc w:val="left"/>
        <w:rPr>
          <w:rFonts w:hint="eastAsia" w:ascii="宋体" w:hAnsi="宋体"/>
          <w:sz w:val="21"/>
          <w:szCs w:val="24"/>
          <w:lang w:val="zh-CN"/>
        </w:rPr>
      </w:pPr>
      <w:r>
        <w:rPr>
          <w:rFonts w:hint="eastAsia" w:ascii="宋体" w:hAnsi="宋体"/>
          <w:sz w:val="21"/>
          <w:szCs w:val="24"/>
          <w:lang w:val="zh-CN"/>
        </w:rPr>
        <w:t>2、根据上述基金《基金合同》的约定，投资者应通过具备申购赎回业务资格的一级交易商办理基金的</w:t>
      </w:r>
    </w:p>
    <w:p>
      <w:pPr>
        <w:spacing w:beforeLines="0" w:afterLines="0"/>
        <w:jc w:val="left"/>
        <w:rPr>
          <w:rFonts w:hint="eastAsia" w:ascii="宋体" w:hAnsi="宋体"/>
          <w:sz w:val="21"/>
          <w:szCs w:val="24"/>
          <w:lang w:val="zh-CN"/>
        </w:rPr>
      </w:pPr>
      <w:r>
        <w:rPr>
          <w:rFonts w:hint="eastAsia" w:ascii="宋体" w:hAnsi="宋体"/>
          <w:sz w:val="21"/>
          <w:szCs w:val="24"/>
          <w:lang w:val="zh-CN"/>
        </w:rPr>
        <w:t>申购和赎回业务。</w:t>
      </w:r>
    </w:p>
    <w:p>
      <w:pPr>
        <w:spacing w:beforeLines="0" w:afterLines="0"/>
        <w:jc w:val="left"/>
        <w:rPr>
          <w:rFonts w:hint="eastAsia" w:ascii="宋体" w:hAnsi="宋体"/>
          <w:sz w:val="21"/>
          <w:szCs w:val="24"/>
          <w:lang w:val="zh-CN"/>
        </w:rPr>
      </w:pPr>
      <w:r>
        <w:rPr>
          <w:rFonts w:hint="eastAsia" w:ascii="宋体" w:hAnsi="宋体"/>
          <w:sz w:val="21"/>
          <w:szCs w:val="24"/>
          <w:lang w:val="zh-CN"/>
        </w:rPr>
        <w:t>二、业务咨询</w:t>
      </w:r>
    </w:p>
    <w:p>
      <w:pPr>
        <w:spacing w:beforeLines="0" w:afterLines="0"/>
        <w:jc w:val="left"/>
        <w:rPr>
          <w:rFonts w:hint="eastAsia" w:ascii="宋体" w:hAnsi="宋体"/>
          <w:sz w:val="21"/>
          <w:szCs w:val="24"/>
          <w:lang w:val="zh-CN"/>
        </w:rPr>
      </w:pPr>
      <w:r>
        <w:rPr>
          <w:rFonts w:hint="eastAsia" w:ascii="宋体" w:hAnsi="宋体"/>
          <w:sz w:val="21"/>
          <w:szCs w:val="24"/>
          <w:lang w:val="zh-CN"/>
        </w:rPr>
        <w:t>投资者若有疑问，可通过以下途径咨询有关情况：</w:t>
      </w:r>
    </w:p>
    <w:p>
      <w:pPr>
        <w:spacing w:beforeLines="0" w:afterLines="0"/>
        <w:jc w:val="left"/>
        <w:rPr>
          <w:rFonts w:hint="eastAsia" w:ascii="宋体" w:hAnsi="宋体"/>
          <w:sz w:val="21"/>
          <w:szCs w:val="24"/>
          <w:lang w:val="zh-CN"/>
        </w:rPr>
      </w:pPr>
      <w:r>
        <w:rPr>
          <w:rFonts w:hint="eastAsia" w:ascii="宋体" w:hAnsi="宋体"/>
          <w:sz w:val="21"/>
          <w:szCs w:val="24"/>
          <w:lang w:val="zh-CN"/>
        </w:rPr>
        <w:t>1、金融街证券股份有限公司</w:t>
      </w:r>
    </w:p>
    <w:p>
      <w:pPr>
        <w:spacing w:beforeLines="0" w:afterLines="0"/>
        <w:jc w:val="left"/>
        <w:rPr>
          <w:rFonts w:hint="eastAsia" w:ascii="宋体" w:hAnsi="宋体"/>
          <w:sz w:val="21"/>
          <w:szCs w:val="24"/>
          <w:lang w:val="zh-CN"/>
        </w:rPr>
      </w:pPr>
      <w:r>
        <w:rPr>
          <w:rFonts w:hint="eastAsia" w:ascii="宋体" w:hAnsi="宋体"/>
          <w:sz w:val="21"/>
          <w:szCs w:val="24"/>
          <w:lang w:val="zh-CN"/>
        </w:rPr>
        <w:t>客服电话：956088</w:t>
      </w:r>
    </w:p>
    <w:p>
      <w:pPr>
        <w:spacing w:beforeLines="0" w:afterLines="0"/>
        <w:jc w:val="left"/>
        <w:rPr>
          <w:rFonts w:hint="eastAsia" w:ascii="宋体" w:hAnsi="宋体"/>
          <w:sz w:val="21"/>
          <w:szCs w:val="24"/>
          <w:lang w:val="zh-CN"/>
        </w:rPr>
      </w:pPr>
      <w:r>
        <w:rPr>
          <w:rFonts w:hint="eastAsia" w:ascii="宋体" w:hAnsi="宋体"/>
          <w:sz w:val="21"/>
          <w:szCs w:val="24"/>
          <w:lang w:val="zh-CN"/>
        </w:rPr>
        <w:t>公司网址：www.cnht.com.cn</w:t>
      </w:r>
    </w:p>
    <w:p>
      <w:pPr>
        <w:spacing w:beforeLines="0" w:afterLines="0"/>
        <w:jc w:val="left"/>
        <w:rPr>
          <w:rFonts w:hint="eastAsia" w:ascii="宋体" w:hAnsi="宋体"/>
          <w:sz w:val="21"/>
          <w:szCs w:val="24"/>
          <w:lang w:val="zh-CN"/>
        </w:rPr>
      </w:pPr>
      <w:r>
        <w:rPr>
          <w:rFonts w:hint="eastAsia" w:ascii="宋体" w:hAnsi="宋体"/>
          <w:sz w:val="21"/>
          <w:szCs w:val="24"/>
          <w:lang w:val="zh-CN"/>
        </w:rPr>
        <w:t xml:space="preserve">2、华泰柏瑞基金管理有限公司 </w:t>
      </w:r>
    </w:p>
    <w:p>
      <w:pPr>
        <w:spacing w:beforeLines="0" w:afterLines="0"/>
        <w:jc w:val="left"/>
        <w:rPr>
          <w:rFonts w:hint="eastAsia" w:ascii="宋体" w:hAnsi="宋体"/>
          <w:sz w:val="21"/>
          <w:szCs w:val="24"/>
          <w:lang w:val="zh-CN"/>
        </w:rPr>
      </w:pPr>
      <w:r>
        <w:rPr>
          <w:rFonts w:hint="eastAsia" w:ascii="宋体" w:hAnsi="宋体"/>
          <w:sz w:val="21"/>
          <w:szCs w:val="24"/>
          <w:lang w:val="zh-CN"/>
        </w:rPr>
        <w:t>客服电话：400-888-0001、（021）38784638</w:t>
      </w:r>
    </w:p>
    <w:p>
      <w:pPr>
        <w:spacing w:beforeLines="0" w:afterLines="0"/>
        <w:jc w:val="left"/>
        <w:rPr>
          <w:rFonts w:hint="eastAsia" w:ascii="宋体" w:hAnsi="宋体"/>
          <w:sz w:val="21"/>
          <w:szCs w:val="24"/>
          <w:lang w:val="zh-CN"/>
        </w:rPr>
      </w:pPr>
      <w:r>
        <w:rPr>
          <w:rFonts w:hint="eastAsia" w:ascii="宋体" w:hAnsi="宋体"/>
          <w:sz w:val="21"/>
          <w:szCs w:val="24"/>
          <w:lang w:val="zh-CN"/>
        </w:rPr>
        <w:t>公司网址：www.huatai-pb.com</w:t>
      </w:r>
    </w:p>
    <w:p>
      <w:pPr>
        <w:spacing w:beforeLines="0" w:afterLines="0"/>
        <w:jc w:val="left"/>
        <w:rPr>
          <w:rFonts w:hint="eastAsia" w:ascii="宋体" w:hAnsi="宋体"/>
          <w:sz w:val="21"/>
          <w:szCs w:val="24"/>
          <w:lang w:val="zh-CN"/>
        </w:rPr>
      </w:pPr>
      <w:r>
        <w:rPr>
          <w:rFonts w:hint="eastAsia" w:ascii="宋体" w:hAnsi="宋体"/>
          <w:sz w:val="21"/>
          <w:szCs w:val="24"/>
          <w:lang w:val="zh-CN"/>
        </w:rPr>
        <w:t>风险提示：风险提示：本基金管理人承诺以诚实信用、勤勉尽责的原则管理和运用基金资产，但不保</w:t>
      </w:r>
    </w:p>
    <w:p>
      <w:pPr>
        <w:spacing w:beforeLines="0" w:afterLines="0"/>
        <w:jc w:val="left"/>
        <w:rPr>
          <w:rFonts w:hint="eastAsia" w:ascii="宋体" w:hAnsi="宋体"/>
          <w:sz w:val="21"/>
          <w:szCs w:val="24"/>
          <w:lang w:val="zh-CN"/>
        </w:rPr>
      </w:pPr>
      <w:r>
        <w:rPr>
          <w:rFonts w:hint="eastAsia" w:ascii="宋体" w:hAnsi="宋体"/>
          <w:sz w:val="21"/>
          <w:szCs w:val="24"/>
          <w:lang w:val="zh-CN"/>
        </w:rPr>
        <w:t>证基金一定盈利，也不保证最低收益。投资者投资于本基金管理人管理的基金时应认真阅读《基金合</w:t>
      </w:r>
    </w:p>
    <w:p>
      <w:pPr>
        <w:spacing w:beforeLines="0" w:afterLines="0"/>
        <w:jc w:val="left"/>
        <w:rPr>
          <w:rFonts w:hint="eastAsia" w:ascii="宋体" w:hAnsi="宋体"/>
          <w:sz w:val="21"/>
          <w:szCs w:val="24"/>
          <w:lang w:val="zh-CN"/>
        </w:rPr>
      </w:pPr>
      <w:r>
        <w:rPr>
          <w:rFonts w:hint="eastAsia" w:ascii="宋体" w:hAnsi="宋体"/>
          <w:sz w:val="21"/>
          <w:szCs w:val="24"/>
          <w:lang w:val="zh-CN"/>
        </w:rPr>
        <w:t>同》、《招募说明书》等法律文件，了解基金产品的详细情况，选择与自己风险识别能力和风险承受能力</w:t>
      </w:r>
    </w:p>
    <w:p>
      <w:pPr>
        <w:spacing w:beforeLines="0" w:afterLines="0"/>
        <w:jc w:val="left"/>
        <w:rPr>
          <w:rFonts w:hint="eastAsia" w:ascii="宋体" w:hAnsi="宋体"/>
          <w:sz w:val="21"/>
          <w:szCs w:val="24"/>
          <w:lang w:val="zh-CN"/>
        </w:rPr>
      </w:pPr>
      <w:r>
        <w:rPr>
          <w:rFonts w:hint="eastAsia" w:ascii="宋体" w:hAnsi="宋体"/>
          <w:sz w:val="21"/>
          <w:szCs w:val="24"/>
          <w:lang w:val="zh-CN"/>
        </w:rPr>
        <w:t>相匹配的基金，并注意投资风险。</w:t>
      </w:r>
    </w:p>
    <w:p>
      <w:pPr>
        <w:spacing w:beforeLines="0" w:afterLines="0"/>
        <w:jc w:val="left"/>
        <w:rPr>
          <w:rFonts w:hint="eastAsia" w:ascii="宋体" w:hAnsi="宋体"/>
          <w:sz w:val="21"/>
          <w:szCs w:val="24"/>
          <w:lang w:val="zh-CN"/>
        </w:rPr>
      </w:pPr>
      <w:r>
        <w:rPr>
          <w:rFonts w:hint="eastAsia" w:ascii="宋体" w:hAnsi="宋体"/>
          <w:sz w:val="21"/>
          <w:szCs w:val="24"/>
          <w:lang w:val="zh-CN"/>
        </w:rPr>
        <w:t>特此通知。</w:t>
      </w:r>
    </w:p>
    <w:p>
      <w:pPr>
        <w:spacing w:beforeLines="0" w:afterLines="0"/>
        <w:jc w:val="left"/>
        <w:rPr>
          <w:rFonts w:hint="eastAsia" w:ascii="宋体" w:hAnsi="宋体"/>
          <w:sz w:val="21"/>
          <w:szCs w:val="24"/>
          <w:lang w:val="zh-CN"/>
        </w:rPr>
      </w:pPr>
      <w:r>
        <w:rPr>
          <w:rFonts w:hint="eastAsia" w:ascii="宋体" w:hAnsi="宋体"/>
          <w:sz w:val="21"/>
          <w:szCs w:val="24"/>
          <w:lang w:val="zh-CN"/>
        </w:rPr>
        <w:t>华泰柏瑞基金管理有限公司</w:t>
      </w:r>
    </w:p>
    <w:p>
      <w:pPr>
        <w:spacing w:beforeLines="0" w:afterLines="0"/>
        <w:jc w:val="left"/>
        <w:rPr>
          <w:rFonts w:hint="eastAsia" w:ascii="宋体" w:hAnsi="宋体"/>
          <w:sz w:val="21"/>
          <w:szCs w:val="24"/>
          <w:lang w:val="zh-CN"/>
        </w:rPr>
      </w:pPr>
      <w:r>
        <w:rPr>
          <w:rFonts w:hint="eastAsia" w:ascii="宋体" w:hAnsi="宋体"/>
          <w:sz w:val="21"/>
          <w:szCs w:val="24"/>
          <w:lang w:val="zh-CN"/>
        </w:rPr>
        <w:t>2026 年4月13日</w:t>
      </w:r>
    </w:p>
    <w:p>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lOWI2ZjhiNDE1YjY0NjcyN2I3Y2E2MGZmNzBiYTAifQ=="/>
  </w:docVars>
  <w:rsids>
    <w:rsidRoot w:val="00172A27"/>
    <w:rsid w:val="3E80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dingmt</dc:creator>
  <cp:lastModifiedBy>桃行之</cp:lastModifiedBy>
  <dcterms:modified xsi:type="dcterms:W3CDTF">2026-04-13T05:06:05Z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F8F8B26F363A42F09DCD4A931F930174_12</vt:lpwstr>
  </property>
</Properties>
</file>