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C5B96">
      <w:pPr>
        <w:jc w:val="center"/>
        <w:rPr>
          <w:b/>
          <w:color w:val="000000"/>
          <w:sz w:val="30"/>
          <w:szCs w:val="30"/>
        </w:rPr>
      </w:pPr>
      <w:bookmarkStart w:id="0" w:name="_Toc249263631"/>
      <w:r>
        <w:rPr>
          <w:rFonts w:ascii="宋体" w:hAnsi="宋体" w:hint="eastAsia"/>
          <w:b/>
          <w:color w:val="000000"/>
          <w:kern w:val="0"/>
          <w:sz w:val="30"/>
          <w:szCs w:val="30"/>
        </w:rPr>
        <w:t>富国基金管理有限公司关于富国中证细分机械设备产业主题交易型开放式指数证券投资基金基金经理变更的公告</w:t>
      </w:r>
    </w:p>
    <w:p w:rsidR="00000000" w:rsidRDefault="005C5B96">
      <w:pPr>
        <w:jc w:val="right"/>
        <w:rPr>
          <w:b/>
          <w:color w:val="000000"/>
          <w:sz w:val="30"/>
          <w:szCs w:val="30"/>
        </w:rPr>
      </w:pPr>
    </w:p>
    <w:p w:rsidR="00000000" w:rsidRDefault="005C5B96">
      <w:pPr>
        <w:jc w:val="center"/>
        <w:rPr>
          <w:rFonts w:ascii="宋体" w:hAnsi="宋体"/>
          <w:color w:val="000000"/>
          <w:kern w:val="0"/>
          <w:sz w:val="18"/>
          <w:szCs w:val="22"/>
        </w:rPr>
      </w:pPr>
      <w:r>
        <w:rPr>
          <w:rFonts w:ascii="宋体" w:hAnsi="宋体" w:hint="eastAsia"/>
          <w:color w:val="000000"/>
          <w:sz w:val="24"/>
        </w:rPr>
        <w:t>公告送出日期：</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04</w:t>
      </w:r>
      <w:r>
        <w:rPr>
          <w:rFonts w:ascii="宋体" w:hAnsi="宋体" w:hint="eastAsia"/>
          <w:color w:val="000000"/>
          <w:kern w:val="0"/>
          <w:sz w:val="24"/>
        </w:rPr>
        <w:t>月</w:t>
      </w:r>
      <w:r>
        <w:rPr>
          <w:rFonts w:ascii="宋体" w:hAnsi="宋体" w:hint="eastAsia"/>
          <w:color w:val="000000"/>
          <w:kern w:val="0"/>
          <w:sz w:val="24"/>
        </w:rPr>
        <w:t>11</w:t>
      </w:r>
      <w:r>
        <w:rPr>
          <w:rFonts w:ascii="宋体" w:hAnsi="宋体" w:hint="eastAsia"/>
          <w:color w:val="000000"/>
          <w:kern w:val="0"/>
          <w:sz w:val="24"/>
        </w:rPr>
        <w:t>日</w:t>
      </w:r>
    </w:p>
    <w:p w:rsidR="00000000" w:rsidRDefault="005C5B96">
      <w:pPr>
        <w:jc w:val="right"/>
        <w:rPr>
          <w:i/>
          <w:sz w:val="28"/>
          <w:szCs w:val="28"/>
        </w:rPr>
      </w:pPr>
    </w:p>
    <w:p w:rsidR="00000000" w:rsidRDefault="005C5B96">
      <w:pPr>
        <w:pStyle w:val="1"/>
      </w:pPr>
      <w:r>
        <w:rPr>
          <w:rFonts w:hint="eastAsia"/>
        </w:rPr>
        <w:t>公告基本信息</w:t>
      </w:r>
      <w:bookmarkEnd w:id="0"/>
    </w:p>
    <w:tbl>
      <w:tblPr>
        <w:tblW w:w="91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9"/>
        <w:gridCol w:w="4021"/>
      </w:tblGrid>
      <w:tr w:rsidR="00000000">
        <w:trPr>
          <w:cantSplit/>
        </w:trPr>
        <w:tc>
          <w:tcPr>
            <w:tcW w:w="3614" w:type="dxa"/>
          </w:tcPr>
          <w:p w:rsidR="00000000" w:rsidRDefault="005C5B96">
            <w:pPr>
              <w:rPr>
                <w:color w:val="000000"/>
                <w:sz w:val="24"/>
              </w:rPr>
            </w:pPr>
            <w:r>
              <w:rPr>
                <w:rFonts w:hint="eastAsia"/>
                <w:color w:val="000000"/>
                <w:sz w:val="24"/>
              </w:rPr>
              <w:t>基金名称</w:t>
            </w:r>
          </w:p>
        </w:tc>
        <w:tc>
          <w:tcPr>
            <w:tcW w:w="3746" w:type="dxa"/>
          </w:tcPr>
          <w:p w:rsidR="00000000" w:rsidRDefault="005C5B96">
            <w:pPr>
              <w:rPr>
                <w:color w:val="000000"/>
                <w:sz w:val="24"/>
              </w:rPr>
            </w:pPr>
            <w:r>
              <w:rPr>
                <w:rFonts w:ascii="宋体" w:hAnsi="宋体" w:hint="eastAsia"/>
                <w:color w:val="000000"/>
                <w:kern w:val="0"/>
                <w:sz w:val="24"/>
              </w:rPr>
              <w:t>富国中证细分机械设备产业主题交易型开放式指数证券投资基金</w:t>
            </w:r>
          </w:p>
        </w:tc>
      </w:tr>
      <w:tr w:rsidR="00000000">
        <w:trPr>
          <w:cantSplit/>
        </w:trPr>
        <w:tc>
          <w:tcPr>
            <w:tcW w:w="3614" w:type="dxa"/>
          </w:tcPr>
          <w:p w:rsidR="00000000" w:rsidRDefault="005C5B96">
            <w:pPr>
              <w:rPr>
                <w:color w:val="000000"/>
                <w:sz w:val="24"/>
              </w:rPr>
            </w:pPr>
            <w:r>
              <w:rPr>
                <w:rFonts w:hint="eastAsia"/>
                <w:color w:val="000000"/>
                <w:sz w:val="24"/>
              </w:rPr>
              <w:t>基金简称</w:t>
            </w:r>
          </w:p>
        </w:tc>
        <w:tc>
          <w:tcPr>
            <w:tcW w:w="3746" w:type="dxa"/>
          </w:tcPr>
          <w:p w:rsidR="00000000" w:rsidRDefault="005C5B96">
            <w:pPr>
              <w:rPr>
                <w:color w:val="000000"/>
                <w:sz w:val="24"/>
              </w:rPr>
            </w:pPr>
            <w:r>
              <w:rPr>
                <w:rFonts w:ascii="宋体" w:hAnsi="宋体" w:hint="eastAsia"/>
                <w:color w:val="000000"/>
                <w:kern w:val="0"/>
                <w:sz w:val="24"/>
              </w:rPr>
              <w:t>富国中证细分机械设备产业主题</w:t>
            </w:r>
            <w:r>
              <w:rPr>
                <w:rFonts w:ascii="宋体" w:hAnsi="宋体" w:hint="eastAsia"/>
                <w:color w:val="000000"/>
                <w:kern w:val="0"/>
                <w:sz w:val="24"/>
              </w:rPr>
              <w:t>ETF</w:t>
            </w:r>
          </w:p>
        </w:tc>
      </w:tr>
      <w:tr w:rsidR="00000000">
        <w:trPr>
          <w:cantSplit/>
        </w:trPr>
        <w:tc>
          <w:tcPr>
            <w:tcW w:w="3614" w:type="dxa"/>
          </w:tcPr>
          <w:p w:rsidR="00000000" w:rsidRDefault="005C5B96">
            <w:pPr>
              <w:rPr>
                <w:color w:val="000000"/>
                <w:sz w:val="24"/>
              </w:rPr>
            </w:pPr>
            <w:r>
              <w:rPr>
                <w:rFonts w:hint="eastAsia"/>
                <w:color w:val="000000"/>
                <w:sz w:val="24"/>
              </w:rPr>
              <w:t>基金主代码</w:t>
            </w:r>
          </w:p>
        </w:tc>
        <w:tc>
          <w:tcPr>
            <w:tcW w:w="3746" w:type="dxa"/>
          </w:tcPr>
          <w:p w:rsidR="00000000" w:rsidRDefault="005C5B96">
            <w:pPr>
              <w:rPr>
                <w:color w:val="000000"/>
                <w:sz w:val="24"/>
              </w:rPr>
            </w:pPr>
            <w:r>
              <w:rPr>
                <w:rFonts w:ascii="宋体" w:hAnsi="宋体" w:hint="eastAsia"/>
                <w:color w:val="000000"/>
                <w:kern w:val="0"/>
                <w:sz w:val="24"/>
              </w:rPr>
              <w:t>159886</w:t>
            </w:r>
          </w:p>
        </w:tc>
      </w:tr>
      <w:tr w:rsidR="00000000">
        <w:trPr>
          <w:cantSplit/>
        </w:trPr>
        <w:tc>
          <w:tcPr>
            <w:tcW w:w="3614" w:type="dxa"/>
          </w:tcPr>
          <w:p w:rsidR="00000000" w:rsidRDefault="005C5B96">
            <w:pPr>
              <w:rPr>
                <w:color w:val="000000"/>
                <w:sz w:val="24"/>
              </w:rPr>
            </w:pPr>
            <w:r>
              <w:rPr>
                <w:rFonts w:hint="eastAsia"/>
                <w:color w:val="000000"/>
                <w:sz w:val="24"/>
              </w:rPr>
              <w:t>基金管理人名称</w:t>
            </w:r>
          </w:p>
        </w:tc>
        <w:tc>
          <w:tcPr>
            <w:tcW w:w="3746" w:type="dxa"/>
          </w:tcPr>
          <w:p w:rsidR="00000000" w:rsidRDefault="005C5B96">
            <w:pPr>
              <w:rPr>
                <w:color w:val="000000"/>
                <w:sz w:val="24"/>
              </w:rPr>
            </w:pPr>
            <w:r>
              <w:rPr>
                <w:rFonts w:ascii="宋体" w:hAnsi="宋体" w:hint="eastAsia"/>
                <w:color w:val="000000"/>
                <w:kern w:val="0"/>
                <w:sz w:val="24"/>
              </w:rPr>
              <w:t>富国基金管理有限公司</w:t>
            </w:r>
          </w:p>
        </w:tc>
      </w:tr>
      <w:tr w:rsidR="00000000">
        <w:trPr>
          <w:cantSplit/>
        </w:trPr>
        <w:tc>
          <w:tcPr>
            <w:tcW w:w="3614" w:type="dxa"/>
          </w:tcPr>
          <w:p w:rsidR="00000000" w:rsidRDefault="005C5B96">
            <w:pPr>
              <w:rPr>
                <w:color w:val="000000"/>
                <w:sz w:val="24"/>
              </w:rPr>
            </w:pPr>
            <w:r>
              <w:rPr>
                <w:rFonts w:hint="eastAsia"/>
                <w:color w:val="000000"/>
                <w:sz w:val="24"/>
              </w:rPr>
              <w:t>公告依据</w:t>
            </w:r>
          </w:p>
        </w:tc>
        <w:tc>
          <w:tcPr>
            <w:tcW w:w="3746" w:type="dxa"/>
          </w:tcPr>
          <w:p w:rsidR="00000000" w:rsidRDefault="005C5B96">
            <w:pPr>
              <w:rPr>
                <w:color w:val="000000"/>
                <w:sz w:val="24"/>
              </w:rPr>
            </w:pPr>
            <w:r>
              <w:rPr>
                <w:rFonts w:ascii="宋体" w:hAnsi="宋体" w:hint="eastAsia"/>
                <w:color w:val="000000"/>
                <w:kern w:val="0"/>
                <w:sz w:val="24"/>
              </w:rPr>
              <w:t>《公开募集证券投资基金信息披露管理办法》</w:t>
            </w:r>
          </w:p>
        </w:tc>
      </w:tr>
      <w:tr w:rsidR="00000000">
        <w:trPr>
          <w:cantSplit/>
        </w:trPr>
        <w:tc>
          <w:tcPr>
            <w:tcW w:w="3614" w:type="dxa"/>
          </w:tcPr>
          <w:p w:rsidR="00000000" w:rsidRDefault="005C5B96">
            <w:pPr>
              <w:rPr>
                <w:color w:val="000000"/>
                <w:sz w:val="24"/>
              </w:rPr>
            </w:pPr>
            <w:r>
              <w:rPr>
                <w:rFonts w:hint="eastAsia"/>
                <w:color w:val="000000"/>
                <w:sz w:val="24"/>
              </w:rPr>
              <w:t>基金经理变更类型</w:t>
            </w:r>
          </w:p>
        </w:tc>
        <w:tc>
          <w:tcPr>
            <w:tcW w:w="3746" w:type="dxa"/>
          </w:tcPr>
          <w:p w:rsidR="00000000" w:rsidRDefault="005C5B96">
            <w:pPr>
              <w:rPr>
                <w:rFonts w:ascii="宋体" w:hAnsi="宋体"/>
                <w:color w:val="000000"/>
                <w:kern w:val="0"/>
                <w:sz w:val="24"/>
              </w:rPr>
            </w:pPr>
            <w:r>
              <w:rPr>
                <w:rFonts w:ascii="宋体" w:hAnsi="宋体" w:hint="eastAsia"/>
                <w:color w:val="000000"/>
                <w:kern w:val="0"/>
                <w:sz w:val="24"/>
              </w:rPr>
              <w:t>解聘基金经理</w:t>
            </w:r>
          </w:p>
        </w:tc>
      </w:tr>
      <w:tr w:rsidR="00000000">
        <w:tc>
          <w:tcPr>
            <w:tcW w:w="4731" w:type="dxa"/>
          </w:tcPr>
          <w:p w:rsidR="00000000" w:rsidRDefault="005C5B96">
            <w:r>
              <w:rPr>
                <w:rFonts w:hint="eastAsia"/>
                <w:color w:val="000000"/>
                <w:sz w:val="24"/>
              </w:rPr>
              <w:t>共同管理本基金的其他基金经理姓名</w:t>
            </w:r>
          </w:p>
        </w:tc>
        <w:tc>
          <w:tcPr>
            <w:tcW w:w="3746" w:type="dxa"/>
          </w:tcPr>
          <w:p w:rsidR="00000000" w:rsidRDefault="005C5B96">
            <w:pPr>
              <w:rPr>
                <w:rFonts w:ascii="宋体" w:hAnsi="宋体"/>
                <w:color w:val="000000"/>
                <w:kern w:val="0"/>
                <w:sz w:val="24"/>
              </w:rPr>
            </w:pPr>
            <w:r>
              <w:rPr>
                <w:rFonts w:ascii="宋体" w:hAnsi="宋体" w:hint="eastAsia"/>
                <w:color w:val="000000"/>
                <w:kern w:val="0"/>
                <w:sz w:val="24"/>
              </w:rPr>
              <w:t>刘海燕</w:t>
            </w:r>
          </w:p>
        </w:tc>
      </w:tr>
      <w:tr w:rsidR="00000000">
        <w:trPr>
          <w:cantSplit/>
        </w:trPr>
        <w:tc>
          <w:tcPr>
            <w:tcW w:w="3614" w:type="dxa"/>
          </w:tcPr>
          <w:p w:rsidR="00000000" w:rsidRDefault="005C5B96">
            <w:pPr>
              <w:rPr>
                <w:color w:val="000000"/>
                <w:sz w:val="24"/>
              </w:rPr>
            </w:pPr>
            <w:r>
              <w:rPr>
                <w:rFonts w:hint="eastAsia"/>
                <w:color w:val="000000"/>
                <w:sz w:val="24"/>
              </w:rPr>
              <w:t>离任基金经理姓名</w:t>
            </w:r>
          </w:p>
        </w:tc>
        <w:tc>
          <w:tcPr>
            <w:tcW w:w="3746" w:type="dxa"/>
          </w:tcPr>
          <w:p w:rsidR="00000000" w:rsidRDefault="005C5B96">
            <w:pPr>
              <w:rPr>
                <w:rFonts w:ascii="宋体" w:hAnsi="宋体"/>
                <w:color w:val="000000"/>
                <w:kern w:val="0"/>
                <w:sz w:val="24"/>
              </w:rPr>
            </w:pPr>
            <w:r>
              <w:rPr>
                <w:rFonts w:ascii="宋体" w:hAnsi="宋体" w:hint="eastAsia"/>
                <w:color w:val="000000"/>
                <w:kern w:val="0"/>
                <w:sz w:val="24"/>
              </w:rPr>
              <w:t>殷钦怡</w:t>
            </w:r>
          </w:p>
        </w:tc>
      </w:tr>
    </w:tbl>
    <w:p w:rsidR="00000000" w:rsidRDefault="005C5B96">
      <w:pPr>
        <w:pStyle w:val="1"/>
      </w:pPr>
      <w:bookmarkStart w:id="1" w:name="_Toc249263633"/>
      <w:r>
        <w:rPr>
          <w:rFonts w:hint="eastAsia"/>
        </w:rPr>
        <w:t>离任基金经</w:t>
      </w:r>
      <w:r>
        <w:rPr>
          <w:rFonts w:hint="eastAsia"/>
        </w:rPr>
        <w:t>理的相关信息</w:t>
      </w:r>
      <w:bookmarkEnd w:id="1"/>
    </w:p>
    <w:tbl>
      <w:tblPr>
        <w:tblW w:w="91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3"/>
        <w:gridCol w:w="2797"/>
      </w:tblGrid>
      <w:tr w:rsidR="00000000">
        <w:tc>
          <w:tcPr>
            <w:tcW w:w="5098" w:type="dxa"/>
          </w:tcPr>
          <w:p w:rsidR="00000000" w:rsidRDefault="005C5B96">
            <w:pPr>
              <w:rPr>
                <w:color w:val="000000"/>
                <w:sz w:val="24"/>
              </w:rPr>
            </w:pPr>
            <w:r>
              <w:rPr>
                <w:rFonts w:hint="eastAsia"/>
                <w:color w:val="000000"/>
                <w:sz w:val="24"/>
              </w:rPr>
              <w:t>离任基金经理姓名</w:t>
            </w:r>
          </w:p>
        </w:tc>
        <w:tc>
          <w:tcPr>
            <w:tcW w:w="2262" w:type="dxa"/>
          </w:tcPr>
          <w:p w:rsidR="00000000" w:rsidRDefault="005C5B96">
            <w:pPr>
              <w:rPr>
                <w:color w:val="000000"/>
                <w:sz w:val="24"/>
              </w:rPr>
            </w:pPr>
            <w:r>
              <w:rPr>
                <w:rFonts w:ascii="宋体" w:hAnsi="宋体" w:hint="eastAsia"/>
                <w:color w:val="000000"/>
                <w:kern w:val="0"/>
                <w:sz w:val="24"/>
              </w:rPr>
              <w:t>殷钦怡</w:t>
            </w:r>
          </w:p>
        </w:tc>
      </w:tr>
      <w:tr w:rsidR="00000000">
        <w:tc>
          <w:tcPr>
            <w:tcW w:w="5098" w:type="dxa"/>
          </w:tcPr>
          <w:p w:rsidR="00000000" w:rsidRDefault="005C5B96">
            <w:pPr>
              <w:rPr>
                <w:color w:val="000000"/>
                <w:sz w:val="24"/>
              </w:rPr>
            </w:pPr>
            <w:r>
              <w:rPr>
                <w:rFonts w:hint="eastAsia"/>
                <w:color w:val="000000"/>
                <w:sz w:val="24"/>
              </w:rPr>
              <w:t>离任原因</w:t>
            </w:r>
          </w:p>
        </w:tc>
        <w:tc>
          <w:tcPr>
            <w:tcW w:w="2262" w:type="dxa"/>
          </w:tcPr>
          <w:p w:rsidR="00000000" w:rsidRDefault="005C5B96">
            <w:pPr>
              <w:rPr>
                <w:color w:val="000000"/>
                <w:sz w:val="24"/>
              </w:rPr>
            </w:pPr>
            <w:r>
              <w:rPr>
                <w:rFonts w:ascii="宋体" w:hAnsi="宋体" w:hint="eastAsia"/>
                <w:color w:val="000000"/>
                <w:kern w:val="0"/>
                <w:sz w:val="24"/>
              </w:rPr>
              <w:t>工作安排</w:t>
            </w:r>
          </w:p>
        </w:tc>
      </w:tr>
      <w:tr w:rsidR="00000000">
        <w:tc>
          <w:tcPr>
            <w:tcW w:w="5098" w:type="dxa"/>
          </w:tcPr>
          <w:p w:rsidR="00000000" w:rsidRDefault="005C5B96">
            <w:pPr>
              <w:rPr>
                <w:color w:val="000000"/>
                <w:sz w:val="24"/>
              </w:rPr>
            </w:pPr>
            <w:r>
              <w:rPr>
                <w:rFonts w:hint="eastAsia"/>
                <w:color w:val="000000"/>
                <w:sz w:val="24"/>
              </w:rPr>
              <w:t>离任日期</w:t>
            </w:r>
          </w:p>
        </w:tc>
        <w:tc>
          <w:tcPr>
            <w:tcW w:w="2262" w:type="dxa"/>
          </w:tcPr>
          <w:p w:rsidR="00000000" w:rsidRDefault="005C5B96">
            <w:pPr>
              <w:rPr>
                <w:color w:val="00000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04</w:t>
            </w:r>
            <w:r>
              <w:rPr>
                <w:rFonts w:ascii="宋体" w:hAnsi="宋体" w:hint="eastAsia"/>
                <w:color w:val="000000"/>
                <w:kern w:val="0"/>
                <w:sz w:val="24"/>
              </w:rPr>
              <w:t>月</w:t>
            </w:r>
            <w:r>
              <w:rPr>
                <w:rFonts w:ascii="宋体" w:hAnsi="宋体" w:hint="eastAsia"/>
                <w:color w:val="000000"/>
                <w:kern w:val="0"/>
                <w:sz w:val="24"/>
              </w:rPr>
              <w:t>10</w:t>
            </w:r>
            <w:r>
              <w:rPr>
                <w:rFonts w:ascii="宋体" w:hAnsi="宋体" w:hint="eastAsia"/>
                <w:color w:val="000000"/>
                <w:kern w:val="0"/>
                <w:sz w:val="24"/>
              </w:rPr>
              <w:t>日</w:t>
            </w:r>
          </w:p>
        </w:tc>
      </w:tr>
      <w:tr w:rsidR="00000000">
        <w:tc>
          <w:tcPr>
            <w:tcW w:w="5098" w:type="dxa"/>
          </w:tcPr>
          <w:p w:rsidR="00000000" w:rsidRDefault="005C5B96">
            <w:pPr>
              <w:rPr>
                <w:color w:val="000000"/>
                <w:sz w:val="24"/>
              </w:rPr>
            </w:pPr>
            <w:r>
              <w:rPr>
                <w:rFonts w:hint="eastAsia"/>
                <w:color w:val="000000"/>
                <w:sz w:val="24"/>
              </w:rPr>
              <w:t>转任本公司其他工作岗位的说明</w:t>
            </w:r>
          </w:p>
        </w:tc>
        <w:tc>
          <w:tcPr>
            <w:tcW w:w="2262" w:type="dxa"/>
          </w:tcPr>
          <w:p w:rsidR="00000000" w:rsidRDefault="005C5B96">
            <w:pPr>
              <w:rPr>
                <w:color w:val="000000"/>
                <w:sz w:val="24"/>
              </w:rPr>
            </w:pPr>
            <w:r>
              <w:rPr>
                <w:rFonts w:ascii="宋体" w:hAnsi="宋体" w:hint="eastAsia"/>
                <w:color w:val="000000"/>
                <w:kern w:val="0"/>
                <w:sz w:val="24"/>
              </w:rPr>
              <w:t>-</w:t>
            </w:r>
          </w:p>
        </w:tc>
      </w:tr>
      <w:tr w:rsidR="00000000">
        <w:tc>
          <w:tcPr>
            <w:tcW w:w="5098" w:type="dxa"/>
          </w:tcPr>
          <w:p w:rsidR="00000000" w:rsidRDefault="005C5B96">
            <w:pPr>
              <w:rPr>
                <w:color w:val="000000"/>
                <w:sz w:val="24"/>
              </w:rPr>
            </w:pPr>
            <w:r>
              <w:rPr>
                <w:rFonts w:hint="eastAsia"/>
                <w:color w:val="000000"/>
                <w:sz w:val="24"/>
              </w:rPr>
              <w:t>是否已按规定在中国基金业协会办理变更手续</w:t>
            </w:r>
          </w:p>
        </w:tc>
        <w:tc>
          <w:tcPr>
            <w:tcW w:w="2262" w:type="dxa"/>
          </w:tcPr>
          <w:p w:rsidR="00000000" w:rsidRDefault="005C5B96">
            <w:pPr>
              <w:rPr>
                <w:color w:val="000000"/>
                <w:sz w:val="24"/>
              </w:rPr>
            </w:pPr>
            <w:r>
              <w:rPr>
                <w:rFonts w:ascii="宋体" w:hAnsi="宋体" w:hint="eastAsia"/>
                <w:color w:val="000000"/>
                <w:kern w:val="0"/>
                <w:sz w:val="24"/>
              </w:rPr>
              <w:t>是</w:t>
            </w:r>
          </w:p>
        </w:tc>
      </w:tr>
      <w:tr w:rsidR="00000000">
        <w:tc>
          <w:tcPr>
            <w:tcW w:w="5098" w:type="dxa"/>
          </w:tcPr>
          <w:p w:rsidR="00000000" w:rsidRDefault="005C5B96">
            <w:pPr>
              <w:rPr>
                <w:color w:val="000000"/>
                <w:sz w:val="24"/>
              </w:rPr>
            </w:pPr>
            <w:r>
              <w:rPr>
                <w:rFonts w:hint="eastAsia"/>
                <w:color w:val="000000"/>
                <w:sz w:val="24"/>
              </w:rPr>
              <w:t>是否已按规定在中国基金业协会办理注销手续</w:t>
            </w:r>
          </w:p>
        </w:tc>
        <w:tc>
          <w:tcPr>
            <w:tcW w:w="2262" w:type="dxa"/>
          </w:tcPr>
          <w:p w:rsidR="00000000" w:rsidRDefault="005C5B96">
            <w:pPr>
              <w:rPr>
                <w:color w:val="000000"/>
                <w:sz w:val="24"/>
              </w:rPr>
            </w:pPr>
            <w:r>
              <w:rPr>
                <w:rFonts w:ascii="宋体" w:hAnsi="宋体" w:hint="eastAsia"/>
                <w:color w:val="000000"/>
                <w:kern w:val="0"/>
                <w:sz w:val="24"/>
              </w:rPr>
              <w:t>否</w:t>
            </w:r>
          </w:p>
        </w:tc>
      </w:tr>
    </w:tbl>
    <w:p w:rsidR="00000000" w:rsidRDefault="005C5B96">
      <w:pPr>
        <w:pStyle w:val="1"/>
      </w:pPr>
      <w:bookmarkStart w:id="2" w:name="_Toc249263634"/>
      <w:r>
        <w:rPr>
          <w:rFonts w:hint="eastAsia"/>
        </w:rPr>
        <w:t>其他需要说明的事项</w:t>
      </w:r>
      <w:bookmarkEnd w:id="2"/>
    </w:p>
    <w:p w:rsidR="00000000" w:rsidRDefault="005C5B96">
      <w:pPr>
        <w:ind w:firstLine="420"/>
        <w:rPr>
          <w:color w:val="000000"/>
          <w:sz w:val="24"/>
        </w:rPr>
      </w:pPr>
      <w:r>
        <w:rPr>
          <w:color w:val="000000"/>
          <w:sz w:val="24"/>
        </w:rPr>
        <w:t>本公司已按有关规定向中国证监会上海监管局备案。</w:t>
      </w:r>
    </w:p>
    <w:p w:rsidR="00000000" w:rsidRDefault="005C5B96">
      <w:pPr>
        <w:jc w:val="right"/>
        <w:rPr>
          <w:rFonts w:ascii="宋体" w:hAnsi="宋体"/>
          <w:color w:val="000000"/>
          <w:kern w:val="0"/>
          <w:sz w:val="24"/>
        </w:rPr>
      </w:pPr>
      <w:r>
        <w:rPr>
          <w:rFonts w:ascii="宋体" w:hAnsi="宋体" w:hint="eastAsia"/>
          <w:color w:val="000000"/>
          <w:kern w:val="0"/>
          <w:sz w:val="24"/>
        </w:rPr>
        <w:t>富国基金管理有限公司</w:t>
      </w:r>
    </w:p>
    <w:p w:rsidR="00000000" w:rsidRDefault="005C5B96">
      <w:pPr>
        <w:jc w:val="right"/>
        <w:rPr>
          <w:rFonts w:ascii="宋体" w:hAnsi="宋体"/>
          <w:color w:val="000000"/>
          <w:kern w:val="0"/>
          <w:sz w:val="24"/>
        </w:rPr>
      </w:pPr>
      <w:r>
        <w:rPr>
          <w:rFonts w:ascii="宋体" w:hAnsi="宋体" w:hint="eastAsia"/>
          <w:color w:val="000000"/>
          <w:kern w:val="0"/>
          <w:sz w:val="24"/>
        </w:rPr>
        <w:lastRenderedPageBreak/>
        <w:t>2026</w:t>
      </w:r>
      <w:r>
        <w:rPr>
          <w:rFonts w:ascii="宋体" w:hAnsi="宋体" w:hint="eastAsia"/>
          <w:color w:val="000000"/>
          <w:kern w:val="0"/>
          <w:sz w:val="24"/>
        </w:rPr>
        <w:t>年</w:t>
      </w:r>
      <w:r>
        <w:rPr>
          <w:rFonts w:ascii="宋体" w:hAnsi="宋体" w:hint="eastAsia"/>
          <w:color w:val="000000"/>
          <w:kern w:val="0"/>
          <w:sz w:val="24"/>
        </w:rPr>
        <w:t>04</w:t>
      </w:r>
      <w:r>
        <w:rPr>
          <w:rFonts w:ascii="宋体" w:hAnsi="宋体" w:hint="eastAsia"/>
          <w:color w:val="000000"/>
          <w:kern w:val="0"/>
          <w:sz w:val="24"/>
        </w:rPr>
        <w:t>月</w:t>
      </w:r>
      <w:r>
        <w:rPr>
          <w:rFonts w:ascii="宋体" w:hAnsi="宋体" w:hint="eastAsia"/>
          <w:color w:val="000000"/>
          <w:kern w:val="0"/>
          <w:sz w:val="24"/>
        </w:rPr>
        <w:t>11</w:t>
      </w:r>
      <w:r>
        <w:rPr>
          <w:rFonts w:ascii="宋体" w:hAnsi="宋体" w:hint="eastAsia"/>
          <w:color w:val="000000"/>
          <w:kern w:val="0"/>
          <w:sz w:val="24"/>
        </w:rPr>
        <w:t>日</w:t>
      </w:r>
    </w:p>
    <w:sectPr w:rsidR="00000000">
      <w:pgSz w:w="11906" w:h="16838"/>
      <w:pgMar w:top="2268" w:right="2268" w:bottom="2268" w:left="2268"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300B"/>
    <w:multiLevelType w:val="multilevel"/>
    <w:tmpl w:val="08BB300B"/>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0BA6"/>
    <w:rsid w:val="00031A52"/>
    <w:rsid w:val="000478E2"/>
    <w:rsid w:val="00061681"/>
    <w:rsid w:val="00062905"/>
    <w:rsid w:val="000A71FB"/>
    <w:rsid w:val="00120926"/>
    <w:rsid w:val="00132CB3"/>
    <w:rsid w:val="00143315"/>
    <w:rsid w:val="00144FDB"/>
    <w:rsid w:val="00153191"/>
    <w:rsid w:val="00190793"/>
    <w:rsid w:val="001978BF"/>
    <w:rsid w:val="001B6069"/>
    <w:rsid w:val="00210A65"/>
    <w:rsid w:val="00213614"/>
    <w:rsid w:val="00231A53"/>
    <w:rsid w:val="00240909"/>
    <w:rsid w:val="00245403"/>
    <w:rsid w:val="002872FC"/>
    <w:rsid w:val="002A6D24"/>
    <w:rsid w:val="002E7E86"/>
    <w:rsid w:val="00316E87"/>
    <w:rsid w:val="00356789"/>
    <w:rsid w:val="00390BAA"/>
    <w:rsid w:val="0039559B"/>
    <w:rsid w:val="003A2B28"/>
    <w:rsid w:val="003C7B9F"/>
    <w:rsid w:val="0042792F"/>
    <w:rsid w:val="004333E7"/>
    <w:rsid w:val="0044347B"/>
    <w:rsid w:val="00443831"/>
    <w:rsid w:val="00445DA9"/>
    <w:rsid w:val="00491683"/>
    <w:rsid w:val="004F7110"/>
    <w:rsid w:val="0052379F"/>
    <w:rsid w:val="005720D8"/>
    <w:rsid w:val="005C5B96"/>
    <w:rsid w:val="005D1A46"/>
    <w:rsid w:val="005E1EE0"/>
    <w:rsid w:val="005F25BB"/>
    <w:rsid w:val="00611984"/>
    <w:rsid w:val="006174E3"/>
    <w:rsid w:val="00625446"/>
    <w:rsid w:val="0063462A"/>
    <w:rsid w:val="006731AA"/>
    <w:rsid w:val="006A5A10"/>
    <w:rsid w:val="006C457C"/>
    <w:rsid w:val="006D0457"/>
    <w:rsid w:val="006D25DA"/>
    <w:rsid w:val="00704114"/>
    <w:rsid w:val="0074323E"/>
    <w:rsid w:val="00744359"/>
    <w:rsid w:val="00754673"/>
    <w:rsid w:val="00765F23"/>
    <w:rsid w:val="007850FC"/>
    <w:rsid w:val="007E1BF5"/>
    <w:rsid w:val="0083617F"/>
    <w:rsid w:val="00847B48"/>
    <w:rsid w:val="008946A7"/>
    <w:rsid w:val="008A2D13"/>
    <w:rsid w:val="008E040A"/>
    <w:rsid w:val="0092092A"/>
    <w:rsid w:val="00930952"/>
    <w:rsid w:val="00940F25"/>
    <w:rsid w:val="009D0561"/>
    <w:rsid w:val="009E3C5C"/>
    <w:rsid w:val="009F1921"/>
    <w:rsid w:val="00A0668C"/>
    <w:rsid w:val="00A24BE7"/>
    <w:rsid w:val="00A93C1A"/>
    <w:rsid w:val="00AA7647"/>
    <w:rsid w:val="00AF7D94"/>
    <w:rsid w:val="00B0299F"/>
    <w:rsid w:val="00B40E36"/>
    <w:rsid w:val="00B87FB3"/>
    <w:rsid w:val="00BA618F"/>
    <w:rsid w:val="00C03987"/>
    <w:rsid w:val="00C10BA6"/>
    <w:rsid w:val="00C60262"/>
    <w:rsid w:val="00C77D35"/>
    <w:rsid w:val="00C8237B"/>
    <w:rsid w:val="00C84494"/>
    <w:rsid w:val="00CD2413"/>
    <w:rsid w:val="00CE5CD7"/>
    <w:rsid w:val="00CF2937"/>
    <w:rsid w:val="00D97EAF"/>
    <w:rsid w:val="00DC5F35"/>
    <w:rsid w:val="00DD7E40"/>
    <w:rsid w:val="00DE304E"/>
    <w:rsid w:val="00E1230E"/>
    <w:rsid w:val="00E5207E"/>
    <w:rsid w:val="00E631FE"/>
    <w:rsid w:val="00E67356"/>
    <w:rsid w:val="00ED7F1A"/>
    <w:rsid w:val="00F14CAA"/>
    <w:rsid w:val="00F3712E"/>
    <w:rsid w:val="00F765F7"/>
    <w:rsid w:val="00F92FB9"/>
    <w:rsid w:val="00FB6206"/>
    <w:rsid w:val="00FF445D"/>
    <w:rsid w:val="089D2F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qFormat="1"/>
    <w:lsdException w:name="toc 3" w:uiPriority="39" w:unhideWhenUsed="1"/>
    <w:lsdException w:name="toc 4" w:uiPriority="39" w:unhideWhenUsed="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120" w:after="120" w:line="578" w:lineRule="auto"/>
      <w:outlineLvl w:val="0"/>
    </w:pPr>
    <w:rPr>
      <w:b/>
      <w:bCs/>
      <w:kern w:val="44"/>
      <w:sz w:val="28"/>
      <w:szCs w:val="44"/>
    </w:rPr>
  </w:style>
  <w:style w:type="paragraph" w:styleId="2">
    <w:name w:val="heading 2"/>
    <w:basedOn w:val="a"/>
    <w:next w:val="a"/>
    <w:qFormat/>
    <w:pPr>
      <w:keepNext/>
      <w:keepLines/>
      <w:spacing w:before="260" w:after="260" w:line="415" w:lineRule="auto"/>
      <w:outlineLvl w:val="1"/>
    </w:pPr>
    <w:rPr>
      <w:rFonts w:ascii="Arial" w:eastAsia="黑体" w:hAnsi="Arial"/>
      <w:b/>
      <w:sz w:val="32"/>
      <w:szCs w:val="20"/>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3">
    <w:name w:val="toc 3"/>
    <w:next w:val="a"/>
    <w:uiPriority w:val="39"/>
    <w:unhideWhenUsed/>
    <w:pPr>
      <w:spacing w:after="100"/>
      <w:ind w:left="440"/>
    </w:pPr>
  </w:style>
  <w:style w:type="paragraph" w:styleId="a4">
    <w:name w:val="Balloon Text"/>
    <w:basedOn w:val="a"/>
    <w:link w:val="Char"/>
    <w:uiPriority w:val="99"/>
    <w:unhideWhenUsed/>
    <w:rPr>
      <w:rFonts w:ascii="Tahoma" w:hAnsi="Tahoma" w:cs="Tahoma"/>
      <w:sz w:val="16"/>
      <w:szCs w:val="16"/>
    </w:rPr>
  </w:style>
  <w:style w:type="character" w:customStyle="1" w:styleId="Char">
    <w:name w:val="批注框文本 Char"/>
    <w:link w:val="a4"/>
    <w:uiPriority w:val="99"/>
    <w:semiHidden/>
    <w:qFormat/>
    <w:rPr>
      <w:rFonts w:ascii="Tahoma" w:hAnsi="Tahoma" w:cs="Tahoma"/>
      <w:sz w:val="16"/>
      <w:szCs w:val="16"/>
    </w:rPr>
  </w:style>
  <w:style w:type="paragraph" w:styleId="a5">
    <w:name w:val="footer"/>
    <w:basedOn w:val="a"/>
    <w:link w:val="Char0"/>
    <w:pPr>
      <w:tabs>
        <w:tab w:val="center" w:pos="4153"/>
        <w:tab w:val="right" w:pos="8306"/>
      </w:tabs>
      <w:snapToGrid w:val="0"/>
      <w:jc w:val="left"/>
    </w:pPr>
    <w:rPr>
      <w:sz w:val="18"/>
      <w:szCs w:val="18"/>
    </w:rPr>
  </w:style>
  <w:style w:type="character" w:customStyle="1" w:styleId="Char0">
    <w:name w:val="页脚 Char"/>
    <w:link w:val="a5"/>
    <w:qFormat/>
    <w:rPr>
      <w:kern w:val="2"/>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rPr>
      <w:kern w:val="2"/>
      <w:sz w:val="18"/>
      <w:szCs w:val="18"/>
    </w:rPr>
  </w:style>
  <w:style w:type="paragraph" w:styleId="10">
    <w:name w:val="toc 1"/>
    <w:next w:val="a"/>
    <w:uiPriority w:val="39"/>
    <w:unhideWhenUsed/>
    <w:pPr>
      <w:spacing w:after="100"/>
    </w:pPr>
  </w:style>
  <w:style w:type="paragraph" w:styleId="4">
    <w:name w:val="toc 4"/>
    <w:next w:val="a"/>
    <w:uiPriority w:val="39"/>
    <w:unhideWhenUsed/>
    <w:pPr>
      <w:spacing w:after="100"/>
      <w:ind w:left="660"/>
    </w:pPr>
  </w:style>
  <w:style w:type="paragraph" w:styleId="20">
    <w:name w:val="toc 2"/>
    <w:next w:val="a"/>
    <w:uiPriority w:val="39"/>
    <w:unhideWhenUsed/>
    <w:qFormat/>
    <w:pPr>
      <w:spacing w:after="100"/>
      <w:ind w:left="220"/>
    </w:p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563C1"/>
      <w:u w:val="single"/>
    </w:rPr>
  </w:style>
  <w:style w:type="character" w:styleId="a9">
    <w:name w:val="Placeholder Text"/>
    <w:basedOn w:val="a0"/>
    <w:uiPriority w:val="99"/>
    <w:semiHidden/>
    <w:rPr>
      <w:color w:val="808080"/>
    </w:rPr>
  </w:style>
  <w:style w:type="paragraph" w:customStyle="1" w:styleId="TOCHeading">
    <w:name w:val="TOC Heading"/>
    <w:uiPriority w:val="39"/>
    <w:unhideWhenUsed/>
    <w:qFormat/>
    <w:rPr>
      <w:lang w:eastAsia="ja-JP"/>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32463;&#29702;&#21464;&#26356;&#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共同基金_临时公告(基金经理变更公告)_LS0000_公募临时公告.dotx</Template>
  <TotalTime>0</TotalTime>
  <Pages>2</Pages>
  <Words>64</Words>
  <Characters>365</Characters>
  <Application>Microsoft Office Word</Application>
  <DocSecurity>4</DocSecurity>
  <Lines>3</Lines>
  <Paragraphs>1</Paragraphs>
  <ScaleCrop>false</ScaleCrop>
  <Company>fullgoal</Company>
  <LinksUpToDate>false</LinksUpToDate>
  <CharactersWithSpaces>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基金经理变更公告</dc:title>
  <dc:subject/>
  <dc:creator>bianliya</dc:creator>
  <cp:keywords/>
  <cp:lastModifiedBy>ZHONGM</cp:lastModifiedBy>
  <cp:revision>2</cp:revision>
  <dcterms:created xsi:type="dcterms:W3CDTF">2026-04-10T16:01:00Z</dcterms:created>
  <dcterms:modified xsi:type="dcterms:W3CDTF">2026-04-10T16:01:00Z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0B107BBFAC6748DBA8FA3F93F4B3C40F_13</vt:lpwstr>
  </property>
</Properties>
</file>