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A8" w:rsidRDefault="00B77757">
      <w:pPr>
        <w:spacing w:before="50" w:after="50" w:line="360" w:lineRule="auto"/>
        <w:jc w:val="center"/>
        <w:outlineLvl w:val="0"/>
        <w:rPr>
          <w:rFonts w:cs="宋体"/>
          <w:b/>
          <w:bCs/>
          <w:sz w:val="28"/>
          <w:szCs w:val="28"/>
        </w:rPr>
      </w:pPr>
      <w:r>
        <w:rPr>
          <w:rFonts w:cs="宋体" w:hint="eastAsia"/>
          <w:b/>
          <w:bCs/>
          <w:sz w:val="28"/>
          <w:szCs w:val="28"/>
        </w:rPr>
        <w:t>交银施罗德基金管理有限公司关于增加</w:t>
      </w:r>
      <w:r>
        <w:rPr>
          <w:rFonts w:cs="宋体" w:hint="eastAsia"/>
          <w:b/>
          <w:bCs/>
          <w:sz w:val="28"/>
          <w:szCs w:val="28"/>
        </w:rPr>
        <w:t>交银施罗德沃享稳健三个月持有期混合型基金中基金（</w:t>
      </w:r>
      <w:r>
        <w:rPr>
          <w:rFonts w:cs="宋体" w:hint="eastAsia"/>
          <w:b/>
          <w:bCs/>
          <w:sz w:val="28"/>
          <w:szCs w:val="28"/>
        </w:rPr>
        <w:t>FOF</w:t>
      </w:r>
      <w:r>
        <w:rPr>
          <w:rFonts w:cs="宋体" w:hint="eastAsia"/>
          <w:b/>
          <w:bCs/>
          <w:sz w:val="28"/>
          <w:szCs w:val="28"/>
        </w:rPr>
        <w:t>）</w:t>
      </w:r>
      <w:r>
        <w:rPr>
          <w:rFonts w:cs="宋体" w:hint="eastAsia"/>
          <w:b/>
          <w:bCs/>
          <w:sz w:val="28"/>
          <w:szCs w:val="28"/>
        </w:rPr>
        <w:t>销售机构的公告</w:t>
      </w:r>
    </w:p>
    <w:p w:rsidR="00ED5BA8" w:rsidRDefault="00ED5BA8">
      <w:pPr>
        <w:spacing w:before="50" w:after="50" w:line="360" w:lineRule="auto"/>
        <w:ind w:firstLineChars="200" w:firstLine="562"/>
        <w:jc w:val="center"/>
        <w:rPr>
          <w:b/>
          <w:bCs/>
          <w:sz w:val="28"/>
          <w:szCs w:val="28"/>
        </w:rPr>
      </w:pPr>
    </w:p>
    <w:p w:rsidR="00ED5BA8" w:rsidRDefault="00B77757">
      <w:pPr>
        <w:adjustRightInd w:val="0"/>
        <w:snapToGrid w:val="0"/>
        <w:spacing w:line="360" w:lineRule="auto"/>
        <w:ind w:firstLineChars="200" w:firstLine="480"/>
        <w:rPr>
          <w:bCs/>
          <w:sz w:val="24"/>
          <w:szCs w:val="24"/>
        </w:rPr>
      </w:pPr>
      <w:r>
        <w:rPr>
          <w:bCs/>
          <w:sz w:val="24"/>
          <w:szCs w:val="24"/>
        </w:rPr>
        <w:t>根据交银施罗德基金管理有限公司（以下简称</w:t>
      </w:r>
      <w:r>
        <w:rPr>
          <w:bCs/>
          <w:sz w:val="24"/>
          <w:szCs w:val="24"/>
        </w:rPr>
        <w:t>“</w:t>
      </w:r>
      <w:r>
        <w:rPr>
          <w:bCs/>
          <w:sz w:val="24"/>
          <w:szCs w:val="24"/>
        </w:rPr>
        <w:t>本</w:t>
      </w:r>
      <w:r>
        <w:rPr>
          <w:rFonts w:hint="eastAsia"/>
          <w:bCs/>
          <w:sz w:val="24"/>
          <w:szCs w:val="24"/>
        </w:rPr>
        <w:t>公司</w:t>
      </w:r>
      <w:r>
        <w:rPr>
          <w:bCs/>
          <w:sz w:val="24"/>
          <w:szCs w:val="24"/>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w:t>
      </w:r>
      <w:r>
        <w:rPr>
          <w:rFonts w:hint="eastAsia"/>
          <w:bCs/>
          <w:sz w:val="24"/>
          <w:szCs w:val="24"/>
        </w:rPr>
        <w:t>202</w:t>
      </w:r>
      <w:r>
        <w:rPr>
          <w:bCs/>
          <w:sz w:val="24"/>
          <w:szCs w:val="24"/>
        </w:rPr>
        <w:t>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13</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rPr>
        <w:t>交银施罗德沃享稳健三个月持有期混合型基金中基金（</w:t>
      </w:r>
      <w:r>
        <w:rPr>
          <w:rFonts w:hint="eastAsia"/>
          <w:bCs/>
          <w:sz w:val="24"/>
          <w:szCs w:val="24"/>
        </w:rPr>
        <w:t>FOF</w:t>
      </w:r>
      <w:r>
        <w:rPr>
          <w:rFonts w:hint="eastAsia"/>
          <w:bCs/>
          <w:sz w:val="24"/>
          <w:szCs w:val="24"/>
        </w:rPr>
        <w:t>）</w:t>
      </w:r>
      <w:r>
        <w:rPr>
          <w:rFonts w:hint="eastAsia"/>
          <w:bCs/>
          <w:sz w:val="24"/>
          <w:szCs w:val="24"/>
        </w:rPr>
        <w:t>（</w:t>
      </w:r>
      <w:r>
        <w:rPr>
          <w:rFonts w:hint="eastAsia"/>
          <w:bCs/>
          <w:sz w:val="24"/>
          <w:szCs w:val="24"/>
        </w:rPr>
        <w:t>A</w:t>
      </w:r>
      <w:r>
        <w:rPr>
          <w:rFonts w:hint="eastAsia"/>
          <w:bCs/>
          <w:sz w:val="24"/>
          <w:szCs w:val="24"/>
        </w:rPr>
        <w:t>类基金份额基金代码：</w:t>
      </w:r>
      <w:r>
        <w:rPr>
          <w:rFonts w:hint="eastAsia"/>
          <w:bCs/>
          <w:sz w:val="24"/>
          <w:szCs w:val="24"/>
        </w:rPr>
        <w:t>026604</w:t>
      </w:r>
      <w:r>
        <w:rPr>
          <w:rFonts w:hint="eastAsia"/>
          <w:bCs/>
          <w:sz w:val="24"/>
          <w:szCs w:val="24"/>
        </w:rPr>
        <w:t>；基金简称：交银沃享稳健三个月持有期混合（</w:t>
      </w:r>
      <w:r>
        <w:rPr>
          <w:rFonts w:hint="eastAsia"/>
          <w:bCs/>
          <w:sz w:val="24"/>
          <w:szCs w:val="24"/>
        </w:rPr>
        <w:t>FOF</w:t>
      </w:r>
      <w:r>
        <w:rPr>
          <w:rFonts w:hint="eastAsia"/>
          <w:bCs/>
          <w:sz w:val="24"/>
          <w:szCs w:val="24"/>
        </w:rPr>
        <w:t>）</w:t>
      </w:r>
      <w:r>
        <w:rPr>
          <w:rFonts w:hint="eastAsia"/>
          <w:bCs/>
          <w:sz w:val="24"/>
          <w:szCs w:val="24"/>
        </w:rPr>
        <w:t>A</w:t>
      </w:r>
      <w:r>
        <w:rPr>
          <w:rFonts w:hint="eastAsia"/>
          <w:bCs/>
          <w:sz w:val="24"/>
          <w:szCs w:val="24"/>
        </w:rPr>
        <w:t>；</w:t>
      </w:r>
      <w:r>
        <w:rPr>
          <w:rFonts w:hint="eastAsia"/>
        </w:rPr>
        <w:t xml:space="preserve"> </w:t>
      </w:r>
      <w:r>
        <w:rPr>
          <w:rFonts w:hint="eastAsia"/>
          <w:sz w:val="24"/>
        </w:rPr>
        <w:t>C</w:t>
      </w:r>
      <w:r>
        <w:rPr>
          <w:rFonts w:hint="eastAsia"/>
          <w:sz w:val="24"/>
        </w:rPr>
        <w:t>类基金份额基金代码：</w:t>
      </w:r>
      <w:r>
        <w:rPr>
          <w:rFonts w:hint="eastAsia"/>
          <w:sz w:val="24"/>
        </w:rPr>
        <w:t>026605</w:t>
      </w:r>
      <w:r>
        <w:rPr>
          <w:rFonts w:hint="eastAsia"/>
          <w:sz w:val="24"/>
        </w:rPr>
        <w:t>；基金简称：交银沃享稳健三个月持有期混合（</w:t>
      </w:r>
      <w:r>
        <w:rPr>
          <w:rFonts w:hint="eastAsia"/>
          <w:sz w:val="24"/>
        </w:rPr>
        <w:t>FOF</w:t>
      </w:r>
      <w:r>
        <w:rPr>
          <w:rFonts w:hint="eastAsia"/>
          <w:sz w:val="24"/>
        </w:rPr>
        <w:t>）</w:t>
      </w:r>
      <w:r>
        <w:rPr>
          <w:rFonts w:hint="eastAsia"/>
          <w:sz w:val="24"/>
        </w:rPr>
        <w:t>C</w:t>
      </w:r>
      <w:r>
        <w:rPr>
          <w:rFonts w:hint="eastAsia"/>
          <w:bCs/>
          <w:sz w:val="24"/>
          <w:szCs w:val="24"/>
        </w:rPr>
        <w:t>）</w:t>
      </w:r>
      <w:r>
        <w:rPr>
          <w:bCs/>
          <w:sz w:val="24"/>
          <w:szCs w:val="24"/>
        </w:rPr>
        <w:t>的销售机构</w:t>
      </w:r>
      <w:r>
        <w:rPr>
          <w:rFonts w:hint="eastAsia"/>
          <w:bCs/>
          <w:sz w:val="24"/>
          <w:szCs w:val="24"/>
        </w:rPr>
        <w:t>。</w:t>
      </w:r>
    </w:p>
    <w:p w:rsidR="00ED5BA8" w:rsidRDefault="00ED5BA8">
      <w:pPr>
        <w:adjustRightInd w:val="0"/>
        <w:snapToGrid w:val="0"/>
        <w:spacing w:line="360" w:lineRule="auto"/>
        <w:ind w:firstLineChars="200" w:firstLine="480"/>
        <w:rPr>
          <w:bCs/>
          <w:sz w:val="24"/>
          <w:szCs w:val="24"/>
        </w:rPr>
      </w:pPr>
    </w:p>
    <w:p w:rsidR="00ED5BA8" w:rsidRDefault="00B77757">
      <w:pPr>
        <w:spacing w:line="360" w:lineRule="auto"/>
        <w:ind w:firstLineChars="200" w:firstLine="480"/>
        <w:outlineLvl w:val="0"/>
        <w:rPr>
          <w:kern w:val="0"/>
          <w:sz w:val="24"/>
          <w:szCs w:val="24"/>
        </w:rPr>
      </w:pPr>
      <w:r>
        <w:rPr>
          <w:rFonts w:hint="eastAsia"/>
          <w:kern w:val="0"/>
          <w:sz w:val="24"/>
          <w:szCs w:val="24"/>
        </w:rPr>
        <w:t>一、业务范围</w:t>
      </w:r>
    </w:p>
    <w:p w:rsidR="00ED5BA8" w:rsidRDefault="00B77757">
      <w:pPr>
        <w:spacing w:line="360" w:lineRule="auto"/>
        <w:ind w:firstLineChars="200" w:firstLine="48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13</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w:t>
      </w:r>
      <w:bookmarkStart w:id="0" w:name="_GoBack"/>
      <w:bookmarkEnd w:id="0"/>
      <w:r>
        <w:rPr>
          <w:rFonts w:hint="eastAsia"/>
          <w:kern w:val="0"/>
          <w:sz w:val="24"/>
          <w:szCs w:val="24"/>
        </w:rPr>
        <w:t>构（具体名单请见“二、投资人可通过以下途径咨询有关详情”）办理开户</w:t>
      </w:r>
      <w:r>
        <w:rPr>
          <w:kern w:val="0"/>
          <w:sz w:val="24"/>
          <w:szCs w:val="24"/>
        </w:rPr>
        <w:t>及</w:t>
      </w:r>
      <w:r>
        <w:rPr>
          <w:rFonts w:hint="eastAsia"/>
          <w:bCs/>
          <w:sz w:val="24"/>
          <w:szCs w:val="24"/>
        </w:rPr>
        <w:t>交银施罗德沃享稳健三个月持有期混合型基金中基金（</w:t>
      </w:r>
      <w:r>
        <w:rPr>
          <w:rFonts w:hint="eastAsia"/>
          <w:bCs/>
          <w:sz w:val="24"/>
          <w:szCs w:val="24"/>
        </w:rPr>
        <w:t>FOF</w:t>
      </w:r>
      <w:r>
        <w:rPr>
          <w:rFonts w:hint="eastAsia"/>
          <w:bCs/>
          <w:sz w:val="24"/>
          <w:szCs w:val="24"/>
        </w:rPr>
        <w:t>）</w:t>
      </w:r>
      <w:r>
        <w:rPr>
          <w:rFonts w:hint="eastAsia"/>
          <w:kern w:val="0"/>
          <w:sz w:val="24"/>
          <w:szCs w:val="24"/>
        </w:rPr>
        <w:t>的认购等业务。</w:t>
      </w:r>
    </w:p>
    <w:p w:rsidR="00ED5BA8" w:rsidRDefault="00B77757">
      <w:pPr>
        <w:spacing w:line="360" w:lineRule="auto"/>
        <w:ind w:firstLineChars="200" w:firstLine="480"/>
        <w:rPr>
          <w:sz w:val="24"/>
          <w:szCs w:val="24"/>
        </w:rPr>
      </w:pPr>
      <w:r>
        <w:rPr>
          <w:rFonts w:hint="eastAsia"/>
          <w:bCs/>
          <w:sz w:val="24"/>
          <w:szCs w:val="24"/>
        </w:rPr>
        <w:t>交银施罗德沃享稳健三个月持有期混合型基金中基金（</w:t>
      </w:r>
      <w:r>
        <w:rPr>
          <w:rFonts w:hint="eastAsia"/>
          <w:bCs/>
          <w:sz w:val="24"/>
          <w:szCs w:val="24"/>
        </w:rPr>
        <w:t>FOF</w:t>
      </w:r>
      <w:r>
        <w:rPr>
          <w:rFonts w:hint="eastAsia"/>
          <w:bCs/>
          <w:sz w:val="24"/>
          <w:szCs w:val="24"/>
        </w:rPr>
        <w:t>）</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rsidR="00ED5BA8" w:rsidRDefault="00ED5BA8">
      <w:pPr>
        <w:adjustRightInd w:val="0"/>
        <w:snapToGrid w:val="0"/>
        <w:spacing w:line="360" w:lineRule="auto"/>
        <w:ind w:firstLineChars="200" w:firstLine="480"/>
        <w:rPr>
          <w:bCs/>
          <w:sz w:val="24"/>
          <w:szCs w:val="24"/>
        </w:rPr>
      </w:pPr>
    </w:p>
    <w:p w:rsidR="00ED5BA8" w:rsidRDefault="00B77757">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w:t>
      </w:r>
      <w:r>
        <w:rPr>
          <w:b/>
          <w:bCs/>
          <w:sz w:val="24"/>
          <w:szCs w:val="24"/>
        </w:rPr>
        <w:t>重要提示：</w:t>
      </w:r>
    </w:p>
    <w:p w:rsidR="00ED5BA8" w:rsidRDefault="00B77757">
      <w:pPr>
        <w:adjustRightInd w:val="0"/>
        <w:snapToGrid w:val="0"/>
        <w:spacing w:line="360" w:lineRule="auto"/>
        <w:ind w:firstLineChars="200" w:firstLine="480"/>
        <w:rPr>
          <w:bCs/>
          <w:sz w:val="24"/>
          <w:szCs w:val="24"/>
        </w:rPr>
      </w:pPr>
      <w:r>
        <w:rPr>
          <w:bCs/>
          <w:sz w:val="24"/>
          <w:szCs w:val="24"/>
        </w:rPr>
        <w:t>1</w:t>
      </w:r>
      <w:r>
        <w:rPr>
          <w:bCs/>
          <w:sz w:val="24"/>
          <w:szCs w:val="24"/>
        </w:rPr>
        <w:t>、本</w:t>
      </w:r>
      <w:r>
        <w:rPr>
          <w:rFonts w:hint="eastAsia"/>
          <w:bCs/>
          <w:sz w:val="24"/>
          <w:szCs w:val="24"/>
        </w:rPr>
        <w:t>公司</w:t>
      </w:r>
      <w:r>
        <w:rPr>
          <w:bCs/>
          <w:sz w:val="24"/>
          <w:szCs w:val="24"/>
        </w:rPr>
        <w:t>于</w:t>
      </w:r>
      <w:r>
        <w:rPr>
          <w:rFonts w:hint="eastAsia"/>
          <w:bCs/>
          <w:sz w:val="24"/>
          <w:szCs w:val="24"/>
        </w:rPr>
        <w:t>202</w:t>
      </w:r>
      <w:r>
        <w:rPr>
          <w:rFonts w:hint="eastAsia"/>
          <w:bCs/>
          <w:sz w:val="24"/>
          <w:szCs w:val="24"/>
        </w:rPr>
        <w:t>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2</w:t>
      </w:r>
      <w:r>
        <w:rPr>
          <w:rFonts w:hint="eastAsia"/>
          <w:bCs/>
          <w:sz w:val="24"/>
          <w:szCs w:val="24"/>
        </w:rPr>
        <w:t>日</w:t>
      </w:r>
      <w:r>
        <w:rPr>
          <w:bCs/>
          <w:sz w:val="24"/>
          <w:szCs w:val="24"/>
        </w:rPr>
        <w:t>发布公告，</w:t>
      </w:r>
      <w:r>
        <w:rPr>
          <w:rFonts w:hint="eastAsia"/>
          <w:bCs/>
          <w:sz w:val="24"/>
          <w:szCs w:val="24"/>
        </w:rPr>
        <w:t>交银施罗德沃享稳健三个月持有期混合型基金中基金（</w:t>
      </w:r>
      <w:r>
        <w:rPr>
          <w:rFonts w:hint="eastAsia"/>
          <w:bCs/>
          <w:sz w:val="24"/>
          <w:szCs w:val="24"/>
        </w:rPr>
        <w:t>FOF</w:t>
      </w:r>
      <w:r>
        <w:rPr>
          <w:rFonts w:hint="eastAsia"/>
          <w:bCs/>
          <w:sz w:val="24"/>
          <w:szCs w:val="24"/>
        </w:rPr>
        <w:t>）</w:t>
      </w:r>
      <w:r>
        <w:rPr>
          <w:bCs/>
          <w:sz w:val="24"/>
          <w:szCs w:val="24"/>
        </w:rPr>
        <w:t>自</w:t>
      </w:r>
      <w:r>
        <w:rPr>
          <w:rFonts w:hint="eastAsia"/>
          <w:bCs/>
          <w:sz w:val="24"/>
          <w:szCs w:val="24"/>
        </w:rPr>
        <w:t>2026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13</w:t>
      </w:r>
      <w:r>
        <w:rPr>
          <w:rFonts w:hint="eastAsia"/>
          <w:bCs/>
          <w:sz w:val="24"/>
          <w:szCs w:val="24"/>
        </w:rPr>
        <w:t>日起至</w:t>
      </w:r>
      <w:r>
        <w:rPr>
          <w:rFonts w:hint="eastAsia"/>
          <w:bCs/>
          <w:sz w:val="24"/>
          <w:szCs w:val="24"/>
        </w:rPr>
        <w:t>2026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24</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w:t>
      </w:r>
      <w:r>
        <w:rPr>
          <w:rFonts w:hint="eastAsia"/>
          <w:bCs/>
          <w:sz w:val="24"/>
          <w:szCs w:val="24"/>
        </w:rPr>
        <w:t>202</w:t>
      </w:r>
      <w:r>
        <w:rPr>
          <w:rFonts w:hint="eastAsia"/>
          <w:bCs/>
          <w:sz w:val="24"/>
          <w:szCs w:val="24"/>
        </w:rPr>
        <w:t>6</w:t>
      </w:r>
      <w:r>
        <w:rPr>
          <w:rFonts w:hint="eastAsia"/>
          <w:bCs/>
          <w:sz w:val="24"/>
          <w:szCs w:val="24"/>
        </w:rPr>
        <w:t>年</w:t>
      </w:r>
      <w:r>
        <w:rPr>
          <w:rFonts w:hint="eastAsia"/>
          <w:bCs/>
          <w:sz w:val="24"/>
          <w:szCs w:val="24"/>
        </w:rPr>
        <w:t>4</w:t>
      </w:r>
      <w:r>
        <w:rPr>
          <w:rFonts w:hint="eastAsia"/>
          <w:bCs/>
          <w:sz w:val="24"/>
          <w:szCs w:val="24"/>
        </w:rPr>
        <w:t>月</w:t>
      </w:r>
      <w:r>
        <w:rPr>
          <w:rFonts w:hint="eastAsia"/>
          <w:bCs/>
          <w:sz w:val="24"/>
          <w:szCs w:val="24"/>
        </w:rPr>
        <w:t>2</w:t>
      </w:r>
      <w:r>
        <w:rPr>
          <w:rFonts w:hint="eastAsia"/>
          <w:bCs/>
          <w:sz w:val="24"/>
          <w:szCs w:val="24"/>
        </w:rPr>
        <w:t>日</w:t>
      </w:r>
      <w:r>
        <w:rPr>
          <w:rFonts w:hint="eastAsia"/>
          <w:sz w:val="24"/>
        </w:rPr>
        <w:t>在本公司网站（</w:t>
      </w:r>
      <w:r>
        <w:rPr>
          <w:rFonts w:hint="eastAsia"/>
          <w:sz w:val="24"/>
        </w:rPr>
        <w:t>www.fund001.com</w:t>
      </w:r>
      <w:r>
        <w:rPr>
          <w:rFonts w:hint="eastAsia"/>
          <w:sz w:val="24"/>
        </w:rPr>
        <w:t>）和中国证监会基金电子披露网站（</w:t>
      </w:r>
      <w:r>
        <w:rPr>
          <w:rFonts w:hint="eastAsia"/>
          <w:sz w:val="24"/>
        </w:rPr>
        <w:t>http://eid.csrc.gov.cn/fund</w:t>
      </w:r>
      <w:r>
        <w:rPr>
          <w:rFonts w:hint="eastAsia"/>
          <w:sz w:val="24"/>
        </w:rPr>
        <w:t>）披露</w:t>
      </w:r>
      <w:r>
        <w:rPr>
          <w:sz w:val="24"/>
        </w:rPr>
        <w:t>的</w:t>
      </w:r>
      <w:r>
        <w:rPr>
          <w:rFonts w:hint="eastAsia"/>
          <w:bCs/>
          <w:sz w:val="24"/>
          <w:szCs w:val="24"/>
        </w:rPr>
        <w:t>交银施罗德沃享稳健三个月持有期混合型基金中基金（</w:t>
      </w:r>
      <w:r>
        <w:rPr>
          <w:rFonts w:hint="eastAsia"/>
          <w:bCs/>
          <w:sz w:val="24"/>
          <w:szCs w:val="24"/>
        </w:rPr>
        <w:t>FOF</w:t>
      </w:r>
      <w:r>
        <w:rPr>
          <w:rFonts w:hint="eastAsia"/>
          <w:bCs/>
          <w:sz w:val="24"/>
          <w:szCs w:val="24"/>
        </w:rPr>
        <w:t>）</w:t>
      </w:r>
      <w:r>
        <w:rPr>
          <w:rFonts w:hint="eastAsia"/>
          <w:sz w:val="24"/>
        </w:rPr>
        <w:t>的</w:t>
      </w:r>
      <w:r>
        <w:rPr>
          <w:sz w:val="24"/>
        </w:rPr>
        <w:t>基金份额发售公告、</w:t>
      </w:r>
      <w:r>
        <w:rPr>
          <w:rFonts w:hint="eastAsia"/>
          <w:sz w:val="24"/>
        </w:rPr>
        <w:t>基金合同</w:t>
      </w:r>
      <w:r>
        <w:rPr>
          <w:sz w:val="24"/>
        </w:rPr>
        <w:t>和</w:t>
      </w:r>
      <w:r>
        <w:rPr>
          <w:sz w:val="24"/>
        </w:rPr>
        <w:lastRenderedPageBreak/>
        <w:t>招</w:t>
      </w:r>
      <w:r>
        <w:rPr>
          <w:sz w:val="24"/>
        </w:rPr>
        <w:t>募说明书</w:t>
      </w:r>
      <w:r>
        <w:rPr>
          <w:rFonts w:hint="eastAsia"/>
          <w:sz w:val="24"/>
        </w:rPr>
        <w:t>等</w:t>
      </w:r>
      <w:r>
        <w:rPr>
          <w:bCs/>
          <w:sz w:val="24"/>
          <w:szCs w:val="24"/>
        </w:rPr>
        <w:t>。</w:t>
      </w:r>
    </w:p>
    <w:p w:rsidR="00ED5BA8" w:rsidRDefault="00B77757">
      <w:pPr>
        <w:adjustRightInd w:val="0"/>
        <w:snapToGrid w:val="0"/>
        <w:spacing w:line="360" w:lineRule="auto"/>
        <w:ind w:firstLineChars="200" w:firstLine="480"/>
        <w:rPr>
          <w:bCs/>
          <w:sz w:val="24"/>
          <w:szCs w:val="24"/>
        </w:rPr>
      </w:pPr>
      <w:r>
        <w:rPr>
          <w:bCs/>
          <w:sz w:val="24"/>
          <w:szCs w:val="24"/>
        </w:rPr>
        <w:t>2</w:t>
      </w:r>
      <w:r>
        <w:rPr>
          <w:bCs/>
          <w:sz w:val="24"/>
          <w:szCs w:val="24"/>
        </w:rPr>
        <w:t>、</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t>
      </w:r>
      <w:r>
        <w:rPr>
          <w:bCs/>
          <w:sz w:val="24"/>
          <w:szCs w:val="24"/>
        </w:rPr>
        <w:t>www.fund001.com</w:t>
      </w:r>
      <w:r>
        <w:rPr>
          <w:bCs/>
          <w:sz w:val="24"/>
          <w:szCs w:val="24"/>
        </w:rPr>
        <w:t>）。投资人亦可通过本公司网站下载基金申请表格和了解基金募集相关事宜。</w:t>
      </w:r>
    </w:p>
    <w:p w:rsidR="00ED5BA8" w:rsidRDefault="00B77757">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rsidR="00ED5BA8" w:rsidRDefault="00B77757">
      <w:pPr>
        <w:adjustRightInd w:val="0"/>
        <w:snapToGrid w:val="0"/>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rsidR="00ED5BA8" w:rsidRDefault="00B77757">
      <w:pPr>
        <w:adjustRightInd w:val="0"/>
        <w:snapToGrid w:val="0"/>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rsidR="00ED5BA8" w:rsidRDefault="00ED5BA8">
      <w:pPr>
        <w:adjustRightInd w:val="0"/>
        <w:snapToGrid w:val="0"/>
        <w:spacing w:line="360" w:lineRule="auto"/>
        <w:ind w:firstLineChars="200" w:firstLine="480"/>
        <w:rPr>
          <w:bCs/>
          <w:sz w:val="24"/>
          <w:szCs w:val="24"/>
        </w:rPr>
      </w:pPr>
    </w:p>
    <w:p w:rsidR="00ED5BA8" w:rsidRDefault="00B77757">
      <w:pPr>
        <w:adjustRightInd w:val="0"/>
        <w:snapToGrid w:val="0"/>
        <w:spacing w:line="360" w:lineRule="auto"/>
        <w:ind w:firstLineChars="200" w:firstLine="480"/>
        <w:outlineLvl w:val="0"/>
        <w:rPr>
          <w:bCs/>
          <w:sz w:val="24"/>
          <w:szCs w:val="24"/>
        </w:rPr>
      </w:pPr>
      <w:r>
        <w:rPr>
          <w:rFonts w:hint="eastAsia"/>
          <w:bCs/>
          <w:sz w:val="24"/>
          <w:szCs w:val="24"/>
        </w:rPr>
        <w:t>二</w:t>
      </w:r>
      <w:r>
        <w:rPr>
          <w:bCs/>
          <w:sz w:val="24"/>
          <w:szCs w:val="24"/>
        </w:rPr>
        <w:t>、投资人可通过以下途径咨询有关详情：</w:t>
      </w:r>
    </w:p>
    <w:p w:rsidR="00ED5BA8" w:rsidRDefault="00B77757">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Pr>
          <w:rFonts w:hAnsi="宋体" w:hint="eastAsia"/>
          <w:sz w:val="24"/>
        </w:rPr>
        <w:t xml:space="preserve"> </w:t>
      </w:r>
      <w:r>
        <w:rPr>
          <w:rFonts w:hAnsi="宋体" w:hint="eastAsia"/>
          <w:sz w:val="24"/>
        </w:rPr>
        <w:t>蚂蚁（杭州）基金销售有限公司</w:t>
      </w:r>
    </w:p>
    <w:p w:rsidR="00ED5BA8" w:rsidRDefault="00B77757">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95188-8</w:t>
      </w:r>
    </w:p>
    <w:p w:rsidR="00ED5BA8" w:rsidRDefault="00B77757">
      <w:pPr>
        <w:adjustRightInd w:val="0"/>
        <w:snapToGrid w:val="0"/>
        <w:spacing w:line="360" w:lineRule="auto"/>
        <w:ind w:firstLineChars="200" w:firstLine="480"/>
        <w:rPr>
          <w:rFonts w:hAnsi="宋体"/>
          <w:sz w:val="24"/>
        </w:rPr>
      </w:pPr>
      <w:r>
        <w:rPr>
          <w:rFonts w:hAnsi="宋体" w:hint="eastAsia"/>
          <w:sz w:val="24"/>
        </w:rPr>
        <w:t>网址：</w:t>
      </w:r>
      <w:r>
        <w:rPr>
          <w:rFonts w:hAnsi="宋体" w:hint="eastAsia"/>
          <w:sz w:val="24"/>
        </w:rPr>
        <w:t>www.fund123.cn</w:t>
      </w:r>
    </w:p>
    <w:p w:rsidR="00ED5BA8" w:rsidRDefault="00B77757">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w:t>
      </w:r>
      <w:r>
        <w:rPr>
          <w:rFonts w:hAnsi="宋体" w:hint="eastAsia"/>
          <w:sz w:val="24"/>
        </w:rPr>
        <w:t>上海天天基金销售有限公司</w:t>
      </w:r>
      <w:r>
        <w:rPr>
          <w:rFonts w:hAnsi="宋体" w:hint="eastAsia"/>
          <w:sz w:val="24"/>
        </w:rPr>
        <w:t xml:space="preserve"> </w:t>
      </w:r>
    </w:p>
    <w:p w:rsidR="00ED5BA8" w:rsidRDefault="00B77757">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400-1818-188</w:t>
      </w:r>
    </w:p>
    <w:p w:rsidR="00ED5BA8" w:rsidRDefault="00B77757">
      <w:pPr>
        <w:adjustRightInd w:val="0"/>
        <w:snapToGrid w:val="0"/>
        <w:spacing w:line="360" w:lineRule="auto"/>
        <w:ind w:firstLineChars="200" w:firstLine="480"/>
        <w:rPr>
          <w:rFonts w:hAnsi="宋体"/>
          <w:sz w:val="24"/>
        </w:rPr>
      </w:pPr>
      <w:r>
        <w:rPr>
          <w:rFonts w:hAnsi="宋体" w:hint="eastAsia"/>
          <w:sz w:val="24"/>
        </w:rPr>
        <w:t>网址：</w:t>
      </w:r>
      <w:r>
        <w:rPr>
          <w:rFonts w:hAnsi="宋体" w:hint="eastAsia"/>
          <w:sz w:val="24"/>
        </w:rPr>
        <w:t>www.1234567.com.cn</w:t>
      </w:r>
    </w:p>
    <w:p w:rsidR="00ED5BA8" w:rsidRDefault="00B77757">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w:t>
      </w:r>
      <w:r>
        <w:rPr>
          <w:rFonts w:hAnsi="宋体" w:hint="eastAsia"/>
          <w:sz w:val="24"/>
        </w:rPr>
        <w:t>腾安基金销售（深圳）有限公司</w:t>
      </w:r>
    </w:p>
    <w:p w:rsidR="00ED5BA8" w:rsidRDefault="00B77757">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95017</w:t>
      </w:r>
      <w:r>
        <w:rPr>
          <w:rFonts w:hAnsi="宋体" w:hint="eastAsia"/>
          <w:sz w:val="24"/>
        </w:rPr>
        <w:t>（拨通后转</w:t>
      </w:r>
      <w:r>
        <w:rPr>
          <w:rFonts w:hAnsi="宋体" w:hint="eastAsia"/>
          <w:sz w:val="24"/>
        </w:rPr>
        <w:t>1</w:t>
      </w:r>
      <w:r>
        <w:rPr>
          <w:rFonts w:hAnsi="宋体" w:hint="eastAsia"/>
          <w:sz w:val="24"/>
        </w:rPr>
        <w:t>转</w:t>
      </w:r>
      <w:r>
        <w:rPr>
          <w:rFonts w:hAnsi="宋体" w:hint="eastAsia"/>
          <w:sz w:val="24"/>
        </w:rPr>
        <w:t>8</w:t>
      </w:r>
      <w:r>
        <w:rPr>
          <w:rFonts w:hAnsi="宋体" w:hint="eastAsia"/>
          <w:sz w:val="24"/>
        </w:rPr>
        <w:t>）</w:t>
      </w:r>
    </w:p>
    <w:p w:rsidR="00ED5BA8" w:rsidRDefault="00B77757">
      <w:pPr>
        <w:adjustRightInd w:val="0"/>
        <w:snapToGrid w:val="0"/>
        <w:spacing w:line="360" w:lineRule="auto"/>
        <w:ind w:firstLineChars="200" w:firstLine="480"/>
        <w:rPr>
          <w:rFonts w:hAnsi="宋体"/>
          <w:sz w:val="24"/>
        </w:rPr>
      </w:pPr>
      <w:r>
        <w:rPr>
          <w:rFonts w:hAnsi="宋体" w:hint="eastAsia"/>
          <w:sz w:val="24"/>
        </w:rPr>
        <w:t>网址：</w:t>
      </w:r>
      <w:r>
        <w:rPr>
          <w:rFonts w:hAnsi="宋体" w:hint="eastAsia"/>
          <w:sz w:val="24"/>
        </w:rPr>
        <w:t>http://www.tenganxinxi.com/</w:t>
      </w:r>
    </w:p>
    <w:p w:rsidR="00ED5BA8" w:rsidRDefault="00B77757">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4</w:t>
      </w:r>
      <w:r>
        <w:rPr>
          <w:rFonts w:hAnsi="宋体" w:hint="eastAsia"/>
          <w:sz w:val="24"/>
        </w:rPr>
        <w:t>）</w:t>
      </w:r>
      <w:r>
        <w:rPr>
          <w:rFonts w:hAnsi="宋体" w:hint="eastAsia"/>
          <w:sz w:val="24"/>
        </w:rPr>
        <w:t xml:space="preserve"> </w:t>
      </w:r>
      <w:r>
        <w:rPr>
          <w:rFonts w:hAnsi="宋体" w:hint="eastAsia"/>
          <w:sz w:val="24"/>
        </w:rPr>
        <w:t>京东肯特瑞基金销售有限公司</w:t>
      </w:r>
      <w:r>
        <w:rPr>
          <w:rFonts w:hAnsi="宋体" w:hint="eastAsia"/>
          <w:sz w:val="24"/>
        </w:rPr>
        <w:t xml:space="preserve"> </w:t>
      </w:r>
    </w:p>
    <w:p w:rsidR="00ED5BA8" w:rsidRDefault="00B77757">
      <w:pPr>
        <w:adjustRightInd w:val="0"/>
        <w:snapToGrid w:val="0"/>
        <w:spacing w:line="360" w:lineRule="auto"/>
        <w:ind w:firstLineChars="200" w:firstLine="480"/>
        <w:rPr>
          <w:rFonts w:hAnsi="宋体"/>
          <w:sz w:val="24"/>
        </w:rPr>
      </w:pPr>
      <w:r>
        <w:rPr>
          <w:rFonts w:hAnsi="宋体" w:hint="eastAsia"/>
          <w:sz w:val="24"/>
        </w:rPr>
        <w:t>客服热线：</w:t>
      </w:r>
      <w:r>
        <w:rPr>
          <w:rFonts w:hAnsi="宋体" w:hint="eastAsia"/>
          <w:sz w:val="24"/>
        </w:rPr>
        <w:t>95118</w:t>
      </w:r>
    </w:p>
    <w:p w:rsidR="00ED5BA8" w:rsidRDefault="00B77757">
      <w:pPr>
        <w:adjustRightInd w:val="0"/>
        <w:snapToGrid w:val="0"/>
        <w:spacing w:line="360" w:lineRule="auto"/>
        <w:ind w:firstLineChars="200" w:firstLine="480"/>
        <w:rPr>
          <w:rFonts w:asciiTheme="minorEastAsia" w:hAnsiTheme="minorEastAsia"/>
          <w:sz w:val="24"/>
          <w:szCs w:val="24"/>
        </w:rPr>
      </w:pPr>
      <w:r>
        <w:rPr>
          <w:rFonts w:hAnsi="宋体" w:hint="eastAsia"/>
          <w:sz w:val="24"/>
        </w:rPr>
        <w:t>网址：</w:t>
      </w:r>
      <w:r>
        <w:rPr>
          <w:rFonts w:hAnsi="宋体" w:hint="eastAsia"/>
          <w:sz w:val="24"/>
        </w:rPr>
        <w:t>kenterui.jd.com</w:t>
      </w:r>
    </w:p>
    <w:p w:rsidR="00ED5BA8" w:rsidRDefault="00ED5BA8">
      <w:pPr>
        <w:adjustRightInd w:val="0"/>
        <w:snapToGrid w:val="0"/>
        <w:spacing w:line="360" w:lineRule="auto"/>
        <w:ind w:firstLineChars="200" w:firstLine="480"/>
        <w:rPr>
          <w:bCs/>
          <w:sz w:val="24"/>
          <w:szCs w:val="24"/>
        </w:rPr>
      </w:pPr>
    </w:p>
    <w:p w:rsidR="00ED5BA8" w:rsidRDefault="00B77757">
      <w:pPr>
        <w:adjustRightInd w:val="0"/>
        <w:snapToGrid w:val="0"/>
        <w:spacing w:line="360" w:lineRule="auto"/>
        <w:ind w:firstLineChars="200" w:firstLine="480"/>
        <w:rPr>
          <w:bCs/>
          <w:sz w:val="24"/>
          <w:szCs w:val="24"/>
        </w:rPr>
      </w:pPr>
      <w:r>
        <w:rPr>
          <w:bCs/>
          <w:sz w:val="24"/>
          <w:szCs w:val="24"/>
        </w:rPr>
        <w:t>风险提示：</w:t>
      </w:r>
    </w:p>
    <w:p w:rsidR="00ED5BA8" w:rsidRDefault="00B77757">
      <w:pPr>
        <w:adjustRightInd w:val="0"/>
        <w:snapToGrid w:val="0"/>
        <w:spacing w:line="360" w:lineRule="auto"/>
        <w:ind w:firstLineChars="200" w:firstLine="480"/>
        <w:rPr>
          <w:bCs/>
          <w:sz w:val="24"/>
          <w:szCs w:val="24"/>
        </w:rPr>
      </w:pPr>
      <w:r>
        <w:rPr>
          <w:bCs/>
          <w:sz w:val="24"/>
          <w:szCs w:val="24"/>
        </w:rPr>
        <w:t>本基金管理人承诺以诚实信用、勤勉尽责的原则管理和运用基金财产，但不保证基金一定盈利，也不保证最低收益。基金的过往业绩并不代表其将来表现。</w:t>
      </w:r>
      <w:r>
        <w:rPr>
          <w:bCs/>
          <w:sz w:val="24"/>
          <w:szCs w:val="24"/>
        </w:rPr>
        <w:lastRenderedPageBreak/>
        <w:t>投资有风险，敬请投资人认真阅读基金的相关法律文件，并选择适合自身风险承受能力的投资品种进行投资。</w:t>
      </w:r>
      <w:r>
        <w:rPr>
          <w:bCs/>
          <w:sz w:val="24"/>
          <w:szCs w:val="24"/>
        </w:rPr>
        <w:br/>
      </w:r>
    </w:p>
    <w:p w:rsidR="00ED5BA8" w:rsidRDefault="00B77757">
      <w:pPr>
        <w:adjustRightInd w:val="0"/>
        <w:snapToGrid w:val="0"/>
        <w:spacing w:line="360" w:lineRule="auto"/>
        <w:ind w:firstLineChars="200" w:firstLine="480"/>
        <w:rPr>
          <w:bCs/>
          <w:sz w:val="24"/>
          <w:szCs w:val="24"/>
        </w:rPr>
      </w:pPr>
      <w:r>
        <w:rPr>
          <w:bCs/>
          <w:sz w:val="24"/>
          <w:szCs w:val="24"/>
        </w:rPr>
        <w:t>特此公告。</w:t>
      </w:r>
    </w:p>
    <w:p w:rsidR="00ED5BA8" w:rsidRDefault="00ED5BA8">
      <w:pPr>
        <w:adjustRightInd w:val="0"/>
        <w:snapToGrid w:val="0"/>
        <w:spacing w:line="360" w:lineRule="auto"/>
        <w:rPr>
          <w:bCs/>
          <w:sz w:val="24"/>
          <w:szCs w:val="24"/>
        </w:rPr>
      </w:pPr>
    </w:p>
    <w:p w:rsidR="00ED5BA8" w:rsidRDefault="00B77757">
      <w:pPr>
        <w:adjustRightInd w:val="0"/>
        <w:snapToGrid w:val="0"/>
        <w:spacing w:line="360" w:lineRule="auto"/>
        <w:ind w:firstLineChars="200" w:firstLine="480"/>
        <w:jc w:val="right"/>
        <w:rPr>
          <w:bCs/>
          <w:sz w:val="24"/>
          <w:szCs w:val="24"/>
        </w:rPr>
      </w:pPr>
      <w:r>
        <w:rPr>
          <w:bCs/>
          <w:sz w:val="24"/>
          <w:szCs w:val="24"/>
        </w:rPr>
        <w:t>交银施罗德基金管理有限公司</w:t>
      </w:r>
    </w:p>
    <w:p w:rsidR="00ED5BA8" w:rsidRDefault="00B77757">
      <w:pPr>
        <w:adjustRightInd w:val="0"/>
        <w:snapToGrid w:val="0"/>
        <w:spacing w:line="360" w:lineRule="auto"/>
        <w:ind w:firstLineChars="200" w:firstLine="480"/>
        <w:jc w:val="right"/>
        <w:rPr>
          <w:sz w:val="24"/>
        </w:rPr>
      </w:pPr>
      <w:r>
        <w:rPr>
          <w:bCs/>
          <w:sz w:val="24"/>
          <w:szCs w:val="24"/>
        </w:rPr>
        <w:t>二〇二</w:t>
      </w:r>
      <w:r>
        <w:rPr>
          <w:rFonts w:hint="eastAsia"/>
          <w:bCs/>
          <w:sz w:val="24"/>
          <w:szCs w:val="24"/>
        </w:rPr>
        <w:t>六</w:t>
      </w:r>
      <w:r>
        <w:rPr>
          <w:bCs/>
          <w:sz w:val="24"/>
          <w:szCs w:val="24"/>
        </w:rPr>
        <w:t>年</w:t>
      </w:r>
      <w:r>
        <w:rPr>
          <w:rFonts w:hint="eastAsia"/>
          <w:bCs/>
          <w:sz w:val="24"/>
          <w:szCs w:val="24"/>
        </w:rPr>
        <w:t>四</w:t>
      </w:r>
      <w:r>
        <w:rPr>
          <w:bCs/>
          <w:sz w:val="24"/>
          <w:szCs w:val="24"/>
        </w:rPr>
        <w:t>月</w:t>
      </w:r>
      <w:r>
        <w:rPr>
          <w:rFonts w:hint="eastAsia"/>
          <w:bCs/>
          <w:sz w:val="24"/>
          <w:szCs w:val="24"/>
        </w:rPr>
        <w:t>十</w:t>
      </w:r>
      <w:r>
        <w:rPr>
          <w:bCs/>
          <w:sz w:val="24"/>
          <w:szCs w:val="24"/>
        </w:rPr>
        <w:t>日</w:t>
      </w:r>
    </w:p>
    <w:sectPr w:rsidR="00ED5BA8" w:rsidSect="00ED5B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BA8" w:rsidRDefault="00ED5BA8" w:rsidP="00ED5BA8">
      <w:r>
        <w:separator/>
      </w:r>
    </w:p>
  </w:endnote>
  <w:endnote w:type="continuationSeparator" w:id="0">
    <w:p w:rsidR="00ED5BA8" w:rsidRDefault="00ED5BA8" w:rsidP="00ED5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A8" w:rsidRDefault="00ED5BA8">
    <w:pPr>
      <w:pStyle w:val="ac"/>
      <w:jc w:val="center"/>
    </w:pPr>
    <w:r>
      <w:fldChar w:fldCharType="begin"/>
    </w:r>
    <w:r w:rsidR="00B77757">
      <w:instrText xml:space="preserve"> PAGE   \* MERGEFORMAT </w:instrText>
    </w:r>
    <w:r>
      <w:fldChar w:fldCharType="separate"/>
    </w:r>
    <w:r w:rsidR="00B77757" w:rsidRPr="00B77757">
      <w:rPr>
        <w:noProof/>
        <w:lang w:val="zh-CN"/>
      </w:rPr>
      <w:t>1</w:t>
    </w:r>
    <w:r>
      <w:fldChar w:fldCharType="end"/>
    </w:r>
  </w:p>
  <w:p w:rsidR="00ED5BA8" w:rsidRDefault="00ED5BA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BA8" w:rsidRDefault="00ED5BA8" w:rsidP="00ED5BA8">
      <w:r>
        <w:separator/>
      </w:r>
    </w:p>
  </w:footnote>
  <w:footnote w:type="continuationSeparator" w:id="0">
    <w:p w:rsidR="00ED5BA8" w:rsidRDefault="00ED5BA8" w:rsidP="00ED5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A8" w:rsidRDefault="00B77757">
    <w:pPr>
      <w:pStyle w:val="ad"/>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ED5BA8" w:rsidRDefault="00ED5BA8">
    <w:pPr>
      <w:pStyle w:val="ad"/>
      <w:pBdr>
        <w:bottom w:val="none" w:sz="0" w:space="0" w:color="auto"/>
      </w:pBdr>
      <w:tabs>
        <w:tab w:val="right" w:pos="8280"/>
      </w:tabs>
      <w:jc w:val="right"/>
      <w:rPr>
        <w:rFonts w:ascii="宋体"/>
      </w:rPr>
    </w:pPr>
    <w:r w:rsidRPr="00ED5BA8">
      <w:pict>
        <v:line id="Line 2" o:spid="_x0000_s1026" style="position:absolute;left:0;text-align:left;z-index:251660288;mso-width-relative:page;mso-height-relative:page" from="0,15.15pt" to="414pt,15.15pt"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757"/>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5BA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8C34F8A"/>
    <w:rsid w:val="1FCF5B93"/>
    <w:rsid w:val="20F118B7"/>
    <w:rsid w:val="271E1753"/>
    <w:rsid w:val="3E20566B"/>
    <w:rsid w:val="4DCF53C1"/>
    <w:rsid w:val="4E2F3158"/>
    <w:rsid w:val="54AA2998"/>
    <w:rsid w:val="566249E3"/>
    <w:rsid w:val="5BEA08B3"/>
    <w:rsid w:val="5DB62D7A"/>
    <w:rsid w:val="6B2549B1"/>
    <w:rsid w:val="75A510E0"/>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qFormat="1"/>
    <w:lsdException w:name="annotation text" w:qFormat="1"/>
    <w:lsdException w:name="header" w:semiHidden="0" w:qFormat="1"/>
    <w:lsdException w:name="footer" w:semiHidden="0" w:qFormat="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semiHidden="0" w:qFormat="1"/>
    <w:lsdException w:name="Body Text First Indent" w:semiHidden="0" w:qFormat="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semiHidden="0" w:qFormat="1"/>
    <w:lsdException w:name="Hyperlink" w:semiHidden="0" w:qFormat="1"/>
    <w:lsdException w:name="FollowedHyperlink" w:semiHidden="0" w:qFormat="1"/>
    <w:lsdException w:name="Strong" w:semiHidden="0" w:qFormat="1"/>
    <w:lsdException w:name="Emphasis" w:locked="1" w:semiHidden="0" w:uiPriority="0" w:qFormat="1"/>
    <w:lsdException w:name="Document Map" w:unhideWhenUsed="1" w:qFormat="1"/>
    <w:lsdException w:name="Plain Text" w:semiHidden="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D5BA8"/>
    <w:pPr>
      <w:widowControl w:val="0"/>
      <w:jc w:val="both"/>
    </w:pPr>
    <w:rPr>
      <w:kern w:val="2"/>
      <w:sz w:val="21"/>
      <w:szCs w:val="21"/>
    </w:rPr>
  </w:style>
  <w:style w:type="paragraph" w:styleId="1">
    <w:name w:val="heading 1"/>
    <w:basedOn w:val="a"/>
    <w:next w:val="a"/>
    <w:link w:val="1Char"/>
    <w:uiPriority w:val="99"/>
    <w:qFormat/>
    <w:rsid w:val="00ED5BA8"/>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uiPriority w:val="99"/>
    <w:qFormat/>
    <w:rsid w:val="00ED5BA8"/>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uiPriority w:val="99"/>
    <w:qFormat/>
    <w:rsid w:val="00ED5BA8"/>
    <w:pPr>
      <w:keepNext/>
      <w:keepLines/>
      <w:spacing w:line="360" w:lineRule="auto"/>
      <w:outlineLvl w:val="2"/>
    </w:pPr>
    <w:rPr>
      <w:b/>
      <w:bCs/>
      <w:sz w:val="24"/>
      <w:szCs w:val="24"/>
    </w:rPr>
  </w:style>
  <w:style w:type="paragraph" w:styleId="4">
    <w:name w:val="heading 4"/>
    <w:basedOn w:val="a"/>
    <w:next w:val="a0"/>
    <w:link w:val="4Char"/>
    <w:uiPriority w:val="99"/>
    <w:qFormat/>
    <w:rsid w:val="00ED5BA8"/>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ED5BA8"/>
    <w:pPr>
      <w:snapToGrid w:val="0"/>
      <w:spacing w:after="0" w:line="360" w:lineRule="auto"/>
      <w:outlineLvl w:val="4"/>
    </w:pPr>
    <w:rPr>
      <w:rFonts w:eastAsia="楷体_GB2312"/>
      <w:sz w:val="24"/>
      <w:szCs w:val="24"/>
    </w:rPr>
  </w:style>
  <w:style w:type="paragraph" w:styleId="6">
    <w:name w:val="heading 6"/>
    <w:basedOn w:val="a"/>
    <w:next w:val="a1"/>
    <w:link w:val="6Char"/>
    <w:uiPriority w:val="99"/>
    <w:qFormat/>
    <w:rsid w:val="00ED5BA8"/>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rsid w:val="00ED5BA8"/>
    <w:pPr>
      <w:spacing w:line="360" w:lineRule="auto"/>
      <w:ind w:firstLine="420"/>
    </w:pPr>
    <w:rPr>
      <w:sz w:val="24"/>
      <w:szCs w:val="24"/>
    </w:rPr>
  </w:style>
  <w:style w:type="paragraph" w:styleId="a1">
    <w:name w:val="Body Text"/>
    <w:basedOn w:val="a"/>
    <w:link w:val="Char"/>
    <w:uiPriority w:val="99"/>
    <w:qFormat/>
    <w:rsid w:val="00ED5BA8"/>
    <w:pPr>
      <w:spacing w:after="120"/>
    </w:pPr>
  </w:style>
  <w:style w:type="paragraph" w:styleId="7">
    <w:name w:val="toc 7"/>
    <w:basedOn w:val="a"/>
    <w:next w:val="a"/>
    <w:uiPriority w:val="99"/>
    <w:semiHidden/>
    <w:qFormat/>
    <w:rsid w:val="00ED5BA8"/>
    <w:pPr>
      <w:ind w:left="1260"/>
      <w:jc w:val="left"/>
    </w:pPr>
  </w:style>
  <w:style w:type="paragraph" w:styleId="a5">
    <w:name w:val="Document Map"/>
    <w:basedOn w:val="a"/>
    <w:link w:val="Char0"/>
    <w:uiPriority w:val="99"/>
    <w:semiHidden/>
    <w:unhideWhenUsed/>
    <w:qFormat/>
    <w:rsid w:val="00ED5BA8"/>
    <w:rPr>
      <w:rFonts w:ascii="宋体"/>
      <w:sz w:val="18"/>
      <w:szCs w:val="18"/>
    </w:rPr>
  </w:style>
  <w:style w:type="paragraph" w:styleId="a6">
    <w:name w:val="annotation text"/>
    <w:basedOn w:val="a"/>
    <w:link w:val="Char1"/>
    <w:uiPriority w:val="99"/>
    <w:semiHidden/>
    <w:qFormat/>
    <w:rsid w:val="00ED5BA8"/>
    <w:pPr>
      <w:jc w:val="left"/>
    </w:pPr>
  </w:style>
  <w:style w:type="paragraph" w:styleId="a7">
    <w:name w:val="Body Text Indent"/>
    <w:basedOn w:val="a"/>
    <w:link w:val="Char2"/>
    <w:uiPriority w:val="99"/>
    <w:qFormat/>
    <w:rsid w:val="00ED5BA8"/>
    <w:pPr>
      <w:spacing w:before="50" w:after="50" w:line="360" w:lineRule="auto"/>
      <w:ind w:leftChars="600" w:left="1260" w:firstLineChars="175" w:firstLine="420"/>
    </w:pPr>
    <w:rPr>
      <w:rFonts w:ascii="宋体" w:hAnsi="宋体" w:cs="宋体"/>
      <w:sz w:val="24"/>
      <w:szCs w:val="24"/>
    </w:rPr>
  </w:style>
  <w:style w:type="paragraph" w:styleId="a8">
    <w:name w:val="Block Text"/>
    <w:basedOn w:val="a"/>
    <w:uiPriority w:val="99"/>
    <w:qFormat/>
    <w:rsid w:val="00ED5BA8"/>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0">
    <w:name w:val="toc 5"/>
    <w:basedOn w:val="a"/>
    <w:next w:val="a"/>
    <w:uiPriority w:val="99"/>
    <w:semiHidden/>
    <w:qFormat/>
    <w:rsid w:val="00ED5BA8"/>
    <w:pPr>
      <w:ind w:left="840"/>
      <w:jc w:val="left"/>
    </w:pPr>
  </w:style>
  <w:style w:type="paragraph" w:styleId="30">
    <w:name w:val="toc 3"/>
    <w:basedOn w:val="a"/>
    <w:next w:val="a"/>
    <w:uiPriority w:val="99"/>
    <w:semiHidden/>
    <w:qFormat/>
    <w:rsid w:val="00ED5BA8"/>
    <w:pPr>
      <w:ind w:left="420"/>
      <w:jc w:val="left"/>
    </w:pPr>
    <w:rPr>
      <w:i/>
      <w:iCs/>
    </w:rPr>
  </w:style>
  <w:style w:type="paragraph" w:styleId="a9">
    <w:name w:val="Plain Text"/>
    <w:basedOn w:val="a"/>
    <w:link w:val="Char3"/>
    <w:uiPriority w:val="99"/>
    <w:qFormat/>
    <w:rsid w:val="00ED5BA8"/>
    <w:rPr>
      <w:rFonts w:ascii="宋体" w:hAnsi="Courier New" w:cs="宋体"/>
      <w:sz w:val="16"/>
      <w:szCs w:val="16"/>
    </w:rPr>
  </w:style>
  <w:style w:type="paragraph" w:styleId="8">
    <w:name w:val="toc 8"/>
    <w:basedOn w:val="a"/>
    <w:next w:val="a"/>
    <w:uiPriority w:val="99"/>
    <w:semiHidden/>
    <w:qFormat/>
    <w:rsid w:val="00ED5BA8"/>
    <w:pPr>
      <w:ind w:left="1470"/>
      <w:jc w:val="left"/>
    </w:pPr>
  </w:style>
  <w:style w:type="paragraph" w:styleId="aa">
    <w:name w:val="Date"/>
    <w:basedOn w:val="a"/>
    <w:next w:val="a"/>
    <w:link w:val="Char4"/>
    <w:uiPriority w:val="99"/>
    <w:qFormat/>
    <w:rsid w:val="00ED5BA8"/>
    <w:pPr>
      <w:ind w:leftChars="2500" w:left="100"/>
    </w:pPr>
  </w:style>
  <w:style w:type="paragraph" w:styleId="20">
    <w:name w:val="Body Text Indent 2"/>
    <w:basedOn w:val="a"/>
    <w:link w:val="2Char0"/>
    <w:uiPriority w:val="99"/>
    <w:qFormat/>
    <w:rsid w:val="00ED5BA8"/>
    <w:pPr>
      <w:spacing w:before="50" w:after="50" w:line="360" w:lineRule="auto"/>
      <w:ind w:firstLine="420"/>
    </w:pPr>
    <w:rPr>
      <w:rFonts w:ascii="宋体" w:hAnsi="宋体" w:cs="宋体"/>
      <w:color w:val="0000FF"/>
      <w:sz w:val="24"/>
      <w:szCs w:val="24"/>
    </w:rPr>
  </w:style>
  <w:style w:type="paragraph" w:styleId="ab">
    <w:name w:val="Balloon Text"/>
    <w:basedOn w:val="a"/>
    <w:link w:val="Char5"/>
    <w:uiPriority w:val="99"/>
    <w:semiHidden/>
    <w:qFormat/>
    <w:rsid w:val="00ED5BA8"/>
    <w:rPr>
      <w:sz w:val="18"/>
      <w:szCs w:val="18"/>
    </w:rPr>
  </w:style>
  <w:style w:type="paragraph" w:styleId="ac">
    <w:name w:val="footer"/>
    <w:basedOn w:val="a"/>
    <w:link w:val="Char6"/>
    <w:uiPriority w:val="99"/>
    <w:qFormat/>
    <w:rsid w:val="00ED5BA8"/>
    <w:pPr>
      <w:tabs>
        <w:tab w:val="center" w:pos="4153"/>
        <w:tab w:val="right" w:pos="8306"/>
      </w:tabs>
      <w:snapToGrid w:val="0"/>
      <w:jc w:val="left"/>
    </w:pPr>
    <w:rPr>
      <w:sz w:val="18"/>
      <w:szCs w:val="18"/>
    </w:rPr>
  </w:style>
  <w:style w:type="paragraph" w:styleId="ad">
    <w:name w:val="header"/>
    <w:basedOn w:val="a"/>
    <w:link w:val="Char7"/>
    <w:uiPriority w:val="99"/>
    <w:qFormat/>
    <w:rsid w:val="00ED5BA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ED5BA8"/>
    <w:pPr>
      <w:tabs>
        <w:tab w:val="right" w:leader="dot" w:pos="8296"/>
      </w:tabs>
      <w:spacing w:before="120" w:after="120"/>
      <w:jc w:val="left"/>
    </w:pPr>
    <w:rPr>
      <w:rFonts w:eastAsia="黑体"/>
      <w:b/>
      <w:bCs/>
      <w:caps/>
      <w:sz w:val="32"/>
      <w:szCs w:val="32"/>
    </w:rPr>
  </w:style>
  <w:style w:type="paragraph" w:styleId="40">
    <w:name w:val="toc 4"/>
    <w:basedOn w:val="a"/>
    <w:next w:val="a"/>
    <w:uiPriority w:val="99"/>
    <w:semiHidden/>
    <w:qFormat/>
    <w:rsid w:val="00ED5BA8"/>
    <w:pPr>
      <w:ind w:left="630"/>
      <w:jc w:val="left"/>
    </w:pPr>
  </w:style>
  <w:style w:type="paragraph" w:styleId="ae">
    <w:name w:val="footnote text"/>
    <w:basedOn w:val="a"/>
    <w:link w:val="Char8"/>
    <w:uiPriority w:val="99"/>
    <w:semiHidden/>
    <w:qFormat/>
    <w:rsid w:val="00ED5BA8"/>
    <w:pPr>
      <w:snapToGrid w:val="0"/>
      <w:jc w:val="left"/>
    </w:pPr>
    <w:rPr>
      <w:sz w:val="18"/>
      <w:szCs w:val="18"/>
    </w:rPr>
  </w:style>
  <w:style w:type="paragraph" w:styleId="60">
    <w:name w:val="toc 6"/>
    <w:basedOn w:val="a"/>
    <w:next w:val="a"/>
    <w:uiPriority w:val="99"/>
    <w:semiHidden/>
    <w:qFormat/>
    <w:rsid w:val="00ED5BA8"/>
    <w:pPr>
      <w:ind w:left="1050"/>
      <w:jc w:val="left"/>
    </w:pPr>
  </w:style>
  <w:style w:type="paragraph" w:styleId="31">
    <w:name w:val="Body Text Indent 3"/>
    <w:basedOn w:val="a"/>
    <w:link w:val="3Char0"/>
    <w:uiPriority w:val="99"/>
    <w:qFormat/>
    <w:rsid w:val="00ED5BA8"/>
    <w:pPr>
      <w:spacing w:before="50" w:after="50" w:line="360" w:lineRule="auto"/>
      <w:ind w:leftChars="600" w:left="1260" w:firstLineChars="200" w:firstLine="480"/>
    </w:pPr>
    <w:rPr>
      <w:rFonts w:ascii="宋体" w:hAnsi="宋体" w:cs="宋体"/>
      <w:sz w:val="24"/>
      <w:szCs w:val="24"/>
    </w:rPr>
  </w:style>
  <w:style w:type="paragraph" w:styleId="21">
    <w:name w:val="toc 2"/>
    <w:basedOn w:val="a"/>
    <w:next w:val="a"/>
    <w:uiPriority w:val="99"/>
    <w:semiHidden/>
    <w:qFormat/>
    <w:rsid w:val="00ED5BA8"/>
    <w:pPr>
      <w:ind w:left="210"/>
      <w:jc w:val="left"/>
    </w:pPr>
    <w:rPr>
      <w:smallCaps/>
    </w:rPr>
  </w:style>
  <w:style w:type="paragraph" w:styleId="9">
    <w:name w:val="toc 9"/>
    <w:basedOn w:val="a"/>
    <w:next w:val="a"/>
    <w:uiPriority w:val="99"/>
    <w:semiHidden/>
    <w:qFormat/>
    <w:rsid w:val="00ED5BA8"/>
    <w:pPr>
      <w:ind w:left="1680"/>
      <w:jc w:val="left"/>
    </w:pPr>
  </w:style>
  <w:style w:type="paragraph" w:styleId="af">
    <w:name w:val="Normal (Web)"/>
    <w:basedOn w:val="a"/>
    <w:uiPriority w:val="99"/>
    <w:qFormat/>
    <w:rsid w:val="00ED5BA8"/>
    <w:pPr>
      <w:widowControl/>
      <w:spacing w:before="100" w:beforeAutospacing="1" w:after="100" w:afterAutospacing="1"/>
      <w:jc w:val="left"/>
    </w:pPr>
    <w:rPr>
      <w:rFonts w:ascii="宋体" w:hAnsi="宋体" w:cs="宋体"/>
      <w:kern w:val="0"/>
      <w:sz w:val="24"/>
      <w:szCs w:val="24"/>
    </w:rPr>
  </w:style>
  <w:style w:type="paragraph" w:styleId="af0">
    <w:name w:val="annotation subject"/>
    <w:basedOn w:val="a6"/>
    <w:next w:val="a6"/>
    <w:link w:val="Char9"/>
    <w:uiPriority w:val="99"/>
    <w:semiHidden/>
    <w:qFormat/>
    <w:rsid w:val="00ED5BA8"/>
    <w:rPr>
      <w:b/>
      <w:bCs/>
    </w:rPr>
  </w:style>
  <w:style w:type="paragraph" w:styleId="af1">
    <w:name w:val="Body Text First Indent"/>
    <w:basedOn w:val="a1"/>
    <w:link w:val="Chara"/>
    <w:uiPriority w:val="99"/>
    <w:qFormat/>
    <w:rsid w:val="00ED5BA8"/>
    <w:pPr>
      <w:spacing w:line="300" w:lineRule="auto"/>
      <w:ind w:firstLineChars="150" w:firstLine="425"/>
    </w:pPr>
  </w:style>
  <w:style w:type="table" w:styleId="af2">
    <w:name w:val="Table Grid"/>
    <w:basedOn w:val="a3"/>
    <w:uiPriority w:val="59"/>
    <w:qFormat/>
    <w:rsid w:val="00ED5B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ED5BA8"/>
    <w:rPr>
      <w:b/>
      <w:bCs/>
    </w:rPr>
  </w:style>
  <w:style w:type="character" w:styleId="af4">
    <w:name w:val="page number"/>
    <w:basedOn w:val="a2"/>
    <w:uiPriority w:val="99"/>
    <w:qFormat/>
    <w:rsid w:val="00ED5BA8"/>
  </w:style>
  <w:style w:type="character" w:styleId="af5">
    <w:name w:val="FollowedHyperlink"/>
    <w:uiPriority w:val="99"/>
    <w:qFormat/>
    <w:rsid w:val="00ED5BA8"/>
    <w:rPr>
      <w:color w:val="800080"/>
      <w:u w:val="single"/>
    </w:rPr>
  </w:style>
  <w:style w:type="character" w:styleId="af6">
    <w:name w:val="Hyperlink"/>
    <w:uiPriority w:val="99"/>
    <w:qFormat/>
    <w:rsid w:val="00ED5BA8"/>
    <w:rPr>
      <w:color w:val="0000FF"/>
      <w:u w:val="single"/>
    </w:rPr>
  </w:style>
  <w:style w:type="character" w:styleId="af7">
    <w:name w:val="annotation reference"/>
    <w:uiPriority w:val="99"/>
    <w:semiHidden/>
    <w:qFormat/>
    <w:rsid w:val="00ED5BA8"/>
    <w:rPr>
      <w:sz w:val="21"/>
      <w:szCs w:val="21"/>
    </w:rPr>
  </w:style>
  <w:style w:type="character" w:styleId="af8">
    <w:name w:val="footnote reference"/>
    <w:uiPriority w:val="99"/>
    <w:semiHidden/>
    <w:qFormat/>
    <w:rsid w:val="00ED5BA8"/>
    <w:rPr>
      <w:vertAlign w:val="superscript"/>
    </w:rPr>
  </w:style>
  <w:style w:type="character" w:customStyle="1" w:styleId="1Char">
    <w:name w:val="标题 1 Char"/>
    <w:link w:val="1"/>
    <w:uiPriority w:val="9"/>
    <w:qFormat/>
    <w:rsid w:val="00ED5BA8"/>
    <w:rPr>
      <w:b/>
      <w:bCs/>
      <w:kern w:val="44"/>
      <w:sz w:val="44"/>
      <w:szCs w:val="44"/>
    </w:rPr>
  </w:style>
  <w:style w:type="character" w:customStyle="1" w:styleId="2Char">
    <w:name w:val="标题 2 Char"/>
    <w:link w:val="2"/>
    <w:uiPriority w:val="9"/>
    <w:semiHidden/>
    <w:qFormat/>
    <w:rsid w:val="00ED5BA8"/>
    <w:rPr>
      <w:rFonts w:ascii="Cambria" w:eastAsia="宋体" w:hAnsi="Cambria" w:cs="Times New Roman"/>
      <w:b/>
      <w:bCs/>
      <w:sz w:val="32"/>
      <w:szCs w:val="32"/>
    </w:rPr>
  </w:style>
  <w:style w:type="character" w:customStyle="1" w:styleId="3Char">
    <w:name w:val="标题 3 Char"/>
    <w:link w:val="3"/>
    <w:uiPriority w:val="9"/>
    <w:semiHidden/>
    <w:qFormat/>
    <w:rsid w:val="00ED5BA8"/>
    <w:rPr>
      <w:b/>
      <w:bCs/>
      <w:sz w:val="32"/>
      <w:szCs w:val="32"/>
    </w:rPr>
  </w:style>
  <w:style w:type="character" w:customStyle="1" w:styleId="4Char">
    <w:name w:val="标题 4 Char"/>
    <w:link w:val="4"/>
    <w:uiPriority w:val="99"/>
    <w:qFormat/>
    <w:locked/>
    <w:rsid w:val="00ED5BA8"/>
    <w:rPr>
      <w:rFonts w:ascii="Arial" w:eastAsia="黑体" w:hAnsi="Arial" w:cs="Arial"/>
      <w:b/>
      <w:bCs/>
      <w:kern w:val="2"/>
      <w:sz w:val="24"/>
      <w:szCs w:val="24"/>
    </w:rPr>
  </w:style>
  <w:style w:type="character" w:customStyle="1" w:styleId="5Char">
    <w:name w:val="标题 5 Char"/>
    <w:link w:val="5"/>
    <w:uiPriority w:val="9"/>
    <w:semiHidden/>
    <w:qFormat/>
    <w:rsid w:val="00ED5BA8"/>
    <w:rPr>
      <w:b/>
      <w:bCs/>
      <w:sz w:val="28"/>
      <w:szCs w:val="28"/>
    </w:rPr>
  </w:style>
  <w:style w:type="character" w:customStyle="1" w:styleId="6Char">
    <w:name w:val="标题 6 Char"/>
    <w:link w:val="6"/>
    <w:uiPriority w:val="9"/>
    <w:semiHidden/>
    <w:qFormat/>
    <w:rsid w:val="00ED5BA8"/>
    <w:rPr>
      <w:rFonts w:ascii="Cambria" w:eastAsia="宋体" w:hAnsi="Cambria" w:cs="Times New Roman"/>
      <w:b/>
      <w:bCs/>
      <w:sz w:val="24"/>
      <w:szCs w:val="24"/>
    </w:rPr>
  </w:style>
  <w:style w:type="character" w:customStyle="1" w:styleId="Char">
    <w:name w:val="正文文本 Char"/>
    <w:link w:val="a1"/>
    <w:uiPriority w:val="99"/>
    <w:semiHidden/>
    <w:qFormat/>
    <w:rsid w:val="00ED5BA8"/>
    <w:rPr>
      <w:szCs w:val="21"/>
    </w:rPr>
  </w:style>
  <w:style w:type="paragraph" w:customStyle="1" w:styleId="ccidsiTemplate">
    <w:name w:val="ccidsiTemplate"/>
    <w:basedOn w:val="a"/>
    <w:uiPriority w:val="99"/>
    <w:qFormat/>
    <w:rsid w:val="00ED5BA8"/>
    <w:pPr>
      <w:spacing w:line="360" w:lineRule="auto"/>
    </w:pPr>
    <w:rPr>
      <w:sz w:val="24"/>
      <w:szCs w:val="24"/>
    </w:rPr>
  </w:style>
  <w:style w:type="character" w:customStyle="1" w:styleId="big1">
    <w:name w:val="big1"/>
    <w:uiPriority w:val="99"/>
    <w:qFormat/>
    <w:rsid w:val="00ED5BA8"/>
    <w:rPr>
      <w:spacing w:val="360"/>
      <w:sz w:val="22"/>
      <w:szCs w:val="22"/>
    </w:rPr>
  </w:style>
  <w:style w:type="character" w:customStyle="1" w:styleId="2Char0">
    <w:name w:val="正文文本缩进 2 Char"/>
    <w:link w:val="20"/>
    <w:uiPriority w:val="99"/>
    <w:semiHidden/>
    <w:qFormat/>
    <w:rsid w:val="00ED5BA8"/>
    <w:rPr>
      <w:szCs w:val="21"/>
    </w:rPr>
  </w:style>
  <w:style w:type="character" w:customStyle="1" w:styleId="Char7">
    <w:name w:val="页眉 Char"/>
    <w:link w:val="ad"/>
    <w:uiPriority w:val="99"/>
    <w:qFormat/>
    <w:rsid w:val="00ED5BA8"/>
    <w:rPr>
      <w:kern w:val="2"/>
      <w:sz w:val="18"/>
      <w:szCs w:val="18"/>
    </w:rPr>
  </w:style>
  <w:style w:type="character" w:customStyle="1" w:styleId="Char6">
    <w:name w:val="页脚 Char"/>
    <w:link w:val="ac"/>
    <w:uiPriority w:val="99"/>
    <w:qFormat/>
    <w:locked/>
    <w:rsid w:val="00ED5BA8"/>
    <w:rPr>
      <w:kern w:val="2"/>
      <w:sz w:val="18"/>
      <w:szCs w:val="18"/>
    </w:rPr>
  </w:style>
  <w:style w:type="character" w:customStyle="1" w:styleId="Char3">
    <w:name w:val="纯文本 Char"/>
    <w:link w:val="a9"/>
    <w:uiPriority w:val="99"/>
    <w:qFormat/>
    <w:locked/>
    <w:rsid w:val="00ED5BA8"/>
    <w:rPr>
      <w:rFonts w:ascii="宋体" w:hAnsi="Courier New" w:cs="宋体"/>
      <w:kern w:val="2"/>
      <w:sz w:val="16"/>
      <w:szCs w:val="16"/>
    </w:rPr>
  </w:style>
  <w:style w:type="character" w:customStyle="1" w:styleId="Char8">
    <w:name w:val="脚注文本 Char"/>
    <w:link w:val="ae"/>
    <w:uiPriority w:val="99"/>
    <w:semiHidden/>
    <w:qFormat/>
    <w:locked/>
    <w:rsid w:val="00ED5BA8"/>
    <w:rPr>
      <w:kern w:val="2"/>
      <w:sz w:val="18"/>
      <w:szCs w:val="18"/>
    </w:rPr>
  </w:style>
  <w:style w:type="character" w:customStyle="1" w:styleId="Chara">
    <w:name w:val="正文首行缩进 Char"/>
    <w:link w:val="af1"/>
    <w:uiPriority w:val="99"/>
    <w:semiHidden/>
    <w:qFormat/>
    <w:rsid w:val="00ED5BA8"/>
    <w:rPr>
      <w:szCs w:val="21"/>
    </w:rPr>
  </w:style>
  <w:style w:type="character" w:customStyle="1" w:styleId="Char2">
    <w:name w:val="正文文本缩进 Char"/>
    <w:link w:val="a7"/>
    <w:uiPriority w:val="99"/>
    <w:semiHidden/>
    <w:qFormat/>
    <w:rsid w:val="00ED5BA8"/>
    <w:rPr>
      <w:szCs w:val="21"/>
    </w:rPr>
  </w:style>
  <w:style w:type="character" w:customStyle="1" w:styleId="3Char0">
    <w:name w:val="正文文本缩进 3 Char"/>
    <w:link w:val="31"/>
    <w:uiPriority w:val="99"/>
    <w:semiHidden/>
    <w:qFormat/>
    <w:rsid w:val="00ED5BA8"/>
    <w:rPr>
      <w:sz w:val="16"/>
      <w:szCs w:val="16"/>
    </w:rPr>
  </w:style>
  <w:style w:type="character" w:customStyle="1" w:styleId="Char5">
    <w:name w:val="批注框文本 Char"/>
    <w:link w:val="ab"/>
    <w:uiPriority w:val="99"/>
    <w:semiHidden/>
    <w:qFormat/>
    <w:rsid w:val="00ED5BA8"/>
    <w:rPr>
      <w:sz w:val="0"/>
      <w:szCs w:val="0"/>
    </w:rPr>
  </w:style>
  <w:style w:type="character" w:customStyle="1" w:styleId="ten51">
    <w:name w:val="ten51"/>
    <w:uiPriority w:val="99"/>
    <w:qFormat/>
    <w:rsid w:val="00ED5BA8"/>
    <w:rPr>
      <w:sz w:val="21"/>
      <w:szCs w:val="21"/>
    </w:rPr>
  </w:style>
  <w:style w:type="character" w:customStyle="1" w:styleId="Char1">
    <w:name w:val="批注文字 Char"/>
    <w:link w:val="a6"/>
    <w:uiPriority w:val="99"/>
    <w:qFormat/>
    <w:locked/>
    <w:rsid w:val="00ED5BA8"/>
    <w:rPr>
      <w:kern w:val="2"/>
      <w:sz w:val="24"/>
      <w:szCs w:val="24"/>
    </w:rPr>
  </w:style>
  <w:style w:type="character" w:customStyle="1" w:styleId="Char9">
    <w:name w:val="批注主题 Char"/>
    <w:link w:val="af0"/>
    <w:uiPriority w:val="99"/>
    <w:semiHidden/>
    <w:qFormat/>
    <w:rsid w:val="00ED5BA8"/>
    <w:rPr>
      <w:b/>
      <w:bCs/>
      <w:kern w:val="2"/>
      <w:sz w:val="24"/>
      <w:szCs w:val="21"/>
    </w:rPr>
  </w:style>
  <w:style w:type="character" w:customStyle="1" w:styleId="Char4">
    <w:name w:val="日期 Char"/>
    <w:link w:val="aa"/>
    <w:uiPriority w:val="99"/>
    <w:semiHidden/>
    <w:qFormat/>
    <w:rsid w:val="00ED5BA8"/>
    <w:rPr>
      <w:szCs w:val="21"/>
    </w:rPr>
  </w:style>
  <w:style w:type="paragraph" w:customStyle="1" w:styleId="CharCharCharCharCharCharCharCharChar1CharCharCharCharCharCharChar">
    <w:name w:val="Char Char Char Char Char Char Char Char Char1 Char Char Char Char Char Char Char"/>
    <w:basedOn w:val="a"/>
    <w:uiPriority w:val="99"/>
    <w:qFormat/>
    <w:rsid w:val="00ED5BA8"/>
    <w:pPr>
      <w:tabs>
        <w:tab w:val="left" w:pos="840"/>
      </w:tabs>
      <w:ind w:left="840" w:hanging="360"/>
    </w:pPr>
    <w:rPr>
      <w:sz w:val="24"/>
      <w:szCs w:val="24"/>
    </w:rPr>
  </w:style>
  <w:style w:type="paragraph" w:customStyle="1" w:styleId="CharCharCharCharCharCharChar">
    <w:name w:val="Char Char Char Char Char Char Char"/>
    <w:basedOn w:val="a"/>
    <w:uiPriority w:val="99"/>
    <w:qFormat/>
    <w:rsid w:val="00ED5BA8"/>
    <w:pPr>
      <w:tabs>
        <w:tab w:val="left" w:pos="840"/>
      </w:tabs>
      <w:ind w:left="840" w:hanging="360"/>
    </w:pPr>
    <w:rPr>
      <w:sz w:val="24"/>
      <w:szCs w:val="24"/>
    </w:rPr>
  </w:style>
  <w:style w:type="paragraph" w:customStyle="1" w:styleId="Charb">
    <w:name w:val="Char"/>
    <w:basedOn w:val="a"/>
    <w:uiPriority w:val="99"/>
    <w:qFormat/>
    <w:rsid w:val="00ED5BA8"/>
  </w:style>
  <w:style w:type="paragraph" w:customStyle="1" w:styleId="ParaChar">
    <w:name w:val="默认段落字体 Para Char"/>
    <w:basedOn w:val="a"/>
    <w:uiPriority w:val="99"/>
    <w:qFormat/>
    <w:rsid w:val="00ED5BA8"/>
    <w:pPr>
      <w:tabs>
        <w:tab w:val="left" w:pos="840"/>
      </w:tabs>
      <w:ind w:left="840" w:hanging="420"/>
    </w:pPr>
    <w:rPr>
      <w:sz w:val="24"/>
      <w:szCs w:val="24"/>
    </w:rPr>
  </w:style>
  <w:style w:type="paragraph" w:customStyle="1" w:styleId="CharCharCharChar1CharCharChar">
    <w:name w:val="Char Char Char Char1 Char Char Char"/>
    <w:basedOn w:val="a"/>
    <w:uiPriority w:val="99"/>
    <w:qFormat/>
    <w:rsid w:val="00ED5BA8"/>
  </w:style>
  <w:style w:type="paragraph" w:customStyle="1" w:styleId="CharCharCharCharChar">
    <w:name w:val="Char Char Char Char Char"/>
    <w:basedOn w:val="a"/>
    <w:uiPriority w:val="99"/>
    <w:qFormat/>
    <w:rsid w:val="00ED5BA8"/>
    <w:pPr>
      <w:tabs>
        <w:tab w:val="left" w:pos="840"/>
      </w:tabs>
      <w:ind w:left="840" w:hanging="360"/>
    </w:pPr>
    <w:rPr>
      <w:sz w:val="24"/>
      <w:szCs w:val="24"/>
    </w:rPr>
  </w:style>
  <w:style w:type="paragraph" w:customStyle="1" w:styleId="CharChar">
    <w:name w:val="Char Char"/>
    <w:basedOn w:val="a"/>
    <w:uiPriority w:val="99"/>
    <w:qFormat/>
    <w:rsid w:val="00ED5BA8"/>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rsid w:val="00ED5BA8"/>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rsid w:val="00ED5BA8"/>
    <w:pPr>
      <w:tabs>
        <w:tab w:val="left" w:pos="840"/>
      </w:tabs>
      <w:ind w:left="840" w:hanging="360"/>
    </w:pPr>
    <w:rPr>
      <w:sz w:val="24"/>
      <w:szCs w:val="24"/>
    </w:rPr>
  </w:style>
  <w:style w:type="paragraph" w:customStyle="1" w:styleId="1Char0">
    <w:name w:val="1 Char"/>
    <w:basedOn w:val="a"/>
    <w:uiPriority w:val="99"/>
    <w:semiHidden/>
    <w:qFormat/>
    <w:rsid w:val="00ED5BA8"/>
    <w:pPr>
      <w:tabs>
        <w:tab w:val="left" w:pos="360"/>
      </w:tabs>
    </w:pPr>
    <w:rPr>
      <w:sz w:val="24"/>
      <w:szCs w:val="24"/>
    </w:rPr>
  </w:style>
  <w:style w:type="paragraph" w:customStyle="1" w:styleId="CharCharChar">
    <w:name w:val="Char Char Char"/>
    <w:basedOn w:val="a"/>
    <w:uiPriority w:val="99"/>
    <w:qFormat/>
    <w:rsid w:val="00ED5BA8"/>
  </w:style>
  <w:style w:type="paragraph" w:customStyle="1" w:styleId="Char1CharCharCharCharCharChar">
    <w:name w:val="Char1 Char Char Char Char Char Char"/>
    <w:basedOn w:val="a"/>
    <w:uiPriority w:val="99"/>
    <w:qFormat/>
    <w:rsid w:val="00ED5BA8"/>
  </w:style>
  <w:style w:type="paragraph" w:customStyle="1" w:styleId="c">
    <w:name w:val="c_"/>
    <w:uiPriority w:val="99"/>
    <w:qFormat/>
    <w:rsid w:val="00ED5BA8"/>
    <w:pPr>
      <w:widowControl w:val="0"/>
      <w:autoSpaceDE w:val="0"/>
      <w:autoSpaceDN w:val="0"/>
      <w:adjustRightInd w:val="0"/>
      <w:jc w:val="both"/>
    </w:pPr>
    <w:rPr>
      <w:rFonts w:ascii="五" w:eastAsia="五" w:cs="五"/>
      <w:sz w:val="24"/>
      <w:szCs w:val="24"/>
    </w:rPr>
  </w:style>
  <w:style w:type="paragraph" w:customStyle="1" w:styleId="11">
    <w:name w:val="修订1"/>
    <w:hidden/>
    <w:uiPriority w:val="99"/>
    <w:semiHidden/>
    <w:qFormat/>
    <w:rsid w:val="00ED5BA8"/>
    <w:rPr>
      <w:kern w:val="2"/>
      <w:sz w:val="21"/>
      <w:szCs w:val="21"/>
    </w:rPr>
  </w:style>
  <w:style w:type="paragraph" w:styleId="af9">
    <w:name w:val="List Paragraph"/>
    <w:basedOn w:val="a"/>
    <w:uiPriority w:val="34"/>
    <w:qFormat/>
    <w:rsid w:val="00ED5BA8"/>
    <w:pPr>
      <w:ind w:firstLineChars="200" w:firstLine="420"/>
    </w:pPr>
  </w:style>
  <w:style w:type="character" w:customStyle="1" w:styleId="Char0">
    <w:name w:val="文档结构图 Char"/>
    <w:link w:val="a5"/>
    <w:uiPriority w:val="99"/>
    <w:semiHidden/>
    <w:qFormat/>
    <w:rsid w:val="00ED5BA8"/>
    <w:rPr>
      <w:rFonts w:ascii="宋体"/>
      <w:kern w:val="2"/>
      <w:sz w:val="18"/>
      <w:szCs w:val="18"/>
    </w:rPr>
  </w:style>
  <w:style w:type="character" w:customStyle="1" w:styleId="txtcontent11">
    <w:name w:val="txtcontent11"/>
    <w:qFormat/>
    <w:rsid w:val="00ED5BA8"/>
    <w:rPr>
      <w:rFonts w:ascii="Times New Roman" w:hAnsi="Times New Roman" w:cs="Times New Roman" w:hint="default"/>
      <w:color w:val="000000"/>
    </w:rPr>
  </w:style>
  <w:style w:type="paragraph" w:customStyle="1" w:styleId="22">
    <w:name w:val="修订2"/>
    <w:hidden/>
    <w:uiPriority w:val="99"/>
    <w:semiHidden/>
    <w:qFormat/>
    <w:rsid w:val="00ED5BA8"/>
    <w:rPr>
      <w:kern w:val="2"/>
      <w:sz w:val="21"/>
      <w:szCs w:val="21"/>
    </w:rPr>
  </w:style>
  <w:style w:type="paragraph" w:customStyle="1" w:styleId="32">
    <w:name w:val="修订3"/>
    <w:hidden/>
    <w:uiPriority w:val="99"/>
    <w:semiHidden/>
    <w:qFormat/>
    <w:rsid w:val="00ED5BA8"/>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6BE96-E7CC-4DDC-9067-6F4BACF1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1209</Characters>
  <Application>Microsoft Office Word</Application>
  <DocSecurity>4</DocSecurity>
  <Lines>10</Lines>
  <Paragraphs>2</Paragraphs>
  <ScaleCrop>false</ScaleCrop>
  <Company>jysld</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ZHONGM</cp:lastModifiedBy>
  <cp:revision>2</cp:revision>
  <cp:lastPrinted>2015-04-27T09:59:00Z</cp:lastPrinted>
  <dcterms:created xsi:type="dcterms:W3CDTF">2026-04-09T16:03:00Z</dcterms:created>
  <dcterms:modified xsi:type="dcterms:W3CDTF">2026-04-09T16:03:00Z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54E18BAECBD34E96AE39090292EC8D65_13</vt:lpwstr>
  </property>
</Properties>
</file>