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466" w:rsidRDefault="00263D61">
      <w:pPr>
        <w:pStyle w:val="a4"/>
        <w:spacing w:before="65" w:line="367" w:lineRule="auto"/>
        <w:ind w:right="128"/>
        <w:jc w:val="center"/>
        <w:rPr>
          <w:rFonts w:ascii="仿宋" w:eastAsia="仿宋" w:hAnsi="仿宋" w:cs="仿宋"/>
          <w:b/>
          <w:bCs/>
          <w:snapToGrid/>
          <w:spacing w:val="-8"/>
          <w:sz w:val="30"/>
          <w:szCs w:val="30"/>
          <w:lang w:val="zh-CN" w:eastAsia="zh-CN" w:bidi="zh-CN"/>
        </w:rPr>
      </w:pPr>
      <w:r>
        <w:rPr>
          <w:rFonts w:ascii="仿宋" w:eastAsia="仿宋" w:hAnsi="仿宋" w:cs="仿宋" w:hint="eastAsia"/>
          <w:b/>
          <w:bCs/>
          <w:snapToGrid/>
          <w:spacing w:val="-8"/>
          <w:sz w:val="30"/>
          <w:szCs w:val="30"/>
          <w:lang w:val="zh-CN" w:eastAsia="zh-CN" w:bidi="zh-CN"/>
        </w:rPr>
        <w:t>关于增加国投证券股份有限公司等十</w:t>
      </w:r>
      <w:r>
        <w:rPr>
          <w:rFonts w:ascii="仿宋" w:eastAsia="仿宋" w:hAnsi="仿宋" w:cs="仿宋" w:hint="eastAsia"/>
          <w:b/>
          <w:bCs/>
          <w:snapToGrid/>
          <w:spacing w:val="-8"/>
          <w:sz w:val="30"/>
          <w:szCs w:val="30"/>
          <w:lang w:eastAsia="zh-CN" w:bidi="zh-CN"/>
        </w:rPr>
        <w:t>六</w:t>
      </w:r>
      <w:r>
        <w:rPr>
          <w:rFonts w:ascii="仿宋" w:eastAsia="仿宋" w:hAnsi="仿宋" w:cs="仿宋" w:hint="eastAsia"/>
          <w:b/>
          <w:bCs/>
          <w:snapToGrid/>
          <w:spacing w:val="-8"/>
          <w:sz w:val="30"/>
          <w:szCs w:val="30"/>
          <w:lang w:val="zh-CN" w:eastAsia="zh-CN" w:bidi="zh-CN"/>
        </w:rPr>
        <w:t>家机构为东方和煦</w:t>
      </w:r>
      <w:r>
        <w:rPr>
          <w:rFonts w:ascii="仿宋" w:eastAsia="仿宋" w:hAnsi="仿宋" w:cs="仿宋" w:hint="eastAsia"/>
          <w:b/>
          <w:bCs/>
          <w:snapToGrid/>
          <w:spacing w:val="-8"/>
          <w:sz w:val="30"/>
          <w:szCs w:val="30"/>
          <w:lang w:val="zh-CN" w:eastAsia="zh-CN" w:bidi="zh-CN"/>
        </w:rPr>
        <w:t>30</w:t>
      </w:r>
      <w:r>
        <w:rPr>
          <w:rFonts w:ascii="仿宋" w:eastAsia="仿宋" w:hAnsi="仿宋" w:cs="仿宋" w:hint="eastAsia"/>
          <w:b/>
          <w:bCs/>
          <w:snapToGrid/>
          <w:spacing w:val="-8"/>
          <w:sz w:val="30"/>
          <w:szCs w:val="30"/>
          <w:lang w:val="zh-CN" w:eastAsia="zh-CN" w:bidi="zh-CN"/>
        </w:rPr>
        <w:t>天持有期债券型证券投资基金销售机构的公告</w:t>
      </w:r>
    </w:p>
    <w:p w:rsidR="00655466" w:rsidRDefault="00263D61">
      <w:pPr>
        <w:pStyle w:val="a4"/>
        <w:spacing w:before="65" w:line="367" w:lineRule="auto"/>
        <w:ind w:left="120" w:right="128" w:firstLine="422"/>
        <w:jc w:val="both"/>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经东方基金管理股份有限公司（以下简称“本公司”）与</w:t>
      </w:r>
      <w:r>
        <w:rPr>
          <w:rFonts w:ascii="仿宋" w:eastAsia="仿宋" w:hAnsi="仿宋" w:cs="仿宋" w:hint="eastAsia"/>
          <w:spacing w:val="10"/>
          <w:sz w:val="24"/>
          <w:szCs w:val="24"/>
          <w:lang w:val="zh-CN" w:eastAsia="zh-CN"/>
        </w:rPr>
        <w:t>国投证券股份有限公司</w:t>
      </w:r>
      <w:r>
        <w:rPr>
          <w:rFonts w:ascii="仿宋" w:eastAsia="仿宋" w:hAnsi="仿宋" w:cs="仿宋" w:hint="eastAsia"/>
          <w:spacing w:val="10"/>
          <w:sz w:val="24"/>
          <w:szCs w:val="24"/>
          <w:lang w:eastAsia="zh-CN"/>
        </w:rPr>
        <w:t>（以下简称“国投证券”）等十六家机构协商一致，自</w:t>
      </w:r>
      <w:bookmarkStart w:id="0" w:name="_GoBack"/>
      <w:bookmarkEnd w:id="0"/>
      <w:r>
        <w:rPr>
          <w:rFonts w:ascii="仿宋" w:eastAsia="仿宋" w:hAnsi="仿宋" w:cs="仿宋" w:hint="eastAsia"/>
          <w:spacing w:val="10"/>
          <w:sz w:val="24"/>
          <w:szCs w:val="24"/>
          <w:lang w:eastAsia="zh-CN"/>
        </w:rPr>
        <w:t>2026</w:t>
      </w:r>
      <w:r>
        <w:rPr>
          <w:rFonts w:ascii="仿宋" w:eastAsia="仿宋" w:hAnsi="仿宋" w:cs="仿宋" w:hint="eastAsia"/>
          <w:spacing w:val="10"/>
          <w:sz w:val="24"/>
          <w:szCs w:val="24"/>
          <w:lang w:eastAsia="zh-CN"/>
        </w:rPr>
        <w:t>年</w:t>
      </w:r>
      <w:r>
        <w:rPr>
          <w:rFonts w:ascii="仿宋" w:eastAsia="仿宋" w:hAnsi="仿宋" w:cs="仿宋" w:hint="eastAsia"/>
          <w:spacing w:val="10"/>
          <w:sz w:val="24"/>
          <w:szCs w:val="24"/>
          <w:lang w:eastAsia="zh-CN"/>
        </w:rPr>
        <w:t>4</w:t>
      </w:r>
      <w:r>
        <w:rPr>
          <w:rFonts w:ascii="仿宋" w:eastAsia="仿宋" w:hAnsi="仿宋" w:cs="仿宋" w:hint="eastAsia"/>
          <w:spacing w:val="10"/>
          <w:sz w:val="24"/>
          <w:szCs w:val="24"/>
          <w:lang w:eastAsia="zh-CN"/>
        </w:rPr>
        <w:t>月</w:t>
      </w:r>
      <w:r>
        <w:rPr>
          <w:rFonts w:ascii="仿宋" w:eastAsia="仿宋" w:hAnsi="仿宋" w:cs="仿宋" w:hint="eastAsia"/>
          <w:spacing w:val="10"/>
          <w:sz w:val="24"/>
          <w:szCs w:val="24"/>
          <w:lang w:eastAsia="zh-CN"/>
        </w:rPr>
        <w:t>13</w:t>
      </w:r>
      <w:r>
        <w:rPr>
          <w:rFonts w:ascii="仿宋" w:eastAsia="仿宋" w:hAnsi="仿宋" w:cs="仿宋" w:hint="eastAsia"/>
          <w:spacing w:val="10"/>
          <w:sz w:val="24"/>
          <w:szCs w:val="24"/>
          <w:lang w:eastAsia="zh-CN"/>
        </w:rPr>
        <w:t>日起，新增国投证券等十六家机构办理本公司旗下东方和煦</w:t>
      </w:r>
      <w:r>
        <w:rPr>
          <w:rFonts w:ascii="仿宋" w:eastAsia="仿宋" w:hAnsi="仿宋" w:cs="仿宋" w:hint="eastAsia"/>
          <w:spacing w:val="10"/>
          <w:sz w:val="24"/>
          <w:szCs w:val="24"/>
          <w:lang w:eastAsia="zh-CN"/>
        </w:rPr>
        <w:t>30</w:t>
      </w:r>
      <w:r>
        <w:rPr>
          <w:rFonts w:ascii="仿宋" w:eastAsia="仿宋" w:hAnsi="仿宋" w:cs="仿宋" w:hint="eastAsia"/>
          <w:spacing w:val="10"/>
          <w:sz w:val="24"/>
          <w:szCs w:val="24"/>
          <w:lang w:eastAsia="zh-CN"/>
        </w:rPr>
        <w:t>天持有期债券型证券投资基金的销售业务</w:t>
      </w:r>
      <w:r>
        <w:rPr>
          <w:rFonts w:ascii="仿宋" w:eastAsia="仿宋" w:hAnsi="仿宋" w:cs="仿宋" w:hint="eastAsia"/>
          <w:spacing w:val="10"/>
          <w:sz w:val="24"/>
          <w:szCs w:val="24"/>
          <w:lang w:eastAsia="zh-CN"/>
        </w:rPr>
        <w:t>(</w:t>
      </w:r>
      <w:r>
        <w:rPr>
          <w:rFonts w:ascii="仿宋" w:eastAsia="仿宋" w:hAnsi="仿宋" w:cs="仿宋" w:hint="eastAsia"/>
          <w:spacing w:val="10"/>
          <w:sz w:val="24"/>
          <w:szCs w:val="24"/>
          <w:lang w:eastAsia="zh-CN"/>
        </w:rPr>
        <w:t>仅限前端模式</w:t>
      </w:r>
      <w:r>
        <w:rPr>
          <w:rFonts w:ascii="仿宋" w:eastAsia="仿宋" w:hAnsi="仿宋" w:cs="仿宋" w:hint="eastAsia"/>
          <w:spacing w:val="10"/>
          <w:sz w:val="24"/>
          <w:szCs w:val="24"/>
          <w:lang w:eastAsia="zh-CN"/>
        </w:rPr>
        <w:t>)</w:t>
      </w:r>
      <w:r>
        <w:rPr>
          <w:rFonts w:ascii="仿宋" w:eastAsia="仿宋" w:hAnsi="仿宋" w:cs="仿宋" w:hint="eastAsia"/>
          <w:spacing w:val="10"/>
          <w:sz w:val="24"/>
          <w:szCs w:val="24"/>
          <w:lang w:eastAsia="zh-CN"/>
        </w:rPr>
        <w:t>。现将有关事项公告如下：</w:t>
      </w:r>
    </w:p>
    <w:p w:rsidR="00655466" w:rsidRDefault="00263D61">
      <w:pPr>
        <w:pStyle w:val="a4"/>
        <w:numPr>
          <w:ilvl w:val="0"/>
          <w:numId w:val="1"/>
        </w:numPr>
        <w:spacing w:before="31" w:line="228" w:lineRule="auto"/>
        <w:ind w:left="124"/>
        <w:rPr>
          <w:rFonts w:ascii="仿宋" w:eastAsia="仿宋" w:hAnsi="仿宋" w:cs="仿宋"/>
          <w:b/>
          <w:bCs/>
          <w:spacing w:val="7"/>
          <w:sz w:val="24"/>
          <w:szCs w:val="24"/>
          <w:lang w:eastAsia="zh-CN"/>
        </w:rPr>
      </w:pPr>
      <w:r>
        <w:rPr>
          <w:rFonts w:ascii="仿宋" w:eastAsia="仿宋" w:hAnsi="仿宋" w:cs="仿宋" w:hint="eastAsia"/>
          <w:b/>
          <w:bCs/>
          <w:spacing w:val="7"/>
          <w:sz w:val="24"/>
          <w:szCs w:val="24"/>
          <w:lang w:eastAsia="zh-CN"/>
        </w:rPr>
        <w:t>新增销售基金及业务范围</w:t>
      </w:r>
    </w:p>
    <w:tbl>
      <w:tblPr>
        <w:tblW w:w="10072" w:type="dxa"/>
        <w:tblInd w:w="-748" w:type="dxa"/>
        <w:tblLayout w:type="fixed"/>
        <w:tblLook w:val="04A0"/>
      </w:tblPr>
      <w:tblGrid>
        <w:gridCol w:w="713"/>
        <w:gridCol w:w="4619"/>
        <w:gridCol w:w="2025"/>
        <w:gridCol w:w="1248"/>
        <w:gridCol w:w="1467"/>
      </w:tblGrid>
      <w:tr w:rsidR="00655466">
        <w:trPr>
          <w:trHeight w:val="114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textAlignment w:val="center"/>
              <w:rPr>
                <w:rFonts w:ascii="仿宋" w:eastAsia="仿宋" w:hAnsi="仿宋" w:cs="仿宋"/>
                <w:b/>
                <w:bCs/>
                <w:sz w:val="24"/>
                <w:szCs w:val="24"/>
              </w:rPr>
            </w:pPr>
            <w:r>
              <w:rPr>
                <w:rFonts w:ascii="仿宋" w:eastAsia="仿宋" w:hAnsi="仿宋" w:cs="仿宋" w:hint="eastAsia"/>
                <w:b/>
                <w:bCs/>
                <w:sz w:val="24"/>
                <w:szCs w:val="24"/>
                <w:lang w:eastAsia="zh-CN"/>
              </w:rPr>
              <w:t>序号</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textAlignment w:val="center"/>
              <w:rPr>
                <w:rFonts w:ascii="仿宋" w:eastAsia="仿宋" w:hAnsi="仿宋" w:cs="仿宋"/>
                <w:b/>
                <w:bCs/>
                <w:sz w:val="24"/>
                <w:szCs w:val="24"/>
                <w:lang w:eastAsia="zh-CN"/>
              </w:rPr>
            </w:pPr>
            <w:r>
              <w:rPr>
                <w:rFonts w:ascii="仿宋" w:eastAsia="仿宋" w:hAnsi="仿宋" w:cs="仿宋" w:hint="eastAsia"/>
                <w:b/>
                <w:bCs/>
                <w:sz w:val="24"/>
                <w:szCs w:val="24"/>
                <w:lang w:eastAsia="zh-CN"/>
              </w:rPr>
              <w:t>销售机构</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textAlignment w:val="center"/>
              <w:rPr>
                <w:rFonts w:ascii="仿宋" w:eastAsia="仿宋" w:hAnsi="仿宋" w:cs="仿宋"/>
                <w:b/>
                <w:bCs/>
                <w:sz w:val="24"/>
                <w:szCs w:val="24"/>
              </w:rPr>
            </w:pPr>
            <w:r>
              <w:rPr>
                <w:rFonts w:ascii="仿宋" w:eastAsia="仿宋" w:hAnsi="仿宋" w:cs="仿宋" w:hint="eastAsia"/>
                <w:b/>
                <w:bCs/>
                <w:sz w:val="24"/>
                <w:szCs w:val="24"/>
                <w:lang w:eastAsia="zh-CN"/>
              </w:rPr>
              <w:t>基金名称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textAlignment w:val="center"/>
              <w:rPr>
                <w:rFonts w:ascii="仿宋" w:eastAsia="仿宋" w:hAnsi="仿宋" w:cs="仿宋"/>
                <w:b/>
                <w:bCs/>
                <w:sz w:val="24"/>
                <w:szCs w:val="24"/>
              </w:rPr>
            </w:pPr>
            <w:r>
              <w:rPr>
                <w:rFonts w:ascii="仿宋" w:eastAsia="仿宋" w:hAnsi="仿宋" w:cs="仿宋" w:hint="eastAsia"/>
                <w:b/>
                <w:bCs/>
                <w:sz w:val="24"/>
                <w:szCs w:val="24"/>
                <w:lang w:eastAsia="zh-CN"/>
              </w:rPr>
              <w:t>基金代码</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textAlignment w:val="center"/>
              <w:rPr>
                <w:rFonts w:ascii="仿宋" w:eastAsia="仿宋" w:hAnsi="仿宋" w:cs="仿宋"/>
                <w:b/>
                <w:bCs/>
                <w:sz w:val="24"/>
                <w:szCs w:val="24"/>
              </w:rPr>
            </w:pPr>
            <w:r>
              <w:rPr>
                <w:rFonts w:ascii="仿宋" w:eastAsia="仿宋" w:hAnsi="仿宋" w:cs="仿宋" w:hint="eastAsia"/>
                <w:b/>
                <w:bCs/>
                <w:sz w:val="24"/>
                <w:szCs w:val="24"/>
                <w:lang w:eastAsia="zh-CN"/>
              </w:rPr>
              <w:t>开通业务</w:t>
            </w: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1</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spacing w:line="360" w:lineRule="auto"/>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国投证券股份有限公司</w:t>
            </w:r>
          </w:p>
        </w:tc>
        <w:tc>
          <w:tcPr>
            <w:tcW w:w="2025" w:type="dxa"/>
            <w:vMerge w:val="restart"/>
            <w:tcBorders>
              <w:top w:val="single" w:sz="4" w:space="0" w:color="000000"/>
              <w:left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10"/>
                <w:sz w:val="24"/>
                <w:szCs w:val="24"/>
                <w:lang w:eastAsia="zh-CN"/>
              </w:rPr>
              <w:t>东方和煦</w:t>
            </w:r>
            <w:r>
              <w:rPr>
                <w:rFonts w:ascii="仿宋" w:eastAsia="仿宋" w:hAnsi="仿宋" w:cs="仿宋" w:hint="eastAsia"/>
                <w:spacing w:val="10"/>
                <w:sz w:val="24"/>
                <w:szCs w:val="24"/>
                <w:lang w:eastAsia="zh-CN"/>
              </w:rPr>
              <w:t>30</w:t>
            </w:r>
            <w:r>
              <w:rPr>
                <w:rFonts w:ascii="仿宋" w:eastAsia="仿宋" w:hAnsi="仿宋" w:cs="仿宋" w:hint="eastAsia"/>
                <w:spacing w:val="10"/>
                <w:sz w:val="24"/>
                <w:szCs w:val="24"/>
                <w:lang w:eastAsia="zh-CN"/>
              </w:rPr>
              <w:t>天持有期债券型证券投资基金</w:t>
            </w:r>
          </w:p>
        </w:tc>
        <w:tc>
          <w:tcPr>
            <w:tcW w:w="1248" w:type="dxa"/>
            <w:vMerge w:val="restart"/>
            <w:tcBorders>
              <w:top w:val="single" w:sz="4" w:space="0" w:color="000000"/>
              <w:left w:val="single" w:sz="4" w:space="0" w:color="000000"/>
              <w:right w:val="single" w:sz="4" w:space="0" w:color="000000"/>
            </w:tcBorders>
            <w:shd w:val="clear" w:color="auto" w:fill="auto"/>
            <w:vAlign w:val="center"/>
          </w:tcPr>
          <w:p w:rsidR="00655466" w:rsidRDefault="00263D61">
            <w:pPr>
              <w:jc w:val="center"/>
              <w:textAlignment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A:026551C:026552</w:t>
            </w:r>
          </w:p>
        </w:tc>
        <w:tc>
          <w:tcPr>
            <w:tcW w:w="1467" w:type="dxa"/>
            <w:vMerge w:val="restart"/>
            <w:tcBorders>
              <w:top w:val="single" w:sz="4" w:space="0" w:color="000000"/>
              <w:left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z w:val="24"/>
                <w:szCs w:val="24"/>
                <w:lang w:eastAsia="zh-CN"/>
              </w:rPr>
            </w:pPr>
            <w:r>
              <w:rPr>
                <w:rFonts w:ascii="仿宋" w:eastAsia="仿宋" w:hAnsi="仿宋" w:cs="仿宋" w:hint="eastAsia"/>
                <w:spacing w:val="8"/>
                <w:sz w:val="24"/>
                <w:szCs w:val="24"/>
                <w:lang w:eastAsia="zh-CN"/>
              </w:rPr>
              <w:t>开户、认购</w:t>
            </w:r>
            <w:r>
              <w:rPr>
                <w:rFonts w:ascii="仿宋" w:eastAsia="仿宋" w:hAnsi="仿宋" w:cs="仿宋" w:hint="eastAsia"/>
                <w:spacing w:val="8"/>
                <w:sz w:val="24"/>
                <w:szCs w:val="24"/>
                <w:lang w:eastAsia="zh-CN"/>
              </w:rPr>
              <w:t>(</w:t>
            </w:r>
            <w:r>
              <w:rPr>
                <w:rFonts w:ascii="仿宋" w:eastAsia="仿宋" w:hAnsi="仿宋" w:cs="仿宋" w:hint="eastAsia"/>
                <w:spacing w:val="8"/>
                <w:sz w:val="24"/>
                <w:szCs w:val="24"/>
                <w:lang w:eastAsia="zh-CN"/>
              </w:rPr>
              <w:t>仅限前端模式</w:t>
            </w:r>
            <w:r>
              <w:rPr>
                <w:rFonts w:ascii="仿宋" w:eastAsia="仿宋" w:hAnsi="仿宋" w:cs="仿宋" w:hint="eastAsia"/>
                <w:spacing w:val="8"/>
                <w:sz w:val="24"/>
                <w:szCs w:val="24"/>
                <w:lang w:eastAsia="zh-CN"/>
              </w:rPr>
              <w:t>)</w:t>
            </w: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2</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长江证券股份有限公司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3</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中泰证券股份有限公司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4</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招商证券股份有限公司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5</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中国银河证券股份有限公司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6</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中信建投证券股份有限公司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7</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中信证券（山东）有限责任公司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8</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中信证券股份有限公司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9</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rPr>
            </w:pPr>
            <w:r>
              <w:rPr>
                <w:rFonts w:ascii="仿宋" w:eastAsia="仿宋" w:hAnsi="仿宋" w:cs="仿宋" w:hint="eastAsia"/>
                <w:b w:val="0"/>
                <w:bCs w:val="0"/>
                <w:spacing w:val="8"/>
                <w:kern w:val="0"/>
                <w:sz w:val="24"/>
                <w:szCs w:val="24"/>
              </w:rPr>
              <w:t>中信期货有限公司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10</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国金证券股份有限公司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11</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中信证券华南股份有限公司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lastRenderedPageBreak/>
              <w:t>12</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国信证券股份有限公司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13</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开源证券股份有限公司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14</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华龙证券股份有限公司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15</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西部证券股份有限公司</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jc w:val="center"/>
              <w:rPr>
                <w:rFonts w:ascii="仿宋" w:eastAsia="仿宋" w:hAnsi="仿宋" w:cs="仿宋"/>
                <w:spacing w:val="8"/>
                <w:sz w:val="24"/>
                <w:szCs w:val="24"/>
                <w:lang w:eastAsia="zh-CN"/>
              </w:rPr>
            </w:pPr>
            <w:r>
              <w:rPr>
                <w:rFonts w:ascii="仿宋" w:eastAsia="仿宋" w:hAnsi="仿宋" w:cs="仿宋" w:hint="eastAsia"/>
                <w:spacing w:val="8"/>
                <w:sz w:val="24"/>
                <w:szCs w:val="24"/>
                <w:lang w:eastAsia="zh-CN"/>
              </w:rPr>
              <w:t>16</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1"/>
              <w:spacing w:before="0" w:after="0" w:line="360" w:lineRule="auto"/>
              <w:jc w:val="center"/>
              <w:rPr>
                <w:rFonts w:ascii="仿宋" w:eastAsia="仿宋" w:hAnsi="仿宋" w:cs="仿宋"/>
                <w:b w:val="0"/>
                <w:bCs w:val="0"/>
                <w:spacing w:val="8"/>
                <w:kern w:val="0"/>
                <w:sz w:val="24"/>
                <w:szCs w:val="24"/>
                <w:lang w:eastAsia="zh-CN"/>
              </w:rPr>
            </w:pPr>
            <w:r>
              <w:rPr>
                <w:rFonts w:ascii="仿宋" w:eastAsia="仿宋" w:hAnsi="仿宋" w:cs="仿宋" w:hint="eastAsia"/>
                <w:b w:val="0"/>
                <w:bCs w:val="0"/>
                <w:spacing w:val="8"/>
                <w:kern w:val="0"/>
                <w:sz w:val="24"/>
                <w:szCs w:val="24"/>
                <w:lang w:eastAsia="zh-CN"/>
              </w:rPr>
              <w:t>宁波银行股份有限公司同业易管家平台</w:t>
            </w:r>
          </w:p>
        </w:tc>
        <w:tc>
          <w:tcPr>
            <w:tcW w:w="2025"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c>
          <w:tcPr>
            <w:tcW w:w="1248" w:type="dxa"/>
            <w:vMerge/>
            <w:tcBorders>
              <w:left w:val="single" w:sz="4" w:space="0" w:color="000000"/>
              <w:right w:val="single" w:sz="4" w:space="0" w:color="000000"/>
            </w:tcBorders>
            <w:shd w:val="clear" w:color="auto" w:fill="auto"/>
            <w:vAlign w:val="center"/>
          </w:tcPr>
          <w:p w:rsidR="00655466" w:rsidRDefault="00655466">
            <w:pPr>
              <w:jc w:val="center"/>
              <w:textAlignment w:val="center"/>
              <w:rPr>
                <w:rFonts w:ascii="仿宋" w:eastAsia="仿宋" w:hAnsi="仿宋" w:cs="仿宋"/>
                <w:sz w:val="24"/>
                <w:szCs w:val="24"/>
                <w:lang w:eastAsia="zh-CN"/>
              </w:rPr>
            </w:pPr>
          </w:p>
        </w:tc>
        <w:tc>
          <w:tcPr>
            <w:tcW w:w="1467" w:type="dxa"/>
            <w:vMerge/>
            <w:tcBorders>
              <w:left w:val="single" w:sz="4" w:space="0" w:color="000000"/>
              <w:right w:val="single" w:sz="4" w:space="0" w:color="000000"/>
            </w:tcBorders>
            <w:shd w:val="clear" w:color="auto" w:fill="auto"/>
            <w:vAlign w:val="center"/>
          </w:tcPr>
          <w:p w:rsidR="00655466" w:rsidRDefault="00655466">
            <w:pPr>
              <w:jc w:val="center"/>
              <w:rPr>
                <w:rFonts w:ascii="仿宋" w:eastAsia="仿宋" w:hAnsi="仿宋" w:cs="仿宋"/>
                <w:sz w:val="24"/>
                <w:szCs w:val="24"/>
                <w:lang w:eastAsia="zh-CN"/>
              </w:rPr>
            </w:pPr>
          </w:p>
        </w:tc>
      </w:tr>
      <w:tr w:rsidR="00655466">
        <w:trPr>
          <w:trHeight w:val="473"/>
        </w:trPr>
        <w:tc>
          <w:tcPr>
            <w:tcW w:w="100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55466" w:rsidRDefault="00263D61">
            <w:pPr>
              <w:pStyle w:val="a4"/>
              <w:spacing w:before="33" w:line="229" w:lineRule="auto"/>
              <w:rPr>
                <w:rFonts w:ascii="仿宋" w:eastAsia="仿宋" w:hAnsi="仿宋" w:cs="仿宋"/>
                <w:spacing w:val="2"/>
                <w:sz w:val="24"/>
                <w:szCs w:val="24"/>
                <w:lang w:eastAsia="zh-CN"/>
              </w:rPr>
            </w:pPr>
            <w:r>
              <w:rPr>
                <w:rFonts w:ascii="仿宋" w:eastAsia="仿宋" w:hAnsi="仿宋" w:cs="仿宋" w:hint="eastAsia"/>
                <w:spacing w:val="2"/>
                <w:sz w:val="24"/>
                <w:szCs w:val="24"/>
                <w:lang w:eastAsia="zh-CN"/>
              </w:rPr>
              <w:t>备注：</w:t>
            </w:r>
            <w:r>
              <w:rPr>
                <w:rFonts w:ascii="仿宋" w:eastAsia="仿宋" w:hAnsi="仿宋" w:cs="仿宋" w:hint="eastAsia"/>
                <w:spacing w:val="2"/>
                <w:sz w:val="24"/>
                <w:szCs w:val="24"/>
                <w:lang w:eastAsia="zh-CN"/>
              </w:rPr>
              <w:t>1.</w:t>
            </w:r>
            <w:r>
              <w:rPr>
                <w:rFonts w:ascii="仿宋" w:eastAsia="仿宋" w:hAnsi="仿宋" w:cs="仿宋" w:hint="eastAsia"/>
                <w:spacing w:val="10"/>
                <w:sz w:val="24"/>
                <w:szCs w:val="24"/>
                <w:lang w:eastAsia="zh-CN"/>
              </w:rPr>
              <w:t>东方和煦</w:t>
            </w:r>
            <w:r>
              <w:rPr>
                <w:rFonts w:ascii="仿宋" w:eastAsia="仿宋" w:hAnsi="仿宋" w:cs="仿宋" w:hint="eastAsia"/>
                <w:spacing w:val="10"/>
                <w:sz w:val="24"/>
                <w:szCs w:val="24"/>
                <w:lang w:eastAsia="zh-CN"/>
              </w:rPr>
              <w:t>30</w:t>
            </w:r>
            <w:r>
              <w:rPr>
                <w:rFonts w:ascii="仿宋" w:eastAsia="仿宋" w:hAnsi="仿宋" w:cs="仿宋" w:hint="eastAsia"/>
                <w:spacing w:val="10"/>
                <w:sz w:val="24"/>
                <w:szCs w:val="24"/>
                <w:lang w:eastAsia="zh-CN"/>
              </w:rPr>
              <w:t>天持有期债券型证券投资基金</w:t>
            </w:r>
            <w:r>
              <w:rPr>
                <w:rFonts w:ascii="仿宋" w:eastAsia="仿宋" w:hAnsi="仿宋" w:cs="仿宋" w:hint="eastAsia"/>
                <w:spacing w:val="2"/>
                <w:sz w:val="24"/>
                <w:szCs w:val="24"/>
                <w:lang w:eastAsia="zh-CN"/>
              </w:rPr>
              <w:t>对每份基金份额设置</w:t>
            </w:r>
            <w:r>
              <w:rPr>
                <w:rFonts w:ascii="仿宋" w:eastAsia="仿宋" w:hAnsi="仿宋" w:cs="仿宋" w:hint="eastAsia"/>
                <w:spacing w:val="2"/>
                <w:sz w:val="24"/>
                <w:szCs w:val="24"/>
                <w:lang w:eastAsia="zh-CN"/>
              </w:rPr>
              <w:t>30</w:t>
            </w:r>
            <w:r>
              <w:rPr>
                <w:rFonts w:ascii="仿宋" w:eastAsia="仿宋" w:hAnsi="仿宋" w:cs="仿宋" w:hint="eastAsia"/>
                <w:spacing w:val="2"/>
                <w:sz w:val="24"/>
                <w:szCs w:val="24"/>
                <w:lang w:eastAsia="zh-CN"/>
              </w:rPr>
              <w:t>天的最短持有期限，即：自基金合同生效日（对认购份额而言）、基金份额申购确认日（对申购份额而言）或基金份额转换转入确认日（对转换转入份额而言）起，至基金合同生效日、基金份额申购确认日或基金份额转换转入确认日起的第</w:t>
            </w:r>
            <w:r>
              <w:rPr>
                <w:rFonts w:ascii="仿宋" w:eastAsia="仿宋" w:hAnsi="仿宋" w:cs="仿宋" w:hint="eastAsia"/>
                <w:spacing w:val="2"/>
                <w:sz w:val="24"/>
                <w:szCs w:val="24"/>
                <w:lang w:eastAsia="zh-CN"/>
              </w:rPr>
              <w:t>30</w:t>
            </w:r>
            <w:r>
              <w:rPr>
                <w:rFonts w:ascii="仿宋" w:eastAsia="仿宋" w:hAnsi="仿宋" w:cs="仿宋" w:hint="eastAsia"/>
                <w:spacing w:val="2"/>
                <w:sz w:val="24"/>
                <w:szCs w:val="24"/>
                <w:lang w:eastAsia="zh-CN"/>
              </w:rPr>
              <w:t>日（该日即为最短持有期到期日，如该日为非工作日，则顺延至下一工作日）止，最短持有期到期日前，基金份额持有人不能提出赎回申请。最短持有期到期日及最短持有期到期日之后，基金份额持有人可提出赎回申请。</w:t>
            </w:r>
          </w:p>
          <w:p w:rsidR="00655466" w:rsidRDefault="00263D61">
            <w:pPr>
              <w:pStyle w:val="a4"/>
              <w:spacing w:before="33" w:line="229" w:lineRule="auto"/>
              <w:rPr>
                <w:rFonts w:ascii="仿宋" w:eastAsia="仿宋" w:hAnsi="仿宋" w:cs="仿宋"/>
                <w:spacing w:val="2"/>
                <w:sz w:val="24"/>
                <w:szCs w:val="24"/>
                <w:lang w:eastAsia="zh-CN"/>
              </w:rPr>
            </w:pPr>
            <w:r>
              <w:rPr>
                <w:rFonts w:ascii="仿宋" w:eastAsia="仿宋" w:hAnsi="仿宋" w:cs="仿宋" w:hint="eastAsia"/>
                <w:spacing w:val="2"/>
                <w:sz w:val="24"/>
                <w:szCs w:val="24"/>
                <w:lang w:eastAsia="zh-CN"/>
              </w:rPr>
              <w:t>2.</w:t>
            </w:r>
            <w:r>
              <w:rPr>
                <w:rFonts w:ascii="仿宋" w:eastAsia="仿宋" w:hAnsi="仿宋" w:cs="仿宋" w:hint="eastAsia"/>
                <w:spacing w:val="10"/>
                <w:sz w:val="24"/>
                <w:szCs w:val="24"/>
                <w:lang w:eastAsia="zh-CN"/>
              </w:rPr>
              <w:t>东方和煦</w:t>
            </w:r>
            <w:r>
              <w:rPr>
                <w:rFonts w:ascii="仿宋" w:eastAsia="仿宋" w:hAnsi="仿宋" w:cs="仿宋" w:hint="eastAsia"/>
                <w:spacing w:val="10"/>
                <w:sz w:val="24"/>
                <w:szCs w:val="24"/>
                <w:lang w:eastAsia="zh-CN"/>
              </w:rPr>
              <w:t>30</w:t>
            </w:r>
            <w:r>
              <w:rPr>
                <w:rFonts w:ascii="仿宋" w:eastAsia="仿宋" w:hAnsi="仿宋" w:cs="仿宋" w:hint="eastAsia"/>
                <w:spacing w:val="10"/>
                <w:sz w:val="24"/>
                <w:szCs w:val="24"/>
                <w:lang w:eastAsia="zh-CN"/>
              </w:rPr>
              <w:t>天持有期债券型证券投资基金</w:t>
            </w:r>
            <w:r>
              <w:rPr>
                <w:rFonts w:ascii="仿宋" w:eastAsia="仿宋" w:hAnsi="仿宋" w:cs="仿宋" w:hint="eastAsia"/>
                <w:spacing w:val="2"/>
                <w:sz w:val="24"/>
                <w:szCs w:val="24"/>
                <w:lang w:eastAsia="zh-CN"/>
              </w:rPr>
              <w:t>暂不向金融机构自营账户销售（基金管理人</w:t>
            </w:r>
            <w:r>
              <w:rPr>
                <w:rFonts w:ascii="仿宋" w:eastAsia="仿宋" w:hAnsi="仿宋" w:cs="仿宋" w:hint="eastAsia"/>
                <w:spacing w:val="2"/>
                <w:sz w:val="24"/>
                <w:szCs w:val="24"/>
                <w:lang w:eastAsia="zh-CN"/>
              </w:rPr>
              <w:t>自有资金除外）。基金管理人有权对发售对象的范围予以进一步限定，如未来本基金开放向金融机构自营账户公开销售或对募集对象的范围予以进一步限定，基金管理人将另行公告。</w:t>
            </w:r>
          </w:p>
          <w:p w:rsidR="00655466" w:rsidRDefault="00263D61">
            <w:pPr>
              <w:pStyle w:val="a4"/>
              <w:spacing w:before="33" w:line="229" w:lineRule="auto"/>
              <w:rPr>
                <w:rFonts w:ascii="仿宋" w:eastAsia="仿宋" w:hAnsi="仿宋" w:cs="仿宋"/>
                <w:spacing w:val="2"/>
                <w:sz w:val="24"/>
                <w:szCs w:val="24"/>
                <w:lang w:eastAsia="zh-CN"/>
              </w:rPr>
            </w:pPr>
            <w:r>
              <w:rPr>
                <w:rFonts w:ascii="仿宋" w:eastAsia="仿宋" w:hAnsi="仿宋" w:cs="仿宋" w:hint="eastAsia"/>
                <w:spacing w:val="10"/>
                <w:sz w:val="24"/>
                <w:szCs w:val="24"/>
                <w:lang w:eastAsia="zh-CN"/>
              </w:rPr>
              <w:t>3.</w:t>
            </w:r>
            <w:r>
              <w:rPr>
                <w:rFonts w:ascii="仿宋" w:eastAsia="仿宋" w:hAnsi="仿宋" w:cs="仿宋" w:hint="eastAsia"/>
                <w:spacing w:val="10"/>
                <w:sz w:val="24"/>
                <w:szCs w:val="24"/>
                <w:lang w:eastAsia="zh-CN"/>
              </w:rPr>
              <w:t>东方和煦</w:t>
            </w:r>
            <w:r>
              <w:rPr>
                <w:rFonts w:ascii="仿宋" w:eastAsia="仿宋" w:hAnsi="仿宋" w:cs="仿宋" w:hint="eastAsia"/>
                <w:spacing w:val="10"/>
                <w:sz w:val="24"/>
                <w:szCs w:val="24"/>
                <w:lang w:eastAsia="zh-CN"/>
              </w:rPr>
              <w:t>30</w:t>
            </w:r>
            <w:r>
              <w:rPr>
                <w:rFonts w:ascii="仿宋" w:eastAsia="仿宋" w:hAnsi="仿宋" w:cs="仿宋" w:hint="eastAsia"/>
                <w:spacing w:val="10"/>
                <w:sz w:val="24"/>
                <w:szCs w:val="24"/>
                <w:lang w:eastAsia="zh-CN"/>
              </w:rPr>
              <w:t>天持有期债券型证券投资基金</w:t>
            </w:r>
            <w:r>
              <w:rPr>
                <w:rFonts w:ascii="仿宋" w:eastAsia="仿宋" w:hAnsi="仿宋" w:cs="仿宋" w:hint="eastAsia"/>
                <w:spacing w:val="2"/>
                <w:sz w:val="24"/>
                <w:szCs w:val="24"/>
                <w:lang w:eastAsia="zh-CN"/>
              </w:rPr>
              <w:t>单一投资者单日认购金额不超过</w:t>
            </w:r>
            <w:r>
              <w:rPr>
                <w:rFonts w:ascii="仿宋" w:eastAsia="仿宋" w:hAnsi="仿宋" w:cs="仿宋" w:hint="eastAsia"/>
                <w:spacing w:val="2"/>
                <w:sz w:val="24"/>
                <w:szCs w:val="24"/>
                <w:lang w:eastAsia="zh-CN"/>
              </w:rPr>
              <w:t>1000</w:t>
            </w:r>
            <w:r>
              <w:rPr>
                <w:rFonts w:ascii="仿宋" w:eastAsia="仿宋" w:hAnsi="仿宋" w:cs="仿宋" w:hint="eastAsia"/>
                <w:spacing w:val="2"/>
                <w:sz w:val="24"/>
                <w:szCs w:val="24"/>
                <w:lang w:eastAsia="zh-CN"/>
              </w:rPr>
              <w:t>万元（个人投资者、公募资产管理产品、养老金产品、职业年金、企业年金计划和基金管理人自有资金除外），基金管理人在履行适当程序后，可以调整单一投资者单日认购金额上限，具体规定请参见更新的招募说明书或相关公告。</w:t>
            </w:r>
          </w:p>
          <w:p w:rsidR="00655466" w:rsidRDefault="00263D61">
            <w:pPr>
              <w:pStyle w:val="a4"/>
              <w:spacing w:before="33" w:line="229" w:lineRule="auto"/>
              <w:rPr>
                <w:rFonts w:ascii="仿宋" w:eastAsia="仿宋" w:hAnsi="仿宋" w:cs="仿宋"/>
                <w:sz w:val="24"/>
                <w:szCs w:val="24"/>
                <w:lang w:eastAsia="zh-CN"/>
              </w:rPr>
            </w:pPr>
            <w:r>
              <w:rPr>
                <w:rFonts w:ascii="仿宋" w:eastAsia="仿宋" w:hAnsi="仿宋" w:cs="仿宋" w:hint="eastAsia"/>
                <w:spacing w:val="8"/>
                <w:sz w:val="24"/>
                <w:szCs w:val="24"/>
                <w:lang w:eastAsia="zh-CN"/>
              </w:rPr>
              <w:t>后续产品上线及业务开通事宜本公司将另行公告。</w:t>
            </w:r>
          </w:p>
        </w:tc>
      </w:tr>
    </w:tbl>
    <w:p w:rsidR="00655466" w:rsidRDefault="00655466">
      <w:pPr>
        <w:pStyle w:val="a4"/>
        <w:spacing w:before="33" w:line="229" w:lineRule="auto"/>
        <w:ind w:left="543"/>
        <w:rPr>
          <w:rFonts w:ascii="仿宋" w:eastAsia="仿宋" w:hAnsi="仿宋" w:cs="仿宋"/>
          <w:spacing w:val="8"/>
          <w:sz w:val="24"/>
          <w:szCs w:val="24"/>
          <w:lang w:eastAsia="zh-CN"/>
        </w:rPr>
      </w:pPr>
    </w:p>
    <w:p w:rsidR="00655466" w:rsidRDefault="00263D61">
      <w:pPr>
        <w:pStyle w:val="2"/>
        <w:rPr>
          <w:rFonts w:ascii="仿宋" w:eastAsia="仿宋" w:hAnsi="仿宋" w:cs="仿宋"/>
          <w:spacing w:val="10"/>
          <w:lang w:eastAsia="zh-CN"/>
        </w:rPr>
      </w:pPr>
      <w:r>
        <w:rPr>
          <w:rFonts w:ascii="仿宋" w:eastAsia="仿宋" w:hAnsi="仿宋" w:cs="仿宋" w:hint="eastAsia"/>
          <w:spacing w:val="10"/>
          <w:lang w:eastAsia="zh-CN"/>
        </w:rPr>
        <w:t>二、重要提示</w:t>
      </w:r>
    </w:p>
    <w:p w:rsidR="00655466" w:rsidRDefault="00263D61">
      <w:pPr>
        <w:pStyle w:val="a4"/>
        <w:spacing w:before="65" w:line="367" w:lineRule="auto"/>
        <w:ind w:left="120" w:right="128" w:firstLine="422"/>
        <w:jc w:val="both"/>
        <w:rPr>
          <w:rFonts w:ascii="仿宋" w:eastAsia="仿宋" w:hAnsi="仿宋" w:cs="仿宋"/>
          <w:spacing w:val="10"/>
          <w:sz w:val="24"/>
          <w:szCs w:val="24"/>
          <w:lang w:eastAsia="zh-CN"/>
        </w:rPr>
      </w:pPr>
      <w:r>
        <w:rPr>
          <w:rFonts w:ascii="仿宋" w:eastAsia="仿宋" w:hAnsi="仿宋" w:cs="仿宋" w:hint="eastAsia"/>
          <w:spacing w:val="9"/>
          <w:sz w:val="24"/>
          <w:szCs w:val="24"/>
          <w:lang w:eastAsia="zh-CN"/>
        </w:rPr>
        <w:t>1</w:t>
      </w:r>
      <w:r>
        <w:rPr>
          <w:rFonts w:ascii="仿宋" w:eastAsia="仿宋" w:hAnsi="仿宋" w:cs="仿宋" w:hint="eastAsia"/>
          <w:spacing w:val="9"/>
          <w:sz w:val="24"/>
          <w:szCs w:val="24"/>
          <w:lang w:eastAsia="zh-CN"/>
        </w:rPr>
        <w:t>、</w:t>
      </w:r>
      <w:r>
        <w:rPr>
          <w:rFonts w:ascii="仿宋" w:eastAsia="仿宋" w:hAnsi="仿宋" w:cs="仿宋" w:hint="eastAsia"/>
          <w:spacing w:val="10"/>
          <w:sz w:val="24"/>
          <w:szCs w:val="24"/>
          <w:lang w:eastAsia="zh-CN"/>
        </w:rPr>
        <w:t>上述基金费率请详见基金的《基金合同》、《招募说明书》、《基金产品资料概要》等相关法律文件及本公司发布的最新业务公告。</w:t>
      </w:r>
    </w:p>
    <w:p w:rsidR="00655466" w:rsidRDefault="00263D61">
      <w:pPr>
        <w:pStyle w:val="a4"/>
        <w:spacing w:before="65" w:line="367" w:lineRule="auto"/>
        <w:ind w:left="120" w:right="128" w:firstLine="422"/>
        <w:jc w:val="both"/>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2</w:t>
      </w:r>
      <w:r>
        <w:rPr>
          <w:rFonts w:ascii="仿宋" w:eastAsia="仿宋" w:hAnsi="仿宋" w:cs="仿宋" w:hint="eastAsia"/>
          <w:spacing w:val="10"/>
          <w:sz w:val="24"/>
          <w:szCs w:val="24"/>
          <w:lang w:eastAsia="zh-CN"/>
        </w:rPr>
        <w:t>、业务办理的业务规则和流程以上述机构的安排和规定为准。相关活动的具体规定如有变化，以上述机构网站或平台的最新公告为准，敬请投资者关注。</w:t>
      </w:r>
    </w:p>
    <w:p w:rsidR="00655466" w:rsidRDefault="00263D61">
      <w:pPr>
        <w:pStyle w:val="a4"/>
        <w:spacing w:before="282" w:line="228" w:lineRule="auto"/>
        <w:rPr>
          <w:rFonts w:ascii="仿宋" w:eastAsia="仿宋" w:hAnsi="仿宋" w:cs="仿宋"/>
          <w:spacing w:val="10"/>
          <w:sz w:val="24"/>
          <w:szCs w:val="24"/>
          <w:lang w:eastAsia="zh-CN"/>
        </w:rPr>
      </w:pPr>
      <w:r>
        <w:rPr>
          <w:rFonts w:ascii="仿宋" w:eastAsia="仿宋" w:hAnsi="仿宋" w:cs="仿宋" w:hint="eastAsia"/>
          <w:b/>
          <w:bCs/>
          <w:spacing w:val="8"/>
          <w:sz w:val="24"/>
          <w:szCs w:val="24"/>
          <w:lang w:eastAsia="zh-CN"/>
        </w:rPr>
        <w:t>三、投资者可通过以下途径咨询有关详情</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1.</w:t>
      </w:r>
      <w:r>
        <w:rPr>
          <w:rFonts w:ascii="仿宋" w:eastAsia="仿宋" w:hAnsi="仿宋" w:cs="仿宋" w:hint="eastAsia"/>
          <w:spacing w:val="10"/>
          <w:sz w:val="24"/>
          <w:szCs w:val="24"/>
          <w:lang w:eastAsia="zh-CN"/>
        </w:rPr>
        <w:t>国投证券股份有限公司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95517</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www.essence.com.cn</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2.</w:t>
      </w:r>
      <w:r>
        <w:rPr>
          <w:rFonts w:ascii="仿宋" w:eastAsia="仿宋" w:hAnsi="仿宋" w:cs="仿宋" w:hint="eastAsia"/>
          <w:spacing w:val="10"/>
          <w:sz w:val="24"/>
          <w:szCs w:val="24"/>
          <w:lang w:eastAsia="zh-CN"/>
        </w:rPr>
        <w:t>长江证券股份有限公司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95579</w:t>
      </w:r>
      <w:r>
        <w:rPr>
          <w:rFonts w:ascii="仿宋" w:eastAsia="仿宋" w:hAnsi="仿宋" w:cs="仿宋" w:hint="eastAsia"/>
          <w:spacing w:val="10"/>
          <w:sz w:val="24"/>
          <w:szCs w:val="24"/>
          <w:lang w:eastAsia="zh-CN"/>
        </w:rPr>
        <w:t>或</w:t>
      </w:r>
      <w:r>
        <w:rPr>
          <w:rFonts w:ascii="仿宋" w:eastAsia="仿宋" w:hAnsi="仿宋" w:cs="仿宋" w:hint="eastAsia"/>
          <w:spacing w:val="10"/>
          <w:sz w:val="24"/>
          <w:szCs w:val="24"/>
          <w:lang w:eastAsia="zh-CN"/>
        </w:rPr>
        <w:t>4008-888-999</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www.95579.com</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3.</w:t>
      </w:r>
      <w:r>
        <w:rPr>
          <w:rFonts w:ascii="仿宋" w:eastAsia="仿宋" w:hAnsi="仿宋" w:cs="仿宋" w:hint="eastAsia"/>
          <w:spacing w:val="10"/>
          <w:sz w:val="24"/>
          <w:szCs w:val="24"/>
          <w:lang w:eastAsia="zh-CN"/>
        </w:rPr>
        <w:t>中泰证券股</w:t>
      </w:r>
      <w:r>
        <w:rPr>
          <w:rFonts w:ascii="仿宋" w:eastAsia="仿宋" w:hAnsi="仿宋" w:cs="仿宋" w:hint="eastAsia"/>
          <w:spacing w:val="10"/>
          <w:sz w:val="24"/>
          <w:szCs w:val="24"/>
          <w:lang w:eastAsia="zh-CN"/>
        </w:rPr>
        <w:t>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95538</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www.zts.com.cn</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4.</w:t>
      </w:r>
      <w:r>
        <w:rPr>
          <w:rFonts w:ascii="仿宋" w:eastAsia="仿宋" w:hAnsi="仿宋" w:cs="仿宋" w:hint="eastAsia"/>
          <w:spacing w:val="10"/>
          <w:sz w:val="24"/>
          <w:szCs w:val="24"/>
          <w:lang w:eastAsia="zh-CN"/>
        </w:rPr>
        <w:t>招商证券股份有限公司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95565</w:t>
      </w:r>
      <w:r>
        <w:rPr>
          <w:rFonts w:ascii="仿宋" w:eastAsia="仿宋" w:hAnsi="仿宋" w:cs="仿宋" w:hint="eastAsia"/>
          <w:spacing w:val="10"/>
          <w:sz w:val="24"/>
          <w:szCs w:val="24"/>
          <w:lang w:eastAsia="zh-CN"/>
        </w:rPr>
        <w:t>、</w:t>
      </w:r>
      <w:r>
        <w:rPr>
          <w:rFonts w:ascii="仿宋" w:eastAsia="仿宋" w:hAnsi="仿宋" w:cs="仿宋" w:hint="eastAsia"/>
          <w:spacing w:val="10"/>
          <w:sz w:val="24"/>
          <w:szCs w:val="24"/>
          <w:lang w:eastAsia="zh-CN"/>
        </w:rPr>
        <w:t>4008888111</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www.newone.com.cn</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5.</w:t>
      </w:r>
      <w:r>
        <w:rPr>
          <w:rFonts w:ascii="仿宋" w:eastAsia="仿宋" w:hAnsi="仿宋" w:cs="仿宋" w:hint="eastAsia"/>
          <w:spacing w:val="10"/>
          <w:sz w:val="24"/>
          <w:szCs w:val="24"/>
          <w:lang w:eastAsia="zh-CN"/>
        </w:rPr>
        <w:t>中国银河证券股份有限公司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4008-888-888</w:t>
      </w:r>
      <w:r>
        <w:rPr>
          <w:rFonts w:ascii="仿宋" w:eastAsia="仿宋" w:hAnsi="仿宋" w:cs="仿宋" w:hint="eastAsia"/>
          <w:spacing w:val="10"/>
          <w:sz w:val="24"/>
          <w:szCs w:val="24"/>
          <w:lang w:eastAsia="zh-CN"/>
        </w:rPr>
        <w:t>或</w:t>
      </w:r>
      <w:r>
        <w:rPr>
          <w:rFonts w:ascii="仿宋" w:eastAsia="仿宋" w:hAnsi="仿宋" w:cs="仿宋" w:hint="eastAsia"/>
          <w:spacing w:val="10"/>
          <w:sz w:val="24"/>
          <w:szCs w:val="24"/>
          <w:lang w:eastAsia="zh-CN"/>
        </w:rPr>
        <w:t>95551</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www.chinastock.com.cn</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6.</w:t>
      </w:r>
      <w:r>
        <w:rPr>
          <w:rFonts w:ascii="仿宋" w:eastAsia="仿宋" w:hAnsi="仿宋" w:cs="仿宋" w:hint="eastAsia"/>
          <w:spacing w:val="10"/>
          <w:sz w:val="24"/>
          <w:szCs w:val="24"/>
          <w:lang w:eastAsia="zh-CN"/>
        </w:rPr>
        <w:t>中信建投证券股份有限公司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400-8888-108</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www.csc108.com</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7.</w:t>
      </w:r>
      <w:r>
        <w:rPr>
          <w:rFonts w:ascii="仿宋" w:eastAsia="仿宋" w:hAnsi="仿宋" w:cs="仿宋" w:hint="eastAsia"/>
          <w:spacing w:val="10"/>
          <w:sz w:val="24"/>
          <w:szCs w:val="24"/>
          <w:lang w:eastAsia="zh-CN"/>
        </w:rPr>
        <w:t>中信证券（山东）有限责任公司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95548</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sd.citics.com</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8.</w:t>
      </w:r>
      <w:r>
        <w:rPr>
          <w:rFonts w:ascii="仿宋" w:eastAsia="仿宋" w:hAnsi="仿宋" w:cs="仿宋" w:hint="eastAsia"/>
          <w:spacing w:val="10"/>
          <w:sz w:val="24"/>
          <w:szCs w:val="24"/>
          <w:lang w:eastAsia="zh-CN"/>
        </w:rPr>
        <w:t>中信证券股份有限公司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95548</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www.cs.ecitic.com</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9.</w:t>
      </w:r>
      <w:r>
        <w:rPr>
          <w:rFonts w:ascii="仿宋" w:eastAsia="仿宋" w:hAnsi="仿宋" w:cs="仿宋" w:hint="eastAsia"/>
          <w:spacing w:val="10"/>
          <w:sz w:val="24"/>
          <w:szCs w:val="24"/>
          <w:lang w:eastAsia="zh-CN"/>
        </w:rPr>
        <w:t>中信期货有限公司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400-990-8826</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www.citicsf.com</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10.</w:t>
      </w:r>
      <w:r>
        <w:rPr>
          <w:rFonts w:ascii="仿宋" w:eastAsia="仿宋" w:hAnsi="仿宋" w:cs="仿宋" w:hint="eastAsia"/>
          <w:spacing w:val="10"/>
          <w:sz w:val="24"/>
          <w:szCs w:val="24"/>
          <w:lang w:eastAsia="zh-CN"/>
        </w:rPr>
        <w:t>国金证券股份有限公司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95310</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www.gjzq.com.cn</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11.</w:t>
      </w:r>
      <w:r>
        <w:rPr>
          <w:rFonts w:ascii="仿宋" w:eastAsia="仿宋" w:hAnsi="仿宋" w:cs="仿宋" w:hint="eastAsia"/>
          <w:spacing w:val="10"/>
          <w:sz w:val="24"/>
          <w:szCs w:val="24"/>
          <w:lang w:eastAsia="zh-CN"/>
        </w:rPr>
        <w:t>中信证券华南股份有限公司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95548</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www.gzs.com.cn</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12.</w:t>
      </w:r>
      <w:r>
        <w:rPr>
          <w:rFonts w:ascii="仿宋" w:eastAsia="仿宋" w:hAnsi="仿宋" w:cs="仿宋" w:hint="eastAsia"/>
          <w:spacing w:val="10"/>
          <w:sz w:val="24"/>
          <w:szCs w:val="24"/>
          <w:lang w:eastAsia="zh-CN"/>
        </w:rPr>
        <w:t>国信证券股份有限公司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 95536</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www.guosen.com.cn</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13.</w:t>
      </w:r>
      <w:r>
        <w:rPr>
          <w:rFonts w:ascii="仿宋" w:eastAsia="仿宋" w:hAnsi="仿宋" w:cs="仿宋" w:hint="eastAsia"/>
          <w:spacing w:val="10"/>
          <w:sz w:val="24"/>
          <w:szCs w:val="24"/>
          <w:lang w:eastAsia="zh-CN"/>
        </w:rPr>
        <w:t>开源证券股份公司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95325</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www.kysec.cn</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14.</w:t>
      </w:r>
      <w:r>
        <w:rPr>
          <w:rFonts w:ascii="仿宋" w:eastAsia="仿宋" w:hAnsi="仿宋" w:cs="仿宋" w:hint="eastAsia"/>
          <w:spacing w:val="10"/>
          <w:sz w:val="24"/>
          <w:szCs w:val="24"/>
          <w:lang w:eastAsia="zh-CN"/>
        </w:rPr>
        <w:t>华龙证券股份有限公司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95368</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www.hlzq.com</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15.</w:t>
      </w:r>
      <w:r>
        <w:rPr>
          <w:rFonts w:ascii="仿宋" w:eastAsia="仿宋" w:hAnsi="仿宋" w:cs="仿宋" w:hint="eastAsia"/>
          <w:spacing w:val="10"/>
          <w:sz w:val="24"/>
          <w:szCs w:val="24"/>
          <w:lang w:eastAsia="zh-CN"/>
        </w:rPr>
        <w:t>西部证券股份有限公司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95582</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www.westsecu.com</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16.</w:t>
      </w:r>
      <w:r>
        <w:rPr>
          <w:rFonts w:ascii="仿宋" w:eastAsia="仿宋" w:hAnsi="仿宋" w:cs="仿宋" w:hint="eastAsia"/>
          <w:spacing w:val="10"/>
          <w:sz w:val="24"/>
          <w:szCs w:val="24"/>
          <w:lang w:eastAsia="zh-CN"/>
        </w:rPr>
        <w:t>宁波银行股份有限公司</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客服电话：</w:t>
      </w:r>
      <w:r>
        <w:rPr>
          <w:rFonts w:ascii="仿宋" w:eastAsia="仿宋" w:hAnsi="仿宋" w:cs="仿宋" w:hint="eastAsia"/>
          <w:spacing w:val="10"/>
          <w:sz w:val="24"/>
          <w:szCs w:val="24"/>
          <w:lang w:eastAsia="zh-CN"/>
        </w:rPr>
        <w:t>95574</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网址：</w:t>
      </w:r>
      <w:r>
        <w:rPr>
          <w:rFonts w:ascii="仿宋" w:eastAsia="仿宋" w:hAnsi="仿宋" w:cs="仿宋" w:hint="eastAsia"/>
          <w:spacing w:val="10"/>
          <w:sz w:val="24"/>
          <w:szCs w:val="24"/>
          <w:lang w:eastAsia="zh-CN"/>
        </w:rPr>
        <w:t>www.nbcb.com.cn</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17.</w:t>
      </w:r>
      <w:r>
        <w:rPr>
          <w:rFonts w:ascii="仿宋" w:eastAsia="仿宋" w:hAnsi="仿宋" w:cs="仿宋" w:hint="eastAsia"/>
          <w:spacing w:val="10"/>
          <w:sz w:val="24"/>
          <w:szCs w:val="24"/>
          <w:lang w:eastAsia="zh-CN"/>
        </w:rPr>
        <w:t>本公司客户服务中心电话：</w:t>
      </w:r>
      <w:r>
        <w:rPr>
          <w:rFonts w:ascii="仿宋" w:eastAsia="仿宋" w:hAnsi="仿宋" w:cs="仿宋" w:hint="eastAsia"/>
          <w:spacing w:val="10"/>
          <w:sz w:val="24"/>
          <w:szCs w:val="24"/>
          <w:lang w:eastAsia="zh-CN"/>
        </w:rPr>
        <w:t>400-628-5888</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rPr>
        <w:t>网址：</w:t>
      </w:r>
      <w:r>
        <w:rPr>
          <w:rFonts w:ascii="仿宋" w:eastAsia="仿宋" w:hAnsi="仿宋" w:cs="仿宋" w:hint="eastAsia"/>
          <w:spacing w:val="10"/>
          <w:sz w:val="24"/>
          <w:szCs w:val="24"/>
        </w:rPr>
        <w:t>www.orient-fund.com</w:t>
      </w:r>
    </w:p>
    <w:p w:rsidR="00655466" w:rsidRDefault="00263D61" w:rsidP="00263D61">
      <w:pPr>
        <w:spacing w:line="307" w:lineRule="auto"/>
        <w:ind w:firstLineChars="200" w:firstLine="520"/>
        <w:rPr>
          <w:rFonts w:ascii="仿宋" w:eastAsia="仿宋" w:hAnsi="仿宋" w:cs="仿宋"/>
          <w:b/>
          <w:bCs/>
          <w:spacing w:val="10"/>
          <w:sz w:val="24"/>
          <w:szCs w:val="24"/>
          <w:lang w:eastAsia="zh-CN"/>
        </w:rPr>
        <w:pPrChange w:id="1" w:author="ZHONGM" w:date="2026-04-10T00:01:00Z">
          <w:pPr>
            <w:spacing w:line="307" w:lineRule="auto"/>
            <w:ind w:firstLineChars="200" w:firstLine="520"/>
          </w:pPr>
        </w:pPrChange>
      </w:pPr>
      <w:r>
        <w:rPr>
          <w:rFonts w:ascii="仿宋" w:eastAsia="仿宋" w:hAnsi="仿宋" w:cs="仿宋" w:hint="eastAsia"/>
          <w:b/>
          <w:bCs/>
          <w:spacing w:val="10"/>
          <w:sz w:val="24"/>
          <w:szCs w:val="24"/>
          <w:lang w:eastAsia="zh-CN"/>
        </w:rPr>
        <w:t>风险提示：</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基金管理人承诺以诚实信用、勤勉尽责的原则管理和运用基金资产，但不保证基金一定盈利，也不保证最低收益。基金管理人管理的基金业绩不构成对其他基金业绩表现的保证。基金管理人提醒投资人遵循基金投资“买者自负”的原则，应认真阅读《基金合同》、《招募说明书》、《基金产品资料概要》等基金法律文件，全面认识产品风险收益特征和产品特</w:t>
      </w:r>
    </w:p>
    <w:p w:rsidR="00655466" w:rsidRDefault="00263D61">
      <w:pPr>
        <w:spacing w:line="307" w:lineRule="auto"/>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征，充分考虑自身的风险承受能力，理性判断市场，在对申购基金的意愿、时机、数量等投资行为做出独立、谨慎决策后，基金运营状况与基金净值变化引致的投资风险，由投资者自行负担。</w:t>
      </w:r>
    </w:p>
    <w:p w:rsidR="00655466" w:rsidRDefault="00263D61">
      <w:pPr>
        <w:spacing w:line="307" w:lineRule="auto"/>
        <w:ind w:firstLineChars="200" w:firstLine="520"/>
        <w:rPr>
          <w:rFonts w:ascii="仿宋" w:eastAsia="仿宋" w:hAnsi="仿宋" w:cs="仿宋"/>
          <w:spacing w:val="10"/>
          <w:sz w:val="24"/>
          <w:szCs w:val="24"/>
          <w:lang w:eastAsia="zh-CN"/>
        </w:rPr>
      </w:pPr>
      <w:r>
        <w:rPr>
          <w:rFonts w:ascii="仿宋" w:eastAsia="仿宋" w:hAnsi="仿宋" w:cs="仿宋" w:hint="eastAsia"/>
          <w:spacing w:val="10"/>
          <w:sz w:val="24"/>
          <w:szCs w:val="24"/>
          <w:lang w:eastAsia="zh-CN"/>
        </w:rPr>
        <w:t>特此公告。</w:t>
      </w:r>
    </w:p>
    <w:p w:rsidR="00655466" w:rsidRDefault="00655466">
      <w:pPr>
        <w:pStyle w:val="a4"/>
        <w:spacing w:before="1" w:line="360" w:lineRule="auto"/>
        <w:ind w:right="239" w:firstLine="480"/>
        <w:jc w:val="both"/>
        <w:rPr>
          <w:lang w:eastAsia="zh-CN"/>
        </w:rPr>
      </w:pPr>
    </w:p>
    <w:p w:rsidR="00655466" w:rsidRDefault="00263D61">
      <w:pPr>
        <w:spacing w:line="364" w:lineRule="auto"/>
        <w:jc w:val="right"/>
        <w:rPr>
          <w:rFonts w:ascii="仿宋" w:eastAsia="仿宋" w:hAnsi="仿宋" w:cs="仿宋"/>
          <w:sz w:val="24"/>
          <w:szCs w:val="24"/>
          <w:lang w:eastAsia="zh-CN"/>
        </w:rPr>
      </w:pPr>
      <w:r>
        <w:rPr>
          <w:rFonts w:ascii="仿宋" w:eastAsia="仿宋" w:hAnsi="仿宋" w:cs="仿宋" w:hint="eastAsia"/>
          <w:sz w:val="24"/>
          <w:szCs w:val="24"/>
          <w:lang w:eastAsia="zh-CN"/>
        </w:rPr>
        <w:t>东方基金管理股份有限公司</w:t>
      </w:r>
    </w:p>
    <w:p w:rsidR="00655466" w:rsidRDefault="00263D61">
      <w:pPr>
        <w:jc w:val="right"/>
        <w:rPr>
          <w:rFonts w:ascii="仿宋" w:eastAsia="仿宋" w:hAnsi="仿宋" w:cs="仿宋"/>
        </w:rPr>
      </w:pPr>
      <w:r>
        <w:rPr>
          <w:rFonts w:ascii="仿宋" w:eastAsia="仿宋" w:hAnsi="仿宋" w:cs="仿宋" w:hint="eastAsia"/>
          <w:sz w:val="24"/>
          <w:szCs w:val="24"/>
        </w:rPr>
        <w:t>二〇二</w:t>
      </w:r>
      <w:r>
        <w:rPr>
          <w:rFonts w:ascii="仿宋" w:eastAsia="仿宋" w:hAnsi="仿宋" w:cs="仿宋" w:hint="eastAsia"/>
          <w:sz w:val="24"/>
          <w:szCs w:val="24"/>
          <w:lang w:eastAsia="zh-CN"/>
        </w:rPr>
        <w:t>六</w:t>
      </w:r>
      <w:r>
        <w:rPr>
          <w:rFonts w:ascii="仿宋" w:eastAsia="仿宋" w:hAnsi="仿宋" w:cs="仿宋" w:hint="eastAsia"/>
          <w:sz w:val="24"/>
          <w:szCs w:val="24"/>
        </w:rPr>
        <w:t>年</w:t>
      </w:r>
      <w:r>
        <w:rPr>
          <w:rFonts w:ascii="仿宋" w:eastAsia="仿宋" w:hAnsi="仿宋" w:cs="仿宋" w:hint="eastAsia"/>
          <w:sz w:val="24"/>
          <w:szCs w:val="24"/>
          <w:lang w:eastAsia="zh-CN"/>
        </w:rPr>
        <w:t>四</w:t>
      </w:r>
      <w:r>
        <w:rPr>
          <w:rFonts w:ascii="仿宋" w:eastAsia="仿宋" w:hAnsi="仿宋" w:cs="仿宋" w:hint="eastAsia"/>
          <w:sz w:val="24"/>
          <w:szCs w:val="24"/>
        </w:rPr>
        <w:t>月</w:t>
      </w:r>
      <w:r>
        <w:rPr>
          <w:rFonts w:ascii="仿宋" w:eastAsia="仿宋" w:hAnsi="仿宋" w:cs="仿宋" w:hint="eastAsia"/>
          <w:sz w:val="24"/>
          <w:szCs w:val="24"/>
          <w:lang w:eastAsia="zh-CN"/>
        </w:rPr>
        <w:t>十</w:t>
      </w:r>
      <w:r>
        <w:rPr>
          <w:rFonts w:ascii="仿宋" w:eastAsia="仿宋" w:hAnsi="仿宋" w:cs="仿宋" w:hint="eastAsia"/>
          <w:sz w:val="24"/>
          <w:szCs w:val="24"/>
        </w:rPr>
        <w:t>日</w:t>
      </w:r>
    </w:p>
    <w:p w:rsidR="00655466" w:rsidRDefault="00655466"/>
    <w:sectPr w:rsidR="00655466" w:rsidSect="006554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E1D8C"/>
    <w:multiLevelType w:val="singleLevel"/>
    <w:tmpl w:val="315E1D8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70B20F73"/>
    <w:rsid w:val="00263D61"/>
    <w:rsid w:val="004A0D2A"/>
    <w:rsid w:val="005E3E5A"/>
    <w:rsid w:val="00655466"/>
    <w:rsid w:val="008A5B7D"/>
    <w:rsid w:val="00AF0BCF"/>
    <w:rsid w:val="09296F3F"/>
    <w:rsid w:val="243D3F00"/>
    <w:rsid w:val="26D63BC5"/>
    <w:rsid w:val="34DE32AE"/>
    <w:rsid w:val="373D7964"/>
    <w:rsid w:val="57024CD0"/>
    <w:rsid w:val="6F962209"/>
    <w:rsid w:val="70B20F73"/>
    <w:rsid w:val="77954E8C"/>
    <w:rsid w:val="78761E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655466"/>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rsid w:val="00655466"/>
    <w:pPr>
      <w:keepNext/>
      <w:keepLines/>
      <w:spacing w:before="340" w:after="330" w:line="578" w:lineRule="auto"/>
      <w:outlineLvl w:val="0"/>
    </w:pPr>
    <w:rPr>
      <w:b/>
      <w:bCs/>
      <w:kern w:val="44"/>
      <w:sz w:val="44"/>
      <w:szCs w:val="44"/>
    </w:rPr>
  </w:style>
  <w:style w:type="paragraph" w:styleId="2">
    <w:name w:val="heading 2"/>
    <w:basedOn w:val="a"/>
    <w:next w:val="a"/>
    <w:uiPriority w:val="1"/>
    <w:qFormat/>
    <w:rsid w:val="00655466"/>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655466"/>
  </w:style>
  <w:style w:type="paragraph" w:styleId="a4">
    <w:name w:val="Body Text"/>
    <w:basedOn w:val="a"/>
    <w:semiHidden/>
    <w:qFormat/>
    <w:rsid w:val="00655466"/>
    <w:rPr>
      <w:rFonts w:ascii="宋体" w:eastAsia="宋体" w:hAnsi="宋体" w:cs="宋体"/>
      <w:sz w:val="20"/>
      <w:szCs w:val="20"/>
    </w:rPr>
  </w:style>
  <w:style w:type="paragraph" w:styleId="a5">
    <w:name w:val="Balloon Text"/>
    <w:basedOn w:val="a"/>
    <w:link w:val="Char0"/>
    <w:rsid w:val="00655466"/>
    <w:rPr>
      <w:sz w:val="18"/>
      <w:szCs w:val="18"/>
    </w:rPr>
  </w:style>
  <w:style w:type="paragraph" w:styleId="a6">
    <w:name w:val="footer"/>
    <w:basedOn w:val="a"/>
    <w:link w:val="Char1"/>
    <w:rsid w:val="00655466"/>
    <w:pPr>
      <w:tabs>
        <w:tab w:val="center" w:pos="4153"/>
        <w:tab w:val="right" w:pos="8306"/>
      </w:tabs>
    </w:pPr>
    <w:rPr>
      <w:sz w:val="18"/>
      <w:szCs w:val="18"/>
    </w:rPr>
  </w:style>
  <w:style w:type="paragraph" w:styleId="a7">
    <w:name w:val="header"/>
    <w:basedOn w:val="a"/>
    <w:link w:val="Char2"/>
    <w:rsid w:val="00655466"/>
    <w:pPr>
      <w:pBdr>
        <w:bottom w:val="single" w:sz="6" w:space="1" w:color="auto"/>
      </w:pBdr>
      <w:tabs>
        <w:tab w:val="center" w:pos="4153"/>
        <w:tab w:val="right" w:pos="8306"/>
      </w:tabs>
      <w:jc w:val="center"/>
    </w:pPr>
    <w:rPr>
      <w:sz w:val="18"/>
      <w:szCs w:val="18"/>
    </w:rPr>
  </w:style>
  <w:style w:type="paragraph" w:styleId="a8">
    <w:name w:val="annotation subject"/>
    <w:basedOn w:val="a3"/>
    <w:next w:val="a3"/>
    <w:link w:val="Char3"/>
    <w:rsid w:val="00655466"/>
    <w:rPr>
      <w:b/>
      <w:bCs/>
    </w:rPr>
  </w:style>
  <w:style w:type="character" w:styleId="a9">
    <w:name w:val="Hyperlink"/>
    <w:basedOn w:val="a0"/>
    <w:qFormat/>
    <w:rsid w:val="00655466"/>
    <w:rPr>
      <w:color w:val="0000FF"/>
      <w:u w:val="single"/>
    </w:rPr>
  </w:style>
  <w:style w:type="character" w:styleId="aa">
    <w:name w:val="annotation reference"/>
    <w:basedOn w:val="a0"/>
    <w:rsid w:val="00655466"/>
    <w:rPr>
      <w:sz w:val="21"/>
      <w:szCs w:val="21"/>
    </w:rPr>
  </w:style>
  <w:style w:type="table" w:customStyle="1" w:styleId="TableNormal">
    <w:name w:val="Table Normal"/>
    <w:semiHidden/>
    <w:unhideWhenUsed/>
    <w:qFormat/>
    <w:rsid w:val="00655466"/>
    <w:tblPr>
      <w:tblCellMar>
        <w:top w:w="0" w:type="dxa"/>
        <w:left w:w="0" w:type="dxa"/>
        <w:bottom w:w="0" w:type="dxa"/>
        <w:right w:w="0" w:type="dxa"/>
      </w:tblCellMar>
    </w:tblPr>
  </w:style>
  <w:style w:type="paragraph" w:styleId="ab">
    <w:name w:val="List Paragraph"/>
    <w:basedOn w:val="a"/>
    <w:uiPriority w:val="1"/>
    <w:qFormat/>
    <w:rsid w:val="00655466"/>
    <w:pPr>
      <w:spacing w:before="160"/>
      <w:ind w:left="220" w:hanging="241"/>
    </w:pPr>
  </w:style>
  <w:style w:type="character" w:customStyle="1" w:styleId="Char2">
    <w:name w:val="页眉 Char"/>
    <w:basedOn w:val="a0"/>
    <w:link w:val="a7"/>
    <w:rsid w:val="00655466"/>
    <w:rPr>
      <w:rFonts w:ascii="Arial" w:eastAsia="Arial" w:hAnsi="Arial" w:cs="Arial"/>
      <w:snapToGrid w:val="0"/>
      <w:color w:val="000000"/>
      <w:sz w:val="18"/>
      <w:szCs w:val="18"/>
      <w:lang w:eastAsia="en-US"/>
    </w:rPr>
  </w:style>
  <w:style w:type="character" w:customStyle="1" w:styleId="Char1">
    <w:name w:val="页脚 Char"/>
    <w:basedOn w:val="a0"/>
    <w:link w:val="a6"/>
    <w:rsid w:val="00655466"/>
    <w:rPr>
      <w:rFonts w:ascii="Arial" w:eastAsia="Arial" w:hAnsi="Arial" w:cs="Arial"/>
      <w:snapToGrid w:val="0"/>
      <w:color w:val="000000"/>
      <w:sz w:val="18"/>
      <w:szCs w:val="18"/>
      <w:lang w:eastAsia="en-US"/>
    </w:rPr>
  </w:style>
  <w:style w:type="character" w:customStyle="1" w:styleId="Char">
    <w:name w:val="批注文字 Char"/>
    <w:basedOn w:val="a0"/>
    <w:link w:val="a3"/>
    <w:rsid w:val="00655466"/>
    <w:rPr>
      <w:rFonts w:ascii="Arial" w:eastAsia="Arial" w:hAnsi="Arial" w:cs="Arial"/>
      <w:snapToGrid w:val="0"/>
      <w:color w:val="000000"/>
      <w:sz w:val="21"/>
      <w:szCs w:val="21"/>
      <w:lang w:eastAsia="en-US"/>
    </w:rPr>
  </w:style>
  <w:style w:type="character" w:customStyle="1" w:styleId="Char3">
    <w:name w:val="批注主题 Char"/>
    <w:basedOn w:val="Char"/>
    <w:link w:val="a8"/>
    <w:rsid w:val="00655466"/>
    <w:rPr>
      <w:b/>
      <w:bCs/>
    </w:rPr>
  </w:style>
  <w:style w:type="character" w:customStyle="1" w:styleId="Char0">
    <w:name w:val="批注框文本 Char"/>
    <w:basedOn w:val="a0"/>
    <w:link w:val="a5"/>
    <w:rsid w:val="00655466"/>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1985</Characters>
  <Application>Microsoft Office Word</Application>
  <DocSecurity>4</DocSecurity>
  <Lines>16</Lines>
  <Paragraphs>4</Paragraphs>
  <ScaleCrop>false</ScaleCrop>
  <Company>CNSTOCK</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souffle</dc:creator>
  <cp:lastModifiedBy>ZHONGM</cp:lastModifiedBy>
  <cp:revision>2</cp:revision>
  <dcterms:created xsi:type="dcterms:W3CDTF">2026-04-09T16:01:00Z</dcterms:created>
  <dcterms:modified xsi:type="dcterms:W3CDTF">2026-04-09T16:01:00Z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148626E8A3904B5E89145359C21BEB23_13</vt:lpwstr>
  </property>
  <property fmtid="{D5CDD505-2E9C-101B-9397-08002B2CF9AE}" pid="4" name="KSOTemplateDocerSaveRecord">
    <vt:lpwstr>eyJoZGlkIjoiYzBhMDUxNThhNDBmZmJmOGUwNTMyNjAzZDFhODEwNmIiLCJ1c2VySWQiOiIyNjIwNTA5MDQifQ==</vt:lpwstr>
  </property>
</Properties>
</file>