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58" w:rsidRDefault="00FF7E2B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关于富国纯债债券型发起式证券投资基金恢复大额申购、转换转入及定期定额投资业务的公告</w:t>
      </w:r>
    </w:p>
    <w:p w:rsidR="00FF0858" w:rsidRDefault="00FF0858">
      <w:pPr>
        <w:jc w:val="right"/>
        <w:rPr>
          <w:b/>
          <w:color w:val="000000"/>
          <w:sz w:val="30"/>
          <w:szCs w:val="30"/>
        </w:rPr>
      </w:pPr>
    </w:p>
    <w:p w:rsidR="00FF0858" w:rsidRDefault="00D179B5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kern w:val="0"/>
          <w:sz w:val="24"/>
        </w:rPr>
        <w:t>2026年4月10日</w:t>
      </w:r>
    </w:p>
    <w:p w:rsidR="00FF0858" w:rsidRDefault="00FF7E2B">
      <w:pPr>
        <w:pStyle w:val="1"/>
      </w:pPr>
      <w:r>
        <w:rPr>
          <w:rFonts w:hint="eastAsia"/>
        </w:rPr>
        <w:t>公告基本信息</w:t>
      </w:r>
      <w:bookmarkEnd w:id="0"/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2410"/>
        <w:gridCol w:w="1040"/>
        <w:gridCol w:w="1041"/>
        <w:gridCol w:w="2081"/>
        <w:gridCol w:w="2082"/>
      </w:tblGrid>
      <w:tr w:rsidR="00FF0858">
        <w:trPr>
          <w:cantSplit/>
          <w:jc w:val="center"/>
        </w:trPr>
        <w:tc>
          <w:tcPr>
            <w:tcW w:w="3823" w:type="dxa"/>
            <w:gridSpan w:val="2"/>
          </w:tcPr>
          <w:p w:rsidR="00FF0858" w:rsidRDefault="00FF7E2B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244" w:type="dxa"/>
            <w:gridSpan w:val="4"/>
          </w:tcPr>
          <w:p w:rsidR="00FF0858" w:rsidRDefault="00FF7E2B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富国纯债债券型发起式证券投资基金</w:t>
            </w:r>
          </w:p>
        </w:tc>
      </w:tr>
      <w:tr w:rsidR="00FF0858">
        <w:trPr>
          <w:cantSplit/>
          <w:jc w:val="center"/>
        </w:trPr>
        <w:tc>
          <w:tcPr>
            <w:tcW w:w="3823" w:type="dxa"/>
            <w:gridSpan w:val="2"/>
          </w:tcPr>
          <w:p w:rsidR="00FF0858" w:rsidRDefault="00FF7E2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244" w:type="dxa"/>
            <w:gridSpan w:val="4"/>
          </w:tcPr>
          <w:p w:rsidR="00FF0858" w:rsidRDefault="00FF7E2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</w:p>
        </w:tc>
      </w:tr>
      <w:tr w:rsidR="00FF0858">
        <w:trPr>
          <w:cantSplit/>
          <w:jc w:val="center"/>
        </w:trPr>
        <w:tc>
          <w:tcPr>
            <w:tcW w:w="3823" w:type="dxa"/>
            <w:gridSpan w:val="2"/>
          </w:tcPr>
          <w:p w:rsidR="00FF0858" w:rsidRDefault="00FF7E2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244" w:type="dxa"/>
            <w:gridSpan w:val="4"/>
          </w:tcPr>
          <w:p w:rsidR="00FF0858" w:rsidRDefault="00FF7E2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100066</w:t>
            </w:r>
          </w:p>
        </w:tc>
      </w:tr>
      <w:tr w:rsidR="00FF0858">
        <w:trPr>
          <w:cantSplit/>
          <w:jc w:val="center"/>
        </w:trPr>
        <w:tc>
          <w:tcPr>
            <w:tcW w:w="3823" w:type="dxa"/>
            <w:gridSpan w:val="2"/>
          </w:tcPr>
          <w:p w:rsidR="00FF0858" w:rsidRDefault="00FF7E2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244" w:type="dxa"/>
            <w:gridSpan w:val="4"/>
          </w:tcPr>
          <w:p w:rsidR="00FF0858" w:rsidRDefault="00FF7E2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FF0858">
        <w:trPr>
          <w:cantSplit/>
          <w:jc w:val="center"/>
        </w:trPr>
        <w:tc>
          <w:tcPr>
            <w:tcW w:w="3823" w:type="dxa"/>
            <w:gridSpan w:val="2"/>
          </w:tcPr>
          <w:p w:rsidR="00FF0858" w:rsidRDefault="00FF7E2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244" w:type="dxa"/>
            <w:gridSpan w:val="4"/>
          </w:tcPr>
          <w:p w:rsidR="00FF0858" w:rsidRDefault="00FF7E2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《中华人民共和国证券投资基金法》及配套法规、《富国纯债债券型发起式证券投资基金基金合同》、《富国纯债债券型发起式证券投资基金招募说明书》及其更新等</w:t>
            </w:r>
          </w:p>
        </w:tc>
      </w:tr>
      <w:tr w:rsidR="00FF0858">
        <w:trPr>
          <w:cantSplit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858" w:rsidRDefault="00FF7E2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恢复大额申购日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77148F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2026年4月13日</w:t>
            </w:r>
          </w:p>
        </w:tc>
      </w:tr>
      <w:tr w:rsidR="00FF0858">
        <w:trPr>
          <w:cantSplit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858" w:rsidRDefault="00FF085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恢复大额转换转入日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77148F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2026年4月13日</w:t>
            </w:r>
          </w:p>
        </w:tc>
      </w:tr>
      <w:tr w:rsidR="00FF0858">
        <w:trPr>
          <w:cantSplit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858" w:rsidRDefault="00FF085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恢复大额定期定额投资日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77148F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2026年4月13日</w:t>
            </w:r>
          </w:p>
        </w:tc>
      </w:tr>
      <w:tr w:rsidR="00FF0858">
        <w:trPr>
          <w:cantSplit/>
          <w:trHeight w:val="1102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085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恢复大额申购、转换转入及定期定额投资业务的原因说明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本基金目前运作平稳，之前考虑限制大额申购、转换转入及定期定额投资业务的因素对基金投资运作的影响已消除。</w:t>
            </w:r>
          </w:p>
        </w:tc>
      </w:tr>
      <w:tr w:rsidR="00FF0858">
        <w:trPr>
          <w:cantSplit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58" w:rsidRDefault="00FF7E2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富国纯债债券发起式A/B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富国纯债债券发起式C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富国纯债债券发起式E</w:t>
            </w:r>
          </w:p>
        </w:tc>
      </w:tr>
      <w:tr w:rsidR="00FF0858">
        <w:trPr>
          <w:cantSplit/>
          <w:trHeight w:val="158"/>
          <w:jc w:val="center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858" w:rsidRDefault="00FF7E2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58" w:rsidRDefault="00FF7E2B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前端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58" w:rsidRDefault="00FF7E2B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后端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858" w:rsidRDefault="00FF7E2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858" w:rsidRDefault="00FF7E2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019191</w:t>
            </w:r>
          </w:p>
        </w:tc>
      </w:tr>
      <w:tr w:rsidR="00FF0858">
        <w:trPr>
          <w:cantSplit/>
          <w:trHeight w:val="157"/>
          <w:jc w:val="center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58" w:rsidRDefault="00FF085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100067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58" w:rsidRDefault="00FF085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085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FF0858">
        <w:trPr>
          <w:cantSplit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58" w:rsidRDefault="00FF7E2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该分级基金是否恢复大额申购、转换转入及定期定额投资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D95BEF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D95BEF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8" w:rsidRDefault="00FF7E2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</w:tbl>
    <w:p w:rsidR="00FF0858" w:rsidRDefault="00FF7E2B">
      <w:pPr>
        <w:pStyle w:val="1"/>
      </w:pPr>
      <w:bookmarkStart w:id="1" w:name="_Toc275961406"/>
      <w:r>
        <w:t>其他需要提示的事项</w:t>
      </w:r>
      <w:bookmarkEnd w:id="1"/>
    </w:p>
    <w:p w:rsidR="00FF0858" w:rsidRDefault="00FF7E2B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、本基金管理人原</w:t>
      </w:r>
      <w:r>
        <w:rPr>
          <w:rFonts w:hint="eastAsia"/>
          <w:color w:val="000000"/>
          <w:sz w:val="24"/>
        </w:rPr>
        <w:t>决定自</w:t>
      </w:r>
      <w:r w:rsidR="00AE2BC7">
        <w:rPr>
          <w:rFonts w:hint="eastAsia"/>
          <w:color w:val="000000"/>
          <w:sz w:val="24"/>
        </w:rPr>
        <w:t>2026</w:t>
      </w:r>
      <w:bookmarkStart w:id="2" w:name="_GoBack"/>
      <w:bookmarkEnd w:id="2"/>
      <w:r>
        <w:rPr>
          <w:rFonts w:hint="eastAsia"/>
          <w:color w:val="000000"/>
          <w:sz w:val="24"/>
        </w:rPr>
        <w:t>年</w:t>
      </w:r>
      <w:r w:rsidR="00456758"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月</w:t>
      </w:r>
      <w:r w:rsidR="00456758"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日起暂停接受单个基金账户对本基金</w:t>
      </w:r>
      <w:r w:rsidR="008320F3">
        <w:rPr>
          <w:rFonts w:hint="eastAsia"/>
          <w:color w:val="000000"/>
          <w:sz w:val="24"/>
        </w:rPr>
        <w:t>单个基金份额</w:t>
      </w:r>
      <w:r>
        <w:rPr>
          <w:rFonts w:hint="eastAsia"/>
          <w:color w:val="000000"/>
          <w:sz w:val="24"/>
        </w:rPr>
        <w:t>日累计金额超过</w:t>
      </w:r>
      <w:r w:rsidR="008320F3">
        <w:rPr>
          <w:rFonts w:hint="eastAsia"/>
          <w:color w:val="000000"/>
          <w:sz w:val="24"/>
        </w:rPr>
        <w:t>1,000</w:t>
      </w:r>
      <w:r w:rsidR="008320F3">
        <w:rPr>
          <w:rFonts w:hint="eastAsia"/>
          <w:color w:val="000000"/>
          <w:sz w:val="24"/>
        </w:rPr>
        <w:t>万元</w:t>
      </w:r>
      <w:r>
        <w:rPr>
          <w:rFonts w:hint="eastAsia"/>
          <w:color w:val="000000"/>
          <w:sz w:val="24"/>
        </w:rPr>
        <w:t>（不含</w:t>
      </w:r>
      <w:r w:rsidR="008320F3">
        <w:rPr>
          <w:rFonts w:hint="eastAsia"/>
          <w:color w:val="000000"/>
          <w:sz w:val="24"/>
        </w:rPr>
        <w:t>1,000</w:t>
      </w:r>
      <w:r w:rsidR="008320F3">
        <w:rPr>
          <w:rFonts w:hint="eastAsia"/>
          <w:color w:val="000000"/>
          <w:sz w:val="24"/>
        </w:rPr>
        <w:t>万元</w:t>
      </w:r>
      <w:r>
        <w:rPr>
          <w:rFonts w:hint="eastAsia"/>
          <w:color w:val="000000"/>
          <w:sz w:val="24"/>
        </w:rPr>
        <w:t>）的申购、转换转入及定期定额投资业务申请（详见</w:t>
      </w:r>
      <w:r w:rsidR="00767A5F">
        <w:rPr>
          <w:rFonts w:hint="eastAsia"/>
          <w:color w:val="000000"/>
          <w:sz w:val="24"/>
        </w:rPr>
        <w:t>2026</w:t>
      </w:r>
      <w:r>
        <w:rPr>
          <w:rFonts w:hint="eastAsia"/>
          <w:color w:val="000000"/>
          <w:sz w:val="24"/>
        </w:rPr>
        <w:t>年</w:t>
      </w:r>
      <w:r w:rsidR="00767A5F"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月</w:t>
      </w:r>
      <w:r w:rsidR="00767A5F"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日公告）</w:t>
      </w:r>
      <w:r>
        <w:rPr>
          <w:color w:val="000000"/>
          <w:sz w:val="24"/>
        </w:rPr>
        <w:t>，考虑到之前的影响因素已消除，本基金管理人现决定自</w:t>
      </w:r>
      <w:r w:rsidR="0077148F">
        <w:rPr>
          <w:color w:val="000000"/>
          <w:sz w:val="24"/>
        </w:rPr>
        <w:t>2026</w:t>
      </w:r>
      <w:r w:rsidR="0077148F">
        <w:rPr>
          <w:color w:val="000000"/>
          <w:sz w:val="24"/>
        </w:rPr>
        <w:t>年</w:t>
      </w:r>
      <w:r w:rsidR="0077148F">
        <w:rPr>
          <w:color w:val="000000"/>
          <w:sz w:val="24"/>
        </w:rPr>
        <w:t>4</w:t>
      </w:r>
      <w:r w:rsidR="0077148F">
        <w:rPr>
          <w:color w:val="000000"/>
          <w:sz w:val="24"/>
        </w:rPr>
        <w:t>月</w:t>
      </w:r>
      <w:r w:rsidR="0077148F">
        <w:rPr>
          <w:color w:val="000000"/>
          <w:sz w:val="24"/>
        </w:rPr>
        <w:t>13</w:t>
      </w:r>
      <w:r w:rsidR="0077148F">
        <w:rPr>
          <w:color w:val="000000"/>
          <w:sz w:val="24"/>
        </w:rPr>
        <w:t>日</w:t>
      </w:r>
      <w:r>
        <w:rPr>
          <w:color w:val="000000"/>
          <w:sz w:val="24"/>
        </w:rPr>
        <w:t>起恢复接受单个基金账户对本基金</w:t>
      </w:r>
      <w:r w:rsidR="008320F3">
        <w:rPr>
          <w:rFonts w:hint="eastAsia"/>
          <w:color w:val="000000"/>
          <w:sz w:val="24"/>
        </w:rPr>
        <w:t>单个基金份额</w:t>
      </w:r>
      <w:r>
        <w:rPr>
          <w:color w:val="000000"/>
          <w:sz w:val="24"/>
        </w:rPr>
        <w:t>日累计金额超</w:t>
      </w:r>
      <w:r>
        <w:rPr>
          <w:color w:val="000000"/>
          <w:sz w:val="24"/>
        </w:rPr>
        <w:lastRenderedPageBreak/>
        <w:t>过</w:t>
      </w:r>
      <w:r w:rsidR="008320F3">
        <w:rPr>
          <w:color w:val="000000"/>
          <w:sz w:val="24"/>
        </w:rPr>
        <w:t>1,000</w:t>
      </w:r>
      <w:r w:rsidR="008320F3">
        <w:rPr>
          <w:color w:val="000000"/>
          <w:sz w:val="24"/>
        </w:rPr>
        <w:t>万元</w:t>
      </w:r>
      <w:r>
        <w:rPr>
          <w:color w:val="000000"/>
          <w:sz w:val="24"/>
        </w:rPr>
        <w:t>（不含</w:t>
      </w:r>
      <w:r w:rsidR="008320F3">
        <w:rPr>
          <w:color w:val="000000"/>
          <w:sz w:val="24"/>
        </w:rPr>
        <w:t>1,000</w:t>
      </w:r>
      <w:r w:rsidR="008320F3">
        <w:rPr>
          <w:color w:val="000000"/>
          <w:sz w:val="24"/>
        </w:rPr>
        <w:t>万元</w:t>
      </w:r>
      <w:r>
        <w:rPr>
          <w:color w:val="000000"/>
          <w:sz w:val="24"/>
        </w:rPr>
        <w:t>）的申购、转换转入及定期定额投资业务申请。</w:t>
      </w:r>
    </w:p>
    <w:p w:rsidR="00FF0858" w:rsidRDefault="00FF7E2B">
      <w:p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、投资者可以登录富国基金管理有限公司网站</w:t>
      </w:r>
      <w:r>
        <w:rPr>
          <w:rFonts w:hint="eastAsia"/>
          <w:color w:val="000000"/>
          <w:sz w:val="24"/>
        </w:rPr>
        <w:t>www.fullgoal.com.cn</w:t>
      </w:r>
      <w:r>
        <w:rPr>
          <w:rFonts w:hint="eastAsia"/>
          <w:color w:val="000000"/>
          <w:sz w:val="24"/>
        </w:rPr>
        <w:t>或拨打富国基金管理有限公司客户服务热线</w:t>
      </w:r>
      <w:r>
        <w:rPr>
          <w:rFonts w:hint="eastAsia"/>
          <w:color w:val="000000"/>
          <w:sz w:val="24"/>
        </w:rPr>
        <w:t>95105686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4008880688</w:t>
      </w:r>
      <w:r>
        <w:rPr>
          <w:rFonts w:hint="eastAsia"/>
          <w:color w:val="000000"/>
          <w:sz w:val="24"/>
        </w:rPr>
        <w:t>（全国统一，均免长途费）进行相关咨询。</w:t>
      </w:r>
    </w:p>
    <w:p w:rsidR="00FF0858" w:rsidRDefault="00FF7E2B">
      <w:p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FF0858" w:rsidRDefault="00FF7E2B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FF0858" w:rsidRDefault="00FF7E2B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FF0858" w:rsidRDefault="00D179B5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2026年4月10日</w:t>
      </w:r>
    </w:p>
    <w:sectPr w:rsidR="00FF0858" w:rsidSect="00E762FD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AAA" w:rsidRDefault="00737AAA" w:rsidP="009C0013">
      <w:r>
        <w:separator/>
      </w:r>
    </w:p>
  </w:endnote>
  <w:endnote w:type="continuationSeparator" w:id="0">
    <w:p w:rsidR="00737AAA" w:rsidRDefault="00737AAA" w:rsidP="009C0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AAA" w:rsidRDefault="00737AAA" w:rsidP="009C0013">
      <w:r>
        <w:separator/>
      </w:r>
    </w:p>
  </w:footnote>
  <w:footnote w:type="continuationSeparator" w:id="0">
    <w:p w:rsidR="00737AAA" w:rsidRDefault="00737AAA" w:rsidP="009C0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04FC5"/>
    <w:multiLevelType w:val="multilevel"/>
    <w:tmpl w:val="4B704FC5"/>
    <w:lvl w:ilvl="0">
      <w:start w:val="1"/>
      <w:numFmt w:val="decimal"/>
      <w:pStyle w:val="1"/>
      <w:suff w:val="space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129BF"/>
    <w:rsid w:val="00016BE9"/>
    <w:rsid w:val="00032D94"/>
    <w:rsid w:val="000634F0"/>
    <w:rsid w:val="00091486"/>
    <w:rsid w:val="00091DA1"/>
    <w:rsid w:val="000B5FFC"/>
    <w:rsid w:val="000D34BA"/>
    <w:rsid w:val="0010286D"/>
    <w:rsid w:val="00103B85"/>
    <w:rsid w:val="00106934"/>
    <w:rsid w:val="00125246"/>
    <w:rsid w:val="00160463"/>
    <w:rsid w:val="00161611"/>
    <w:rsid w:val="0016614F"/>
    <w:rsid w:val="00167474"/>
    <w:rsid w:val="0017409F"/>
    <w:rsid w:val="0018757E"/>
    <w:rsid w:val="001A23F3"/>
    <w:rsid w:val="001C50AB"/>
    <w:rsid w:val="001E3807"/>
    <w:rsid w:val="00206191"/>
    <w:rsid w:val="002246FB"/>
    <w:rsid w:val="002352E7"/>
    <w:rsid w:val="00242AF0"/>
    <w:rsid w:val="002524A2"/>
    <w:rsid w:val="00254ED2"/>
    <w:rsid w:val="002553C3"/>
    <w:rsid w:val="0025618E"/>
    <w:rsid w:val="00281AE2"/>
    <w:rsid w:val="00282DEB"/>
    <w:rsid w:val="00283002"/>
    <w:rsid w:val="00293001"/>
    <w:rsid w:val="00296DE0"/>
    <w:rsid w:val="002A7130"/>
    <w:rsid w:val="002B0A00"/>
    <w:rsid w:val="002D4A9A"/>
    <w:rsid w:val="002E46CA"/>
    <w:rsid w:val="002F062C"/>
    <w:rsid w:val="0033773A"/>
    <w:rsid w:val="00340BC0"/>
    <w:rsid w:val="00363752"/>
    <w:rsid w:val="003673E9"/>
    <w:rsid w:val="00370B6E"/>
    <w:rsid w:val="00375647"/>
    <w:rsid w:val="00381FC0"/>
    <w:rsid w:val="00386173"/>
    <w:rsid w:val="00387F42"/>
    <w:rsid w:val="003B2E87"/>
    <w:rsid w:val="003B74CD"/>
    <w:rsid w:val="003C2515"/>
    <w:rsid w:val="003F07FE"/>
    <w:rsid w:val="00402B8F"/>
    <w:rsid w:val="00416279"/>
    <w:rsid w:val="004419DD"/>
    <w:rsid w:val="00456758"/>
    <w:rsid w:val="00462E8C"/>
    <w:rsid w:val="0046512C"/>
    <w:rsid w:val="00492A32"/>
    <w:rsid w:val="004A3221"/>
    <w:rsid w:val="004D08A0"/>
    <w:rsid w:val="004D758F"/>
    <w:rsid w:val="0050575E"/>
    <w:rsid w:val="00507A11"/>
    <w:rsid w:val="00513F60"/>
    <w:rsid w:val="005253DB"/>
    <w:rsid w:val="00534E83"/>
    <w:rsid w:val="00544911"/>
    <w:rsid w:val="00571E78"/>
    <w:rsid w:val="00574F5A"/>
    <w:rsid w:val="005937F1"/>
    <w:rsid w:val="005A6FFF"/>
    <w:rsid w:val="005E4FC9"/>
    <w:rsid w:val="0061664E"/>
    <w:rsid w:val="00627E9A"/>
    <w:rsid w:val="006462FC"/>
    <w:rsid w:val="0066051E"/>
    <w:rsid w:val="006823E8"/>
    <w:rsid w:val="00684853"/>
    <w:rsid w:val="00687A97"/>
    <w:rsid w:val="006C715B"/>
    <w:rsid w:val="006D1353"/>
    <w:rsid w:val="006D6B7B"/>
    <w:rsid w:val="006E127B"/>
    <w:rsid w:val="00714096"/>
    <w:rsid w:val="00737AAA"/>
    <w:rsid w:val="00752807"/>
    <w:rsid w:val="0076116E"/>
    <w:rsid w:val="00767A5F"/>
    <w:rsid w:val="0077148F"/>
    <w:rsid w:val="0077612E"/>
    <w:rsid w:val="0078607E"/>
    <w:rsid w:val="008162FD"/>
    <w:rsid w:val="008320F3"/>
    <w:rsid w:val="00892B62"/>
    <w:rsid w:val="0089500E"/>
    <w:rsid w:val="008B17A9"/>
    <w:rsid w:val="008E11F3"/>
    <w:rsid w:val="009269A3"/>
    <w:rsid w:val="00932799"/>
    <w:rsid w:val="00932CA8"/>
    <w:rsid w:val="00937448"/>
    <w:rsid w:val="009413D9"/>
    <w:rsid w:val="00961000"/>
    <w:rsid w:val="00985083"/>
    <w:rsid w:val="009C0013"/>
    <w:rsid w:val="009D2C32"/>
    <w:rsid w:val="009F21A3"/>
    <w:rsid w:val="00A171B3"/>
    <w:rsid w:val="00A359FD"/>
    <w:rsid w:val="00A65B82"/>
    <w:rsid w:val="00A66EEF"/>
    <w:rsid w:val="00A90AC9"/>
    <w:rsid w:val="00AE2BC7"/>
    <w:rsid w:val="00AF02DA"/>
    <w:rsid w:val="00AF203E"/>
    <w:rsid w:val="00B020E2"/>
    <w:rsid w:val="00B03168"/>
    <w:rsid w:val="00B039C5"/>
    <w:rsid w:val="00B23342"/>
    <w:rsid w:val="00B252A6"/>
    <w:rsid w:val="00B37EDF"/>
    <w:rsid w:val="00B5552F"/>
    <w:rsid w:val="00BB0834"/>
    <w:rsid w:val="00BB2A48"/>
    <w:rsid w:val="00BC2B20"/>
    <w:rsid w:val="00C0304E"/>
    <w:rsid w:val="00C12F12"/>
    <w:rsid w:val="00C14369"/>
    <w:rsid w:val="00C21DB7"/>
    <w:rsid w:val="00C32EF7"/>
    <w:rsid w:val="00C8167A"/>
    <w:rsid w:val="00C82B41"/>
    <w:rsid w:val="00C94EAB"/>
    <w:rsid w:val="00CC0A7C"/>
    <w:rsid w:val="00CC175D"/>
    <w:rsid w:val="00CC7545"/>
    <w:rsid w:val="00CE24EB"/>
    <w:rsid w:val="00D12C5F"/>
    <w:rsid w:val="00D179B5"/>
    <w:rsid w:val="00D3544B"/>
    <w:rsid w:val="00D7653E"/>
    <w:rsid w:val="00D823E2"/>
    <w:rsid w:val="00D91D63"/>
    <w:rsid w:val="00D95BEF"/>
    <w:rsid w:val="00DB113E"/>
    <w:rsid w:val="00E1503D"/>
    <w:rsid w:val="00E458D5"/>
    <w:rsid w:val="00E6133E"/>
    <w:rsid w:val="00E63817"/>
    <w:rsid w:val="00E663C8"/>
    <w:rsid w:val="00E762FD"/>
    <w:rsid w:val="00EA72EC"/>
    <w:rsid w:val="00EC4C64"/>
    <w:rsid w:val="00ED2EA3"/>
    <w:rsid w:val="00F076FE"/>
    <w:rsid w:val="00F93F60"/>
    <w:rsid w:val="00FB74E2"/>
    <w:rsid w:val="00FC33EB"/>
    <w:rsid w:val="00FD2AE2"/>
    <w:rsid w:val="00FF0858"/>
    <w:rsid w:val="00FF7E2B"/>
    <w:rsid w:val="0A5159CC"/>
    <w:rsid w:val="218E6263"/>
    <w:rsid w:val="278013F0"/>
    <w:rsid w:val="41EC3A55"/>
    <w:rsid w:val="447D71A7"/>
    <w:rsid w:val="48D30CA2"/>
    <w:rsid w:val="53327364"/>
    <w:rsid w:val="6E006115"/>
    <w:rsid w:val="7ADF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762F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E762FD"/>
    <w:pPr>
      <w:keepNext/>
      <w:keepLines/>
      <w:numPr>
        <w:numId w:val="1"/>
      </w:numPr>
      <w:spacing w:before="120" w:after="120" w:line="578" w:lineRule="auto"/>
      <w:ind w:hanging="709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0"/>
    <w:next w:val="a0"/>
    <w:qFormat/>
    <w:rsid w:val="00E762F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qFormat/>
    <w:rsid w:val="00E762FD"/>
    <w:pPr>
      <w:shd w:val="clear" w:color="auto" w:fill="000080"/>
    </w:pPr>
  </w:style>
  <w:style w:type="paragraph" w:styleId="a5">
    <w:name w:val="annotation text"/>
    <w:basedOn w:val="a0"/>
    <w:rsid w:val="00E762FD"/>
    <w:pPr>
      <w:jc w:val="left"/>
    </w:pPr>
  </w:style>
  <w:style w:type="paragraph" w:styleId="3">
    <w:name w:val="toc 3"/>
    <w:next w:val="a0"/>
    <w:uiPriority w:val="39"/>
    <w:unhideWhenUsed/>
    <w:qFormat/>
    <w:rsid w:val="00E762FD"/>
    <w:pPr>
      <w:spacing w:after="100"/>
      <w:ind w:left="440"/>
    </w:pPr>
  </w:style>
  <w:style w:type="paragraph" w:styleId="a6">
    <w:name w:val="Balloon Text"/>
    <w:link w:val="Char"/>
    <w:uiPriority w:val="99"/>
    <w:semiHidden/>
    <w:unhideWhenUsed/>
    <w:qFormat/>
    <w:rsid w:val="00E762FD"/>
    <w:rPr>
      <w:rFonts w:ascii="Tahoma" w:hAnsi="Tahoma" w:cs="Tahoma"/>
      <w:sz w:val="16"/>
      <w:szCs w:val="16"/>
    </w:rPr>
  </w:style>
  <w:style w:type="paragraph" w:styleId="a7">
    <w:name w:val="footer"/>
    <w:basedOn w:val="a0"/>
    <w:link w:val="Char0"/>
    <w:qFormat/>
    <w:rsid w:val="00E76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1"/>
    <w:qFormat/>
    <w:rsid w:val="00E76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qFormat/>
    <w:rsid w:val="00E762FD"/>
    <w:pPr>
      <w:spacing w:after="100"/>
    </w:pPr>
  </w:style>
  <w:style w:type="paragraph" w:styleId="4">
    <w:name w:val="toc 4"/>
    <w:next w:val="a0"/>
    <w:uiPriority w:val="39"/>
    <w:unhideWhenUsed/>
    <w:qFormat/>
    <w:rsid w:val="00E762FD"/>
    <w:pPr>
      <w:spacing w:after="100"/>
      <w:ind w:left="660"/>
    </w:pPr>
  </w:style>
  <w:style w:type="paragraph" w:styleId="a9">
    <w:name w:val="footnote text"/>
    <w:basedOn w:val="a0"/>
    <w:qFormat/>
    <w:rsid w:val="00E762FD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qFormat/>
    <w:rsid w:val="00E762FD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E762FD"/>
    <w:pPr>
      <w:numPr>
        <w:numId w:val="2"/>
      </w:numPr>
      <w:ind w:hanging="1271"/>
      <w:jc w:val="left"/>
    </w:pPr>
    <w:rPr>
      <w:rFonts w:ascii="Calibri" w:hAnsi="Calibri"/>
      <w:lang w:val="zh-CN"/>
    </w:rPr>
  </w:style>
  <w:style w:type="character" w:styleId="aa">
    <w:name w:val="Hyperlink"/>
    <w:uiPriority w:val="99"/>
    <w:unhideWhenUsed/>
    <w:qFormat/>
    <w:rsid w:val="00E762FD"/>
    <w:rPr>
      <w:color w:val="0563C1" w:themeColor="hyperlink"/>
      <w:u w:val="single"/>
    </w:rPr>
  </w:style>
  <w:style w:type="character" w:styleId="ab">
    <w:name w:val="footnote reference"/>
    <w:qFormat/>
    <w:rsid w:val="00E762FD"/>
    <w:rPr>
      <w:vertAlign w:val="superscript"/>
    </w:rPr>
  </w:style>
  <w:style w:type="paragraph" w:customStyle="1" w:styleId="Char3">
    <w:name w:val="Char"/>
    <w:basedOn w:val="a0"/>
    <w:qFormat/>
    <w:rsid w:val="00E762FD"/>
  </w:style>
  <w:style w:type="character" w:customStyle="1" w:styleId="Char1">
    <w:name w:val="页眉 Char"/>
    <w:link w:val="a8"/>
    <w:qFormat/>
    <w:rsid w:val="00E762FD"/>
    <w:rPr>
      <w:kern w:val="2"/>
      <w:sz w:val="18"/>
      <w:szCs w:val="18"/>
    </w:rPr>
  </w:style>
  <w:style w:type="character" w:customStyle="1" w:styleId="Char0">
    <w:name w:val="页脚 Char"/>
    <w:link w:val="a7"/>
    <w:qFormat/>
    <w:rsid w:val="00E762FD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E762FD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c">
    <w:name w:val="Placeholder Text"/>
    <w:basedOn w:val="a1"/>
    <w:uiPriority w:val="99"/>
    <w:semiHidden/>
    <w:qFormat/>
    <w:rsid w:val="00E762FD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E762FD"/>
    <w:rPr>
      <w:lang w:eastAsia="ja-JP"/>
    </w:rPr>
  </w:style>
  <w:style w:type="character" w:customStyle="1" w:styleId="Char">
    <w:name w:val="批注框文本 Char"/>
    <w:link w:val="a6"/>
    <w:uiPriority w:val="99"/>
    <w:semiHidden/>
    <w:qFormat/>
    <w:rsid w:val="00E76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4674;&#22797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共同基金_临时公告(基金恢复大额申购等业务公告)_LS0000_公募临时公告.dotx</Template>
  <TotalTime>0</TotalTime>
  <Pages>2</Pages>
  <Words>142</Words>
  <Characters>812</Characters>
  <Application>Microsoft Office Word</Application>
  <DocSecurity>4</DocSecurity>
  <Lines>6</Lines>
  <Paragraphs>1</Paragraphs>
  <ScaleCrop>false</ScaleCrop>
  <Company>fullgoal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2026-04-09T16:02:00Z</dcterms:created>
  <dcterms:modified xsi:type="dcterms:W3CDTF">2026-04-09T16:02:00Z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5048E1A0A29446209882175BE41703EF_13</vt:lpwstr>
  </property>
</Properties>
</file>