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3BF0" w:rsidRDefault="00E33BF0">
      <w:pPr>
        <w:autoSpaceDE w:val="0"/>
        <w:autoSpaceDN w:val="0"/>
        <w:adjustRightInd w:val="0"/>
        <w:snapToGrid w:val="0"/>
        <w:jc w:val="center"/>
        <w:rPr>
          <w:rFonts w:ascii="微软雅黑" w:eastAsia="微软雅黑" w:hAnsi="微软雅黑" w:hint="eastAsia"/>
          <w:b/>
          <w:color w:val="000000"/>
          <w:kern w:val="0"/>
          <w:sz w:val="32"/>
          <w:szCs w:val="30"/>
        </w:rPr>
      </w:pPr>
      <w:r>
        <w:rPr>
          <w:rFonts w:ascii="微软雅黑" w:eastAsia="微软雅黑" w:hAnsi="微软雅黑" w:hint="eastAsia"/>
          <w:b/>
          <w:color w:val="000000"/>
          <w:kern w:val="0"/>
          <w:sz w:val="32"/>
          <w:szCs w:val="30"/>
        </w:rPr>
        <w:t>前海开源裕安3个月持有期混合型基金中基金（FOF）</w:t>
      </w:r>
    </w:p>
    <w:p w:rsidR="00E33BF0" w:rsidRDefault="00E33BF0">
      <w:pPr>
        <w:autoSpaceDE w:val="0"/>
        <w:autoSpaceDN w:val="0"/>
        <w:adjustRightInd w:val="0"/>
        <w:snapToGrid w:val="0"/>
        <w:jc w:val="center"/>
        <w:rPr>
          <w:rFonts w:ascii="微软雅黑" w:eastAsia="微软雅黑" w:hAnsi="微软雅黑"/>
          <w:b/>
          <w:color w:val="000000"/>
          <w:kern w:val="0"/>
          <w:sz w:val="32"/>
          <w:szCs w:val="30"/>
        </w:rPr>
      </w:pPr>
      <w:r>
        <w:rPr>
          <w:rFonts w:ascii="微软雅黑" w:eastAsia="微软雅黑" w:hAnsi="微软雅黑" w:hint="eastAsia"/>
          <w:b/>
          <w:color w:val="000000"/>
          <w:kern w:val="0"/>
          <w:sz w:val="32"/>
          <w:szCs w:val="30"/>
        </w:rPr>
        <w:t>基金份额发售公告</w:t>
      </w:r>
    </w:p>
    <w:p w:rsidR="00E33BF0" w:rsidRDefault="00E33BF0">
      <w:pPr>
        <w:autoSpaceDE w:val="0"/>
        <w:autoSpaceDN w:val="0"/>
        <w:adjustRightInd w:val="0"/>
        <w:snapToGrid w:val="0"/>
        <w:spacing w:line="360" w:lineRule="auto"/>
        <w:jc w:val="center"/>
        <w:rPr>
          <w:rFonts w:ascii="宋体" w:hAnsi="宋体"/>
          <w:b/>
          <w:bCs/>
          <w:color w:val="000000"/>
          <w:kern w:val="0"/>
          <w:szCs w:val="21"/>
        </w:rPr>
      </w:pPr>
    </w:p>
    <w:p w:rsidR="00E33BF0" w:rsidRDefault="00E33BF0">
      <w:pPr>
        <w:autoSpaceDE w:val="0"/>
        <w:autoSpaceDN w:val="0"/>
        <w:adjustRightInd w:val="0"/>
        <w:snapToGrid w:val="0"/>
        <w:spacing w:line="360" w:lineRule="auto"/>
        <w:jc w:val="center"/>
        <w:outlineLvl w:val="0"/>
        <w:rPr>
          <w:rFonts w:ascii="宋体" w:hAnsi="宋体"/>
          <w:b/>
          <w:bCs/>
          <w:color w:val="000000"/>
          <w:kern w:val="0"/>
          <w:szCs w:val="21"/>
        </w:rPr>
      </w:pPr>
      <w:r>
        <w:rPr>
          <w:rFonts w:ascii="宋体" w:hAnsi="宋体"/>
          <w:b/>
          <w:bCs/>
          <w:color w:val="000000"/>
          <w:kern w:val="0"/>
          <w:szCs w:val="21"/>
        </w:rPr>
        <w:t>[</w:t>
      </w:r>
      <w:r>
        <w:rPr>
          <w:rFonts w:ascii="宋体" w:hAnsi="宋体" w:hint="eastAsia"/>
          <w:b/>
          <w:bCs/>
          <w:color w:val="000000"/>
          <w:kern w:val="0"/>
          <w:szCs w:val="21"/>
        </w:rPr>
        <w:t>重要提示</w:t>
      </w:r>
      <w:r>
        <w:rPr>
          <w:rFonts w:ascii="宋体" w:hAnsi="宋体"/>
          <w:b/>
          <w:bCs/>
          <w:color w:val="000000"/>
          <w:kern w:val="0"/>
          <w:szCs w:val="21"/>
        </w:rPr>
        <w:t>]</w:t>
      </w:r>
    </w:p>
    <w:p w:rsidR="00E33BF0" w:rsidRDefault="00E33BF0">
      <w:pPr>
        <w:autoSpaceDE w:val="0"/>
        <w:autoSpaceDN w:val="0"/>
        <w:adjustRightInd w:val="0"/>
        <w:snapToGrid w:val="0"/>
        <w:spacing w:line="360" w:lineRule="auto"/>
        <w:ind w:firstLineChars="200" w:firstLine="420"/>
        <w:rPr>
          <w:rFonts w:ascii="宋体" w:hAnsi="宋体"/>
          <w:szCs w:val="21"/>
        </w:rPr>
      </w:pPr>
      <w:r>
        <w:rPr>
          <w:rFonts w:ascii="宋体" w:hAnsi="宋体"/>
          <w:szCs w:val="21"/>
        </w:rPr>
        <w:t>1</w:t>
      </w:r>
      <w:r>
        <w:rPr>
          <w:rFonts w:ascii="宋体" w:hAnsi="宋体" w:hint="eastAsia"/>
          <w:szCs w:val="21"/>
        </w:rPr>
        <w:t>、前海开源裕安3个月持有期混合型基金中基金（FOF）（以下简称“本基金”、“基金”）的募集已获中国证监会2025年11月6日证监许可</w:t>
      </w:r>
      <w:r>
        <w:rPr>
          <w:rFonts w:ascii="宋体" w:hAnsi="宋体"/>
          <w:szCs w:val="21"/>
        </w:rPr>
        <w:t>〔2025〕2486号</w:t>
      </w:r>
      <w:r>
        <w:rPr>
          <w:rFonts w:ascii="宋体" w:hAnsi="宋体" w:hint="eastAsia"/>
          <w:szCs w:val="21"/>
        </w:rPr>
        <w:t>文注册。中国证监会对本基金募集的注册，并不表明其对本基金的投资价值和市场前景做出实质性判断或保证，也不表明投资于本基金没有风险。</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szCs w:val="21"/>
        </w:rPr>
        <w:t>2</w:t>
      </w:r>
      <w:r>
        <w:rPr>
          <w:rFonts w:ascii="宋体" w:hAnsi="宋体" w:hint="eastAsia"/>
          <w:szCs w:val="21"/>
        </w:rPr>
        <w:t>、本基金是契约型开放式</w:t>
      </w:r>
      <w:r w:rsidR="00546352" w:rsidRPr="00546352">
        <w:rPr>
          <w:rFonts w:ascii="宋体" w:hAnsi="宋体" w:hint="eastAsia"/>
          <w:szCs w:val="21"/>
        </w:rPr>
        <w:t>、混合型基金中基金，但对每份基金份额设置3个月的最短持有期</w:t>
      </w:r>
      <w:r>
        <w:rPr>
          <w:rFonts w:ascii="宋体" w:hAnsi="宋体" w:hint="eastAsia"/>
          <w:szCs w:val="21"/>
        </w:rPr>
        <w:t>。</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3、本基金的基金管理人和登记机构为前海开源基金管理有限公司（以下简称“基金管理人”），基金托管人为平安银行股份有限公司。</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4、本基金募集期</w:t>
      </w:r>
      <w:r>
        <w:rPr>
          <w:rFonts w:ascii="宋体" w:hAnsi="宋体" w:hint="eastAsia"/>
          <w:szCs w:val="21"/>
        </w:rPr>
        <w:t>为2026年4月30日至2026年7月29日，通过销售机构公开发售。基金管理人可根据认购的情况适当调整募集时间，并及时公告，但最长不超过法定募集期限。募集期间，基金管理人可根据情况变更或增减基金销售机构。</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5、</w:t>
      </w:r>
      <w:r>
        <w:rPr>
          <w:rFonts w:ascii="宋体" w:hAnsi="宋体" w:hint="eastAsia"/>
          <w:szCs w:val="21"/>
        </w:rPr>
        <w:t>本基金的发售对象为</w:t>
      </w:r>
      <w:r>
        <w:rPr>
          <w:rFonts w:hint="eastAsia"/>
          <w:szCs w:val="21"/>
        </w:rPr>
        <w:t>符合法律法规规定的可投资于证券投资基金的个人投资者、机构投资者、合格境外投资者以及法律法规或中国证监会允许购买证券投资基金的其他投资人。</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szCs w:val="21"/>
        </w:rPr>
        <w:t>6</w:t>
      </w:r>
      <w:r>
        <w:rPr>
          <w:rFonts w:ascii="宋体" w:hAnsi="宋体" w:hint="eastAsia"/>
          <w:szCs w:val="21"/>
        </w:rPr>
        <w:t>、募集</w:t>
      </w:r>
      <w:r>
        <w:rPr>
          <w:rFonts w:ascii="宋体" w:hAnsi="宋体"/>
          <w:szCs w:val="21"/>
        </w:rPr>
        <w:t>规模上限</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本基金首次募集规模上限为80亿元人民币（不包括募集期利息，下同）。</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在募集期内任何一天（含第一天）当日募集截止时间后各类基金份额累计有效认购申请金额（不包括募集利息）合计超过80亿元人民币，基金管理人将采取末日比例确认的方式实现规模的有效控制。</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当发生末日比例确认时，基金管理人将及时公告比例确认情况与结果。未确认部分的认购款项将在募集期结束后退还给投资者，由此产生的损失由投资人自行承担。</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当发生部分确认时，末日A类基金份额投资者认购费率按照单笔认购申请确认金额所对应的费率计算，末日认购申请确认金额不受认购最低限额的限制。最终认购申请确认结果以本基金登记机构的计算并确认的结果为准。</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基金管理人可以对募集规模的上限进行调整，具体限制请参见相关公告。</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7</w:t>
      </w:r>
      <w:r>
        <w:rPr>
          <w:rFonts w:ascii="宋体" w:hAnsi="宋体" w:hint="eastAsia"/>
          <w:szCs w:val="21"/>
        </w:rPr>
        <w:t>、认购限制</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（1）本基金首次认购和追加认购的单笔最低限额均为人民币10元（含认购费，如有）。各销售机构对最低认购限额及交易级差有其他规定的，以各销售机构的业务规定为准。</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（2）基金管理人可以对募集期间的单个投资人的累计认购金额等进行限制，具体限制</w:t>
      </w:r>
      <w:r>
        <w:rPr>
          <w:rFonts w:ascii="宋体" w:hAnsi="宋体" w:hint="eastAsia"/>
          <w:szCs w:val="21"/>
        </w:rPr>
        <w:lastRenderedPageBreak/>
        <w:t>和处理方法请参看相关公告。如本基金单个投资者累计认购的基金份额数达到或超过基金总份额的50%，基金管理人可以采取比例确认等方式对该投资者的认购申请进行限制。基金管理人接受某笔或者某些认购申请有可能导致投资者变相规避前述50%比例要求的，基金管理人有权拒绝该等全部或者部分认购申请。投资者认购的基金份额数以基金合同生效后登记机构的确认为准。</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szCs w:val="21"/>
        </w:rPr>
        <w:t>8、本公告仅对本基金发售的有关事项和规定予以说明，投资</w:t>
      </w:r>
      <w:r>
        <w:rPr>
          <w:rFonts w:ascii="宋体" w:hAnsi="宋体" w:hint="eastAsia"/>
          <w:szCs w:val="21"/>
        </w:rPr>
        <w:t>者</w:t>
      </w:r>
      <w:r>
        <w:rPr>
          <w:rFonts w:ascii="宋体" w:hAnsi="宋体"/>
          <w:szCs w:val="21"/>
        </w:rPr>
        <w:t>欲了解本基金的详细情况，请阅读《</w:t>
      </w:r>
      <w:r>
        <w:rPr>
          <w:rFonts w:ascii="宋体" w:hAnsi="宋体" w:hint="eastAsia"/>
          <w:szCs w:val="21"/>
        </w:rPr>
        <w:t>前海开源裕安3个月持有期混合型基金中基金（FOF）</w:t>
      </w:r>
      <w:r>
        <w:rPr>
          <w:rFonts w:ascii="宋体" w:hAnsi="宋体"/>
          <w:szCs w:val="21"/>
        </w:rPr>
        <w:t>招募说明书》；本基金的</w:t>
      </w:r>
      <w:r>
        <w:rPr>
          <w:rFonts w:ascii="宋体" w:hAnsi="宋体" w:hint="eastAsia"/>
          <w:szCs w:val="21"/>
        </w:rPr>
        <w:t>基金</w:t>
      </w:r>
      <w:r>
        <w:rPr>
          <w:rFonts w:ascii="宋体" w:hAnsi="宋体"/>
          <w:szCs w:val="21"/>
        </w:rPr>
        <w:t>合同、招募说明书</w:t>
      </w:r>
      <w:r>
        <w:rPr>
          <w:rFonts w:ascii="宋体" w:hAnsi="宋体" w:hint="eastAsia"/>
          <w:szCs w:val="21"/>
        </w:rPr>
        <w:t>、基金产品资料概要</w:t>
      </w:r>
      <w:r>
        <w:rPr>
          <w:rFonts w:ascii="宋体" w:hAnsi="宋体"/>
          <w:szCs w:val="21"/>
        </w:rPr>
        <w:t>及本公告将同时发布</w:t>
      </w:r>
      <w:r>
        <w:rPr>
          <w:rFonts w:ascii="宋体" w:hAnsi="宋体" w:hint="eastAsia"/>
          <w:szCs w:val="21"/>
        </w:rPr>
        <w:t>在基金管理人网站（www.qhkyfund.com）和中国证监会基金电子披露网站（</w:t>
      </w:r>
      <w:hyperlink r:id="rId6" w:history="1">
        <w:r>
          <w:rPr>
            <w:rStyle w:val="ad"/>
            <w:rFonts w:ascii="宋体" w:hAnsi="宋体" w:hint="eastAsia"/>
            <w:szCs w:val="21"/>
          </w:rPr>
          <w:t>http://eid.</w:t>
        </w:r>
        <w:bookmarkStart w:id="0" w:name="_Hlt181356559"/>
        <w:bookmarkStart w:id="1" w:name="_Hlt181356560"/>
        <w:r>
          <w:rPr>
            <w:rStyle w:val="ad"/>
            <w:rFonts w:ascii="宋体" w:hAnsi="宋体" w:hint="eastAsia"/>
            <w:szCs w:val="21"/>
          </w:rPr>
          <w:t>c</w:t>
        </w:r>
        <w:bookmarkEnd w:id="0"/>
        <w:bookmarkEnd w:id="1"/>
        <w:r>
          <w:rPr>
            <w:rStyle w:val="ad"/>
            <w:rFonts w:ascii="宋体" w:hAnsi="宋体" w:hint="eastAsia"/>
            <w:szCs w:val="21"/>
          </w:rPr>
          <w:t>src.gov.cn/fund</w:t>
        </w:r>
      </w:hyperlink>
      <w:r>
        <w:rPr>
          <w:rFonts w:ascii="宋体" w:hAnsi="宋体" w:hint="eastAsia"/>
          <w:szCs w:val="21"/>
        </w:rPr>
        <w:t>）</w:t>
      </w:r>
      <w:r>
        <w:rPr>
          <w:rFonts w:ascii="宋体" w:hAnsi="宋体"/>
          <w:szCs w:val="21"/>
        </w:rPr>
        <w:t>。</w:t>
      </w:r>
    </w:p>
    <w:p w:rsidR="00E33BF0" w:rsidRDefault="00E33BF0">
      <w:pPr>
        <w:adjustRightInd w:val="0"/>
        <w:snapToGrid w:val="0"/>
        <w:spacing w:line="360" w:lineRule="auto"/>
        <w:ind w:firstLineChars="200" w:firstLine="420"/>
        <w:rPr>
          <w:rFonts w:ascii="宋体" w:hAnsi="宋体"/>
          <w:szCs w:val="21"/>
        </w:rPr>
      </w:pPr>
      <w:r>
        <w:rPr>
          <w:rFonts w:ascii="宋体"/>
        </w:rPr>
        <w:t>9</w:t>
      </w:r>
      <w:r>
        <w:rPr>
          <w:rFonts w:ascii="宋体" w:hAnsi="宋体" w:hint="eastAsia"/>
          <w:szCs w:val="21"/>
        </w:rPr>
        <w:t>、投资人可拨打基金管理人客户服务电话（</w:t>
      </w:r>
      <w:r>
        <w:rPr>
          <w:rFonts w:ascii="宋体" w:hAnsi="宋体"/>
          <w:szCs w:val="21"/>
        </w:rPr>
        <w:t>4001-666-998</w:t>
      </w:r>
      <w:r>
        <w:rPr>
          <w:rFonts w:ascii="宋体" w:hAnsi="宋体" w:hint="eastAsia"/>
          <w:szCs w:val="21"/>
        </w:rPr>
        <w:t>）或各销售机构咨询电话了解认购事宜。</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10</w:t>
      </w:r>
      <w:r>
        <w:rPr>
          <w:rFonts w:ascii="宋体" w:hAnsi="宋体" w:hint="eastAsia"/>
          <w:szCs w:val="21"/>
        </w:rPr>
        <w:t>、基金管理人可综合各种情况对销售安排及募集期其他相关事项做适当调整。</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11</w:t>
      </w:r>
      <w:r>
        <w:rPr>
          <w:rFonts w:ascii="宋体" w:hAnsi="宋体" w:hint="eastAsia"/>
          <w:szCs w:val="21"/>
        </w:rPr>
        <w:t>、风险提示</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本基金投资于证券市场，基金净值会因为证券市场波动等因素产生波动，投资人在投资本基金前，应仔细阅读本基金的招募说明书、基金合同、基金产品资料概要等信息披露文件，全面了解本基金的产品特性和风险收益特征，充分考虑自身的风险承受能力，理性判断市场，并承担基金投资中出现的各类风险，包括但不限于：市场风险、信用风险、管理风险、流动性风险、操作和技术风险、合规性风险、本基金特有的风险、启用侧袋机制的风险、本基金法律文件风险收益特征表述与销售机构基金风险评价可能不一致的风险及其他风险等。本基金为混合型基金中基金，主要投资于经中国证监会依法核准或注册的公开募集的基金份额，基金净值会因为持有基金份额净值的变动而产生波动，持有基金的预期风险和预期收益间接成为本基金的预期风险和预期收益。本基金的预期收益及预期风险水平理论上高于债券型基金中基金、债券型基金、货币市场基金和货币型基金中基金，低于股票型基金中基金、股票型基金。本基金如果投资港股通标的股票或港股通ETF，需承担汇率风险以及境外市场的风险。</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本基金投资于经中国证监会依法核准或注册的公开募集的基金份额的资产不低于基金资产的80%，投资于股票、存托凭证、股票型基金、混合型基金等权益类资产的比例合计占基金资产的5%-30%（计入权益类资产的混合型基金是指符合下列条件之一的混合型基金：(1)基金合同约定股票资产（含存托凭证）占基金资产的比例不低于60%；(2)根据基金披露的定期报告，最近四个季度末股票资产（含存托凭证）占基金资产的比例均不低于60%），其中投资于港股通标的股票的比例不超过股票资产的50%；投资于QDII基金、香港互认基金的比例合计不超过基金资产的20%；投资于货币市场基金的比例不超过基金资产的15%。本基金保持不低于基金资产净值5%的现金或者到期日在一年以内的政府债券，其中现金不包括结算备付金、存出保证金、应收申购款等。</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lastRenderedPageBreak/>
        <w:t>本基金对投资者持有的每份基金份额设定3个月的最短持有期。在每份基金份额的最短持有期到期日（含该日）前，基金份额持有人不能对该基金份额提出赎回或转换转出申请；自最短持有期到期日的下一工作日（含该日）起，基金份额持有人可对该基金份额提出赎回或转换转出申请，对投资者存在流动性风险。</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基金的过往业绩并不预示其未来表现，基金管理人管理的其他基金的业绩并不构成对本基金表现的保证。</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基金管理人依照恪尽职守、诚实信用、谨慎勤勉的原则管理和运用基金财产，但不保证投资于本基金一定盈利，也不保证最低收益。基金管理人提醒投资人基金投资的“买者自负”原则，在投资人作出投资决策后，基金运营状况与基金净值变化引致的投资风险，由投资人自行承担。投资有风险，投资人在投资本基金前应认真阅读本基金的招募说明书、基金合同、基金产品资料概要等信息披露文件，自主判断基金的投资价值，自主做出投资决策，自行承担投资风险。</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本基金单一投资者持有基金份额数不得达到或超过基金份额总数的50%，但在基金运作过程中因基金份额赎回等情形导致被动达到或超过50%的除外。</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本基金可投资资产支持证券，主要存在与基础资产相关的风险、与资产支持证券相关的风险、与专项计划管理相关的风险和其他风险。</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本基金若投资内地与香港股票市场交易互联互通机制允许买卖的规定范围内的香港联合交易所有限公司上市的股票及股票ETF（以下分别简称“港股通标的股票”、“港股通ETF”），可能面临港股通机制下因投资环境、投资标的、市场制度以及交易规则等差异带来的特有风险，包括港股通标的股票及港股通ETF价格波动较大的风险（港股市场实行T+0回转交易，且对个股及港股通ETF不设涨跌幅限制，港股通标的股票及港股通ETF价格可能表现出比A股更为剧烈的股价波动）、汇率风险（汇率波动可能对基金的投资收益造成损失）、港股通机制下交易日不连贯可能带来的风险（在内地开市香港休市的情形下，港股通不能正常交易，港股通标的股票及港股通ETF不能及时卖出，可能带来一定的流动性风险）等。</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本基金可根据投资策略需要或不同配置地市场环境的变化，选择将部分基金资产投资于港股通标的股票及港股通ETF或选择不将基金资产投资于港股通标的股票及港股通ETF，基金资产并非必然投资港股通标的股票及港股通ETF。</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本基金的投资范围包括存托凭证，可能面临存托凭证价格大幅波动甚至出现较大亏损的风险，以及与创新企业、境外发行人、存托凭证发行机制以及交易机制相关的风险。</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当本基金持有特定资产且存在或潜在大额赎回申请时，基金管理人履行相应程序后，可以启用侧袋机制，具体详见基金合同和本招募说明书的有关章节。侧袋机制实施期间，基金管理人将对基金简称进行特殊标识，并不办理侧袋账户的申购赎回。请基金份额持有人仔细阅读相关内容并关注本基金启用侧袋机制时的特定风险。</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完整的风险揭示内容请查阅本基金招募说明书“风险揭示”章节。</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12</w:t>
      </w:r>
      <w:r>
        <w:rPr>
          <w:rFonts w:ascii="宋体" w:hAnsi="宋体" w:hint="eastAsia"/>
          <w:szCs w:val="21"/>
        </w:rPr>
        <w:t>、</w:t>
      </w:r>
      <w:r>
        <w:rPr>
          <w:rFonts w:ascii="宋体" w:hAnsi="宋体"/>
          <w:szCs w:val="21"/>
        </w:rPr>
        <w:t>本公告解释权归基金管理人。</w:t>
      </w:r>
    </w:p>
    <w:p w:rsidR="00E33BF0" w:rsidRDefault="00E33BF0">
      <w:pPr>
        <w:adjustRightInd w:val="0"/>
        <w:snapToGrid w:val="0"/>
        <w:spacing w:line="360" w:lineRule="auto"/>
        <w:ind w:firstLineChars="200" w:firstLine="420"/>
        <w:rPr>
          <w:rFonts w:ascii="宋体" w:hAnsi="宋体"/>
          <w:szCs w:val="21"/>
        </w:rPr>
      </w:pPr>
    </w:p>
    <w:p w:rsidR="00E33BF0" w:rsidRDefault="00E33BF0">
      <w:pPr>
        <w:adjustRightInd w:val="0"/>
        <w:snapToGrid w:val="0"/>
        <w:spacing w:line="360" w:lineRule="auto"/>
        <w:ind w:firstLineChars="200" w:firstLine="420"/>
        <w:outlineLvl w:val="0"/>
        <w:rPr>
          <w:rFonts w:ascii="宋体" w:hAnsi="宋体"/>
          <w:szCs w:val="21"/>
        </w:rPr>
      </w:pPr>
      <w:r>
        <w:rPr>
          <w:rFonts w:ascii="宋体" w:hAnsi="宋体" w:hint="eastAsia"/>
          <w:szCs w:val="21"/>
        </w:rPr>
        <w:t>一、基金募集的基本情况</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1</w:t>
      </w:r>
      <w:r>
        <w:rPr>
          <w:rFonts w:ascii="宋体" w:hAnsi="宋体" w:hint="eastAsia"/>
          <w:szCs w:val="21"/>
        </w:rPr>
        <w:t>、基金名称</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前海开源裕安3个月持有期混合型基金中基金（FOF）</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基金简称：前海开源裕安3个月持有期混合（FOF）A；基金代码：</w:t>
      </w:r>
      <w:bookmarkStart w:id="2" w:name="_Hlk182907619"/>
      <w:r>
        <w:rPr>
          <w:rFonts w:ascii="宋体" w:hAnsi="宋体"/>
          <w:szCs w:val="21"/>
        </w:rPr>
        <w:t>026300</w:t>
      </w:r>
      <w:bookmarkEnd w:id="2"/>
    </w:p>
    <w:p w:rsidR="00E33BF0" w:rsidRDefault="00E33BF0">
      <w:pPr>
        <w:adjustRightInd w:val="0"/>
        <w:snapToGrid w:val="0"/>
        <w:spacing w:line="360" w:lineRule="auto"/>
        <w:ind w:firstLineChars="700" w:firstLine="1470"/>
        <w:rPr>
          <w:rFonts w:ascii="宋体" w:hAnsi="宋体"/>
          <w:szCs w:val="21"/>
        </w:rPr>
      </w:pPr>
      <w:r>
        <w:rPr>
          <w:rFonts w:ascii="宋体" w:hAnsi="宋体" w:hint="eastAsia"/>
          <w:szCs w:val="21"/>
        </w:rPr>
        <w:t>前海开源裕安3个月持有期混合（FOF）C；基金代码：</w:t>
      </w:r>
      <w:bookmarkStart w:id="3" w:name="_Hlk182907625"/>
      <w:r>
        <w:rPr>
          <w:rFonts w:ascii="宋体" w:hAnsi="宋体"/>
          <w:szCs w:val="21"/>
        </w:rPr>
        <w:t>026301</w:t>
      </w:r>
      <w:bookmarkEnd w:id="3"/>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2</w:t>
      </w:r>
      <w:r>
        <w:rPr>
          <w:rFonts w:ascii="宋体" w:hAnsi="宋体" w:hint="eastAsia"/>
          <w:szCs w:val="21"/>
        </w:rPr>
        <w:t>、基金类型</w:t>
      </w:r>
    </w:p>
    <w:p w:rsidR="00E33BF0" w:rsidRDefault="00E33BF0">
      <w:pPr>
        <w:adjustRightInd w:val="0"/>
        <w:snapToGrid w:val="0"/>
        <w:spacing w:line="360" w:lineRule="auto"/>
        <w:ind w:firstLineChars="200" w:firstLine="420"/>
        <w:rPr>
          <w:rFonts w:ascii="宋体" w:hAnsi="宋体"/>
          <w:kern w:val="0"/>
        </w:rPr>
      </w:pPr>
      <w:r>
        <w:rPr>
          <w:rFonts w:ascii="宋体" w:hAnsi="宋体" w:hint="eastAsia"/>
          <w:kern w:val="0"/>
        </w:rPr>
        <w:t>混合型基金中基金</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3、基金运作方式</w:t>
      </w:r>
      <w:r>
        <w:rPr>
          <w:rFonts w:ascii="宋体" w:hAnsi="宋体" w:hint="eastAsia"/>
          <w:szCs w:val="21"/>
        </w:rPr>
        <w:t xml:space="preserve"> </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契约型开放式，但对每份基金份额设置3个月的最短持有期。</w:t>
      </w:r>
    </w:p>
    <w:p w:rsidR="00546352" w:rsidRPr="00546352" w:rsidRDefault="00546352" w:rsidP="00546352">
      <w:pPr>
        <w:adjustRightInd w:val="0"/>
        <w:snapToGrid w:val="0"/>
        <w:spacing w:line="360" w:lineRule="auto"/>
        <w:ind w:firstLineChars="200" w:firstLine="420"/>
        <w:rPr>
          <w:rFonts w:ascii="宋体" w:hAnsi="宋体" w:hint="eastAsia"/>
          <w:szCs w:val="21"/>
        </w:rPr>
      </w:pPr>
      <w:r w:rsidRPr="00546352">
        <w:rPr>
          <w:rFonts w:ascii="宋体" w:hAnsi="宋体" w:hint="eastAsia"/>
          <w:szCs w:val="21"/>
        </w:rPr>
        <w:t>对于每份基金份额，最短持有期起始日指基金合同生效日（对认购份额而言）或基金份额申购申请确认日（对申购份额而言）或基金份额转换转入确认日（对转换转入份额而言）；最短持有期到期日指最短持有期起始日次3个月的月度对日的前一日。月度对日，指某一个特定日期在后续日历月份中的对应日期，如该日历月份中无此对应日期或该日为非工作日，则顺延至下一工作日。</w:t>
      </w:r>
    </w:p>
    <w:p w:rsidR="00546352" w:rsidRPr="00546352" w:rsidRDefault="00546352" w:rsidP="00546352">
      <w:pPr>
        <w:adjustRightInd w:val="0"/>
        <w:snapToGrid w:val="0"/>
        <w:spacing w:line="360" w:lineRule="auto"/>
        <w:ind w:firstLineChars="200" w:firstLine="420"/>
        <w:rPr>
          <w:rFonts w:ascii="宋体" w:hAnsi="宋体" w:hint="eastAsia"/>
          <w:szCs w:val="21"/>
        </w:rPr>
      </w:pPr>
      <w:r w:rsidRPr="00546352">
        <w:rPr>
          <w:rFonts w:ascii="宋体" w:hAnsi="宋体" w:hint="eastAsia"/>
          <w:szCs w:val="21"/>
        </w:rPr>
        <w:t>对于本基金的每份基金份额，在最短持有期到期日（含该日）前，基金份额持有人不能对该基金份额提出赎回或转换转出申请；自最短持有期到期日的下一工作日（含该日）起，基金份额持有人可对该基金份额提出赎回或转换转出申请；因不可抗力或基金合同约定的其他情形致使基金管理人无法在最短持有期到期日的下一工作日按时开放办理该基金份额的赎回或转换转出业务的，则顺延至不可抗力或基金合同约定的其他情形的影响因素消除之日起的下一个工作日开放办理。</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4、基金存续期限</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不定期</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5、基金份额初始面值</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1.00</w:t>
      </w:r>
      <w:r>
        <w:rPr>
          <w:rFonts w:ascii="宋体" w:hAnsi="宋体" w:hint="eastAsia"/>
          <w:szCs w:val="21"/>
        </w:rPr>
        <w:t>元人民币</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6</w:t>
      </w:r>
      <w:r>
        <w:rPr>
          <w:rFonts w:ascii="宋体" w:hAnsi="宋体"/>
          <w:szCs w:val="21"/>
        </w:rPr>
        <w:t>、</w:t>
      </w:r>
      <w:r>
        <w:rPr>
          <w:rFonts w:ascii="宋体" w:hAnsi="宋体" w:hint="eastAsia"/>
          <w:szCs w:val="21"/>
        </w:rPr>
        <w:t>发售对象</w:t>
      </w:r>
    </w:p>
    <w:p w:rsidR="00E33BF0" w:rsidRDefault="00E33BF0">
      <w:pPr>
        <w:adjustRightInd w:val="0"/>
        <w:snapToGrid w:val="0"/>
        <w:spacing w:line="360" w:lineRule="auto"/>
        <w:ind w:firstLineChars="200" w:firstLine="420"/>
        <w:rPr>
          <w:rFonts w:ascii="宋体" w:hAnsi="宋体" w:hint="eastAsia"/>
          <w:szCs w:val="21"/>
        </w:rPr>
      </w:pPr>
      <w:bookmarkStart w:id="4" w:name="OLE_LINK7"/>
      <w:r>
        <w:rPr>
          <w:rFonts w:ascii="宋体" w:hAnsi="宋体" w:hint="eastAsia"/>
          <w:szCs w:val="21"/>
        </w:rPr>
        <w:t>符合法律法规规定的可投资于证券投资基金的个人投资者、机构投资者、合格境外投资者以及法律法规或中国证监会允许购买证券投资基金的其他投资人。</w:t>
      </w:r>
      <w:bookmarkEnd w:id="4"/>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7、销售机构</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（1）直销机构</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本基金的直销机构为前海开源基金管理有限公司。</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直销机构具体地点和联系方式详见本公告“第六部分，第（三）项”。</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w:t>
      </w:r>
      <w:r>
        <w:rPr>
          <w:rFonts w:ascii="宋体" w:hAnsi="宋体" w:hint="eastAsia"/>
          <w:szCs w:val="21"/>
        </w:rPr>
        <w:t>2</w:t>
      </w:r>
      <w:r>
        <w:rPr>
          <w:rFonts w:ascii="宋体" w:hAnsi="宋体"/>
          <w:szCs w:val="21"/>
        </w:rPr>
        <w:t>）</w:t>
      </w:r>
      <w:r>
        <w:rPr>
          <w:rFonts w:ascii="宋体" w:hAnsi="宋体" w:hint="eastAsia"/>
          <w:szCs w:val="21"/>
        </w:rPr>
        <w:t>非直销销售机构</w:t>
      </w:r>
    </w:p>
    <w:p w:rsidR="00E33BF0" w:rsidRDefault="00E33BF0">
      <w:pPr>
        <w:adjustRightInd w:val="0"/>
        <w:snapToGrid w:val="0"/>
        <w:spacing w:line="360" w:lineRule="auto"/>
        <w:ind w:firstLineChars="200" w:firstLine="420"/>
        <w:rPr>
          <w:rFonts w:ascii="宋体" w:hAnsi="宋体" w:hint="eastAsia"/>
          <w:szCs w:val="21"/>
        </w:rPr>
      </w:pPr>
      <w:r>
        <w:rPr>
          <w:rFonts w:hint="eastAsia"/>
          <w:szCs w:val="21"/>
        </w:rPr>
        <w:t>本基金管理人可根据有关法律法规的要求，选择符合要求的机构销售本基金，并在基金管理人网站公示。</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8、基金募集期与基金合同生效</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本基金募集期为2026年4月30日至2026年7月29日；如需延长，最长不超过自基金份额发售之日起的三个月。</w:t>
      </w:r>
    </w:p>
    <w:p w:rsidR="00E33BF0" w:rsidRDefault="00E33BF0">
      <w:pPr>
        <w:adjustRightInd w:val="0"/>
        <w:snapToGrid w:val="0"/>
        <w:spacing w:line="360" w:lineRule="auto"/>
        <w:ind w:firstLineChars="200" w:firstLine="420"/>
        <w:rPr>
          <w:rFonts w:ascii="宋体" w:hAnsi="宋体"/>
          <w:szCs w:val="21"/>
        </w:rPr>
      </w:pPr>
      <w:bookmarkStart w:id="5" w:name="OLE_LINK2"/>
      <w:bookmarkStart w:id="6" w:name="OLE_LINK1"/>
      <w:r>
        <w:rPr>
          <w:rFonts w:ascii="宋体" w:hAnsi="宋体" w:hint="eastAsia"/>
          <w:szCs w:val="21"/>
        </w:rPr>
        <w:t>基金管理人可根据认购的情况适当延长发售时间</w:t>
      </w:r>
      <w:bookmarkEnd w:id="5"/>
      <w:bookmarkEnd w:id="6"/>
      <w:r>
        <w:rPr>
          <w:rFonts w:ascii="宋体" w:hAnsi="宋体" w:hint="eastAsia"/>
          <w:szCs w:val="21"/>
        </w:rPr>
        <w:t>，但最长不超过法定募集期；同时也可根据认购和市场情况提前结束发售，如发生此种情况，基金管理人将会另行公告。另外，如遇突发事件，以上基金募集期的安排也可以适当调整。</w:t>
      </w:r>
    </w:p>
    <w:p w:rsidR="00E33BF0" w:rsidRDefault="00E33BF0">
      <w:pPr>
        <w:adjustRightInd w:val="0"/>
        <w:snapToGrid w:val="0"/>
        <w:spacing w:line="360" w:lineRule="auto"/>
        <w:ind w:firstLineChars="200" w:firstLine="420"/>
        <w:rPr>
          <w:rFonts w:ascii="宋体" w:hAnsi="宋体" w:hint="eastAsia"/>
          <w:bCs/>
          <w:szCs w:val="21"/>
        </w:rPr>
      </w:pPr>
      <w:bookmarkStart w:id="7" w:name="OLE_LINK8"/>
      <w:r>
        <w:rPr>
          <w:rFonts w:ascii="宋体" w:hAnsi="宋体" w:hint="eastAsia"/>
          <w:bCs/>
          <w:szCs w:val="21"/>
        </w:rPr>
        <w:t>本基金自基金份额发售之日起3个月内，在基金募集份额总额不少于2亿份，基金募集金额不少于2亿元人民币且基金认购人数不少于200人的条件下，基金募集期届满或者基金管理人依据法律法规及招募说明书可以决定停止基金发售，并在10日内聘请法定验资机构验资，基金管理人自收到验资报告之日起10日内，向中国证监会办理基金备案手续。</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bCs/>
          <w:szCs w:val="21"/>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bookmarkEnd w:id="7"/>
    </w:p>
    <w:p w:rsidR="00E33BF0" w:rsidRDefault="00E33BF0">
      <w:pPr>
        <w:adjustRightInd w:val="0"/>
        <w:snapToGrid w:val="0"/>
        <w:spacing w:line="360" w:lineRule="auto"/>
        <w:ind w:firstLineChars="200" w:firstLine="420"/>
        <w:rPr>
          <w:rFonts w:ascii="宋体" w:hAnsi="宋体"/>
          <w:szCs w:val="21"/>
        </w:rPr>
      </w:pPr>
    </w:p>
    <w:p w:rsidR="00E33BF0" w:rsidRDefault="00E33BF0">
      <w:pPr>
        <w:adjustRightInd w:val="0"/>
        <w:snapToGrid w:val="0"/>
        <w:spacing w:line="360" w:lineRule="auto"/>
        <w:ind w:firstLineChars="200" w:firstLine="420"/>
        <w:outlineLvl w:val="0"/>
        <w:rPr>
          <w:rFonts w:ascii="宋体" w:hAnsi="宋体"/>
          <w:szCs w:val="21"/>
        </w:rPr>
      </w:pPr>
      <w:r>
        <w:rPr>
          <w:rFonts w:ascii="宋体" w:hAnsi="宋体" w:hint="eastAsia"/>
          <w:szCs w:val="21"/>
        </w:rPr>
        <w:t>二、认购的相关规定</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szCs w:val="21"/>
        </w:rPr>
        <w:t>1</w:t>
      </w:r>
      <w:r>
        <w:rPr>
          <w:rFonts w:ascii="宋体" w:hAnsi="宋体" w:hint="eastAsia"/>
          <w:szCs w:val="21"/>
        </w:rPr>
        <w:t>、认购费率</w:t>
      </w:r>
    </w:p>
    <w:p w:rsidR="00E33BF0" w:rsidRDefault="00E33BF0">
      <w:pPr>
        <w:adjustRightInd w:val="0"/>
        <w:snapToGrid w:val="0"/>
        <w:spacing w:line="360" w:lineRule="auto"/>
        <w:ind w:firstLineChars="200" w:firstLine="420"/>
        <w:rPr>
          <w:szCs w:val="21"/>
          <w:shd w:val="pct15" w:color="auto" w:fill="FFFFFF"/>
        </w:rPr>
      </w:pPr>
      <w:r>
        <w:rPr>
          <w:rFonts w:ascii="宋体" w:hAnsi="宋体" w:hint="eastAsia"/>
          <w:szCs w:val="21"/>
        </w:rPr>
        <w:t>通过直销机构认购本基金</w:t>
      </w:r>
      <w:r>
        <w:rPr>
          <w:rFonts w:ascii="宋体" w:hAnsi="宋体"/>
          <w:szCs w:val="21"/>
        </w:rPr>
        <w:t>A 类基金份额不收取认购费，通过其他销售机构认购本基金A 类基金份额收取认购费用；C 类基金份额不收取认购费用。通过其他销售机构认购本基金A 类基金份额的，在认购时收取认购费，认购费率随认购金额的增加而递减。通过其他销售机构认购本基金A 类基金份额的认购费率见下表：</w:t>
      </w:r>
    </w:p>
    <w:tbl>
      <w:tblPr>
        <w:tblW w:w="0" w:type="auto"/>
        <w:jc w:val="center"/>
        <w:tblInd w:w="0" w:type="dxa"/>
        <w:tblCellMar>
          <w:left w:w="0" w:type="dxa"/>
          <w:right w:w="0" w:type="dxa"/>
        </w:tblCellMar>
        <w:tblLook w:val="0000"/>
      </w:tblPr>
      <w:tblGrid>
        <w:gridCol w:w="3854"/>
        <w:gridCol w:w="3611"/>
      </w:tblGrid>
      <w:tr w:rsidR="00E33BF0">
        <w:trPr>
          <w:trHeight w:val="271"/>
          <w:jc w:val="center"/>
        </w:trPr>
        <w:tc>
          <w:tcPr>
            <w:tcW w:w="385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E33BF0" w:rsidRDefault="00E33BF0">
            <w:pPr>
              <w:jc w:val="center"/>
              <w:rPr>
                <w:b/>
                <w:bCs/>
                <w:szCs w:val="21"/>
              </w:rPr>
            </w:pPr>
            <w:bookmarkStart w:id="8" w:name="_Hlk172812221"/>
            <w:r>
              <w:rPr>
                <w:b/>
                <w:bCs/>
                <w:szCs w:val="21"/>
              </w:rPr>
              <w:t>A</w:t>
            </w:r>
            <w:r>
              <w:rPr>
                <w:b/>
                <w:bCs/>
                <w:szCs w:val="21"/>
              </w:rPr>
              <w:t>类基金份额认购金额</w:t>
            </w:r>
            <w:r>
              <w:rPr>
                <w:b/>
                <w:bCs/>
                <w:szCs w:val="21"/>
              </w:rPr>
              <w:t>M</w:t>
            </w:r>
            <w:r>
              <w:rPr>
                <w:b/>
                <w:bCs/>
                <w:szCs w:val="21"/>
              </w:rPr>
              <w:t>（元）</w:t>
            </w:r>
          </w:p>
          <w:p w:rsidR="00E33BF0" w:rsidRDefault="00E33BF0">
            <w:pPr>
              <w:jc w:val="center"/>
              <w:rPr>
                <w:b/>
                <w:bCs/>
                <w:szCs w:val="21"/>
              </w:rPr>
            </w:pPr>
            <w:r>
              <w:rPr>
                <w:b/>
                <w:bCs/>
                <w:szCs w:val="21"/>
              </w:rPr>
              <w:t>（含认购费）</w:t>
            </w:r>
          </w:p>
        </w:tc>
        <w:tc>
          <w:tcPr>
            <w:tcW w:w="361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E33BF0" w:rsidRDefault="00E33BF0">
            <w:pPr>
              <w:jc w:val="center"/>
              <w:rPr>
                <w:b/>
                <w:bCs/>
                <w:szCs w:val="21"/>
              </w:rPr>
            </w:pPr>
            <w:r>
              <w:rPr>
                <w:b/>
                <w:bCs/>
                <w:szCs w:val="21"/>
              </w:rPr>
              <w:t>A</w:t>
            </w:r>
            <w:r>
              <w:rPr>
                <w:b/>
                <w:bCs/>
                <w:szCs w:val="21"/>
              </w:rPr>
              <w:t>类基金份额认购费率</w:t>
            </w:r>
          </w:p>
        </w:tc>
      </w:tr>
      <w:tr w:rsidR="00E33BF0">
        <w:trPr>
          <w:trHeight w:val="151"/>
          <w:jc w:val="center"/>
        </w:trPr>
        <w:tc>
          <w:tcPr>
            <w:tcW w:w="385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33BF0" w:rsidRDefault="00E33BF0">
            <w:pPr>
              <w:jc w:val="center"/>
              <w:rPr>
                <w:szCs w:val="21"/>
              </w:rPr>
            </w:pPr>
            <w:r>
              <w:rPr>
                <w:szCs w:val="21"/>
              </w:rPr>
              <w:t xml:space="preserve">M </w:t>
            </w:r>
            <w:r>
              <w:rPr>
                <w:szCs w:val="21"/>
              </w:rPr>
              <w:t>＜</w:t>
            </w:r>
            <w:r>
              <w:rPr>
                <w:szCs w:val="21"/>
              </w:rPr>
              <w:t>100</w:t>
            </w:r>
            <w:r>
              <w:rPr>
                <w:szCs w:val="21"/>
              </w:rPr>
              <w:t>万</w:t>
            </w:r>
          </w:p>
        </w:tc>
        <w:tc>
          <w:tcPr>
            <w:tcW w:w="3611" w:type="dxa"/>
            <w:tcBorders>
              <w:top w:val="nil"/>
              <w:left w:val="nil"/>
              <w:bottom w:val="single" w:sz="8" w:space="0" w:color="auto"/>
              <w:right w:val="single" w:sz="8" w:space="0" w:color="auto"/>
            </w:tcBorders>
            <w:tcMar>
              <w:top w:w="0" w:type="dxa"/>
              <w:left w:w="108" w:type="dxa"/>
              <w:bottom w:w="0" w:type="dxa"/>
              <w:right w:w="108" w:type="dxa"/>
            </w:tcMar>
          </w:tcPr>
          <w:p w:rsidR="00E33BF0" w:rsidRDefault="00E33BF0">
            <w:pPr>
              <w:jc w:val="center"/>
              <w:rPr>
                <w:szCs w:val="21"/>
              </w:rPr>
            </w:pPr>
            <w:r>
              <w:rPr>
                <w:szCs w:val="21"/>
              </w:rPr>
              <w:t>0.50%</w:t>
            </w:r>
          </w:p>
        </w:tc>
      </w:tr>
      <w:tr w:rsidR="00E33BF0">
        <w:trPr>
          <w:trHeight w:val="301"/>
          <w:jc w:val="center"/>
        </w:trPr>
        <w:tc>
          <w:tcPr>
            <w:tcW w:w="385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33BF0" w:rsidRDefault="00E33BF0">
            <w:pPr>
              <w:jc w:val="center"/>
              <w:rPr>
                <w:b/>
                <w:bCs/>
                <w:szCs w:val="21"/>
              </w:rPr>
            </w:pPr>
            <w:r>
              <w:rPr>
                <w:szCs w:val="21"/>
              </w:rPr>
              <w:t>100</w:t>
            </w:r>
            <w:r>
              <w:rPr>
                <w:szCs w:val="21"/>
              </w:rPr>
              <w:t>万</w:t>
            </w:r>
            <w:r>
              <w:rPr>
                <w:szCs w:val="21"/>
              </w:rPr>
              <w:t xml:space="preserve"> ≤ M </w:t>
            </w:r>
            <w:r>
              <w:rPr>
                <w:szCs w:val="21"/>
              </w:rPr>
              <w:t>＜</w:t>
            </w:r>
            <w:r>
              <w:rPr>
                <w:szCs w:val="21"/>
              </w:rPr>
              <w:t>200</w:t>
            </w:r>
            <w:r>
              <w:rPr>
                <w:szCs w:val="21"/>
              </w:rPr>
              <w:t>万</w:t>
            </w:r>
          </w:p>
        </w:tc>
        <w:tc>
          <w:tcPr>
            <w:tcW w:w="3611" w:type="dxa"/>
            <w:tcBorders>
              <w:top w:val="nil"/>
              <w:left w:val="nil"/>
              <w:bottom w:val="single" w:sz="8" w:space="0" w:color="auto"/>
              <w:right w:val="single" w:sz="8" w:space="0" w:color="auto"/>
            </w:tcBorders>
            <w:tcMar>
              <w:top w:w="0" w:type="dxa"/>
              <w:left w:w="108" w:type="dxa"/>
              <w:bottom w:w="0" w:type="dxa"/>
              <w:right w:w="108" w:type="dxa"/>
            </w:tcMar>
          </w:tcPr>
          <w:p w:rsidR="00E33BF0" w:rsidRDefault="00E33BF0">
            <w:pPr>
              <w:jc w:val="center"/>
              <w:rPr>
                <w:szCs w:val="21"/>
              </w:rPr>
            </w:pPr>
            <w:r>
              <w:rPr>
                <w:szCs w:val="21"/>
              </w:rPr>
              <w:t>0.40%</w:t>
            </w:r>
          </w:p>
        </w:tc>
      </w:tr>
      <w:tr w:rsidR="00E33BF0">
        <w:trPr>
          <w:trHeight w:val="167"/>
          <w:jc w:val="center"/>
        </w:trPr>
        <w:tc>
          <w:tcPr>
            <w:tcW w:w="385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33BF0" w:rsidRDefault="00E33BF0">
            <w:pPr>
              <w:jc w:val="center"/>
              <w:rPr>
                <w:b/>
                <w:bCs/>
                <w:szCs w:val="21"/>
              </w:rPr>
            </w:pPr>
            <w:r>
              <w:rPr>
                <w:szCs w:val="21"/>
              </w:rPr>
              <w:t>200</w:t>
            </w:r>
            <w:r>
              <w:rPr>
                <w:szCs w:val="21"/>
              </w:rPr>
              <w:t>万</w:t>
            </w:r>
            <w:r>
              <w:rPr>
                <w:szCs w:val="21"/>
              </w:rPr>
              <w:t xml:space="preserve"> ≤ M </w:t>
            </w:r>
            <w:r>
              <w:rPr>
                <w:szCs w:val="21"/>
              </w:rPr>
              <w:t>＜</w:t>
            </w:r>
            <w:r>
              <w:rPr>
                <w:szCs w:val="21"/>
              </w:rPr>
              <w:t>500</w:t>
            </w:r>
            <w:r>
              <w:rPr>
                <w:szCs w:val="21"/>
              </w:rPr>
              <w:t>万</w:t>
            </w:r>
          </w:p>
        </w:tc>
        <w:tc>
          <w:tcPr>
            <w:tcW w:w="3611" w:type="dxa"/>
            <w:tcBorders>
              <w:top w:val="nil"/>
              <w:left w:val="nil"/>
              <w:bottom w:val="single" w:sz="8" w:space="0" w:color="auto"/>
              <w:right w:val="single" w:sz="8" w:space="0" w:color="auto"/>
            </w:tcBorders>
            <w:tcMar>
              <w:top w:w="0" w:type="dxa"/>
              <w:left w:w="108" w:type="dxa"/>
              <w:bottom w:w="0" w:type="dxa"/>
              <w:right w:w="108" w:type="dxa"/>
            </w:tcMar>
          </w:tcPr>
          <w:p w:rsidR="00E33BF0" w:rsidRDefault="00E33BF0">
            <w:pPr>
              <w:jc w:val="center"/>
              <w:rPr>
                <w:szCs w:val="21"/>
              </w:rPr>
            </w:pPr>
            <w:r>
              <w:rPr>
                <w:szCs w:val="21"/>
              </w:rPr>
              <w:t>0.20%</w:t>
            </w:r>
          </w:p>
        </w:tc>
      </w:tr>
      <w:tr w:rsidR="00E33BF0">
        <w:trPr>
          <w:trHeight w:val="105"/>
          <w:jc w:val="center"/>
        </w:trPr>
        <w:tc>
          <w:tcPr>
            <w:tcW w:w="385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E33BF0" w:rsidRDefault="00E33BF0">
            <w:pPr>
              <w:jc w:val="center"/>
              <w:rPr>
                <w:b/>
                <w:bCs/>
                <w:szCs w:val="21"/>
              </w:rPr>
            </w:pPr>
            <w:r>
              <w:rPr>
                <w:szCs w:val="21"/>
              </w:rPr>
              <w:t>M ≥500</w:t>
            </w:r>
            <w:r>
              <w:rPr>
                <w:szCs w:val="21"/>
              </w:rPr>
              <w:t>万</w:t>
            </w:r>
          </w:p>
        </w:tc>
        <w:tc>
          <w:tcPr>
            <w:tcW w:w="3611" w:type="dxa"/>
            <w:tcBorders>
              <w:top w:val="nil"/>
              <w:left w:val="nil"/>
              <w:bottom w:val="single" w:sz="8" w:space="0" w:color="auto"/>
              <w:right w:val="single" w:sz="8" w:space="0" w:color="auto"/>
            </w:tcBorders>
            <w:tcMar>
              <w:top w:w="0" w:type="dxa"/>
              <w:left w:w="108" w:type="dxa"/>
              <w:bottom w:w="0" w:type="dxa"/>
              <w:right w:w="108" w:type="dxa"/>
            </w:tcMar>
          </w:tcPr>
          <w:p w:rsidR="00E33BF0" w:rsidRDefault="00E33BF0">
            <w:pPr>
              <w:jc w:val="center"/>
              <w:rPr>
                <w:b/>
                <w:bCs/>
                <w:szCs w:val="21"/>
              </w:rPr>
            </w:pPr>
            <w:r>
              <w:rPr>
                <w:szCs w:val="21"/>
              </w:rPr>
              <w:t>每笔</w:t>
            </w:r>
            <w:r>
              <w:rPr>
                <w:szCs w:val="21"/>
              </w:rPr>
              <w:t>1,000</w:t>
            </w:r>
            <w:r>
              <w:rPr>
                <w:szCs w:val="21"/>
              </w:rPr>
              <w:t>元</w:t>
            </w:r>
          </w:p>
        </w:tc>
      </w:tr>
    </w:tbl>
    <w:bookmarkEnd w:id="8"/>
    <w:p w:rsidR="00E33BF0" w:rsidRDefault="00E33BF0">
      <w:pPr>
        <w:widowControl/>
        <w:spacing w:line="360" w:lineRule="auto"/>
        <w:ind w:firstLine="420"/>
        <w:rPr>
          <w:rFonts w:ascii="宋体" w:hAnsi="宋体" w:hint="eastAsia"/>
          <w:szCs w:val="21"/>
        </w:rPr>
      </w:pPr>
      <w:r>
        <w:rPr>
          <w:szCs w:val="21"/>
        </w:rPr>
        <w:t>A</w:t>
      </w:r>
      <w:r>
        <w:rPr>
          <w:szCs w:val="21"/>
        </w:rPr>
        <w:t>类基金份额的认购费用由通过其他销售机构认购本基金</w:t>
      </w:r>
      <w:r>
        <w:rPr>
          <w:szCs w:val="21"/>
        </w:rPr>
        <w:t>A</w:t>
      </w:r>
      <w:r>
        <w:rPr>
          <w:szCs w:val="21"/>
        </w:rPr>
        <w:t>类基金份额的投资人承担，不列入基金财产，</w:t>
      </w:r>
      <w:r>
        <w:rPr>
          <w:rFonts w:hint="eastAsia"/>
          <w:szCs w:val="21"/>
        </w:rPr>
        <w:t>主要用于本基金的市场推广、销售、登记等募集期间发生的各项费用，不足部分在基金管理人的运营成本中列支，投资人多次认购，须按每次认购所对应的费率档次分别计费。</w:t>
      </w:r>
    </w:p>
    <w:p w:rsidR="00E33BF0" w:rsidRDefault="00E33BF0">
      <w:pPr>
        <w:spacing w:line="360" w:lineRule="auto"/>
        <w:ind w:firstLineChars="200" w:firstLine="420"/>
        <w:rPr>
          <w:rFonts w:ascii="宋体" w:hAnsi="宋体" w:hint="eastAsia"/>
          <w:szCs w:val="21"/>
        </w:rPr>
      </w:pPr>
      <w:r>
        <w:rPr>
          <w:rFonts w:ascii="宋体" w:hAnsi="宋体"/>
          <w:szCs w:val="21"/>
        </w:rPr>
        <w:t>2</w:t>
      </w:r>
      <w:r>
        <w:rPr>
          <w:rFonts w:ascii="宋体" w:hAnsi="宋体" w:hint="eastAsia"/>
          <w:szCs w:val="21"/>
        </w:rPr>
        <w:t>、认购份额的计算</w:t>
      </w:r>
    </w:p>
    <w:p w:rsidR="00E33BF0" w:rsidRDefault="00E33BF0">
      <w:pPr>
        <w:spacing w:line="360" w:lineRule="auto"/>
        <w:ind w:firstLineChars="200" w:firstLine="420"/>
        <w:rPr>
          <w:rFonts w:ascii="宋体" w:hAnsi="宋体" w:hint="eastAsia"/>
          <w:szCs w:val="21"/>
        </w:rPr>
      </w:pPr>
      <w:bookmarkStart w:id="9" w:name="OLE_LINK10"/>
      <w:r>
        <w:rPr>
          <w:rFonts w:ascii="宋体" w:hAnsi="宋体" w:hint="eastAsia"/>
          <w:szCs w:val="21"/>
        </w:rPr>
        <w:t>（1）基金认购采用“金额认购、份额确认”的方式。基金的认购金额包括认购费用和净认购金额。</w:t>
      </w:r>
    </w:p>
    <w:p w:rsidR="00E33BF0" w:rsidRDefault="00E33BF0">
      <w:pPr>
        <w:spacing w:line="360" w:lineRule="auto"/>
        <w:ind w:firstLineChars="200" w:firstLine="420"/>
        <w:rPr>
          <w:rFonts w:ascii="宋体" w:hAnsi="宋体" w:hint="eastAsia"/>
          <w:szCs w:val="21"/>
        </w:rPr>
      </w:pPr>
      <w:r>
        <w:rPr>
          <w:rFonts w:ascii="宋体" w:hAnsi="宋体" w:hint="eastAsia"/>
          <w:szCs w:val="21"/>
        </w:rPr>
        <w:t>1）当投资人通过直销机构认购A类基金份额，不收取认购费，其认购份额的计算公式为：</w:t>
      </w:r>
    </w:p>
    <w:p w:rsidR="00E33BF0" w:rsidRDefault="00E33BF0">
      <w:pPr>
        <w:spacing w:line="360" w:lineRule="auto"/>
        <w:ind w:firstLineChars="200" w:firstLine="420"/>
        <w:rPr>
          <w:rFonts w:ascii="宋体" w:hAnsi="宋体" w:hint="eastAsia"/>
          <w:szCs w:val="21"/>
        </w:rPr>
      </w:pPr>
      <w:r>
        <w:rPr>
          <w:rFonts w:ascii="宋体" w:hAnsi="宋体" w:hint="eastAsia"/>
          <w:szCs w:val="21"/>
        </w:rPr>
        <w:t>认购份额=（认购金额+认购利息）/基金份额发售面值</w:t>
      </w:r>
    </w:p>
    <w:p w:rsidR="00E33BF0" w:rsidRDefault="00E33BF0">
      <w:pPr>
        <w:spacing w:line="360" w:lineRule="auto"/>
        <w:ind w:firstLineChars="200" w:firstLine="420"/>
        <w:rPr>
          <w:rFonts w:ascii="宋体" w:hAnsi="宋体" w:hint="eastAsia"/>
          <w:szCs w:val="21"/>
        </w:rPr>
      </w:pPr>
      <w:r>
        <w:rPr>
          <w:rFonts w:ascii="宋体" w:hAnsi="宋体" w:hint="eastAsia"/>
          <w:szCs w:val="21"/>
        </w:rPr>
        <w:t>举例：某投资人通过直销机构投资10万元认购本基金A类基金份额，该笔认购产生利息100元，不收取认购费，则其可得到的认购份额为：</w:t>
      </w:r>
    </w:p>
    <w:p w:rsidR="00E33BF0" w:rsidRDefault="00E33BF0">
      <w:pPr>
        <w:spacing w:line="360" w:lineRule="auto"/>
        <w:ind w:firstLineChars="200" w:firstLine="420"/>
        <w:rPr>
          <w:rFonts w:ascii="宋体" w:hAnsi="宋体" w:hint="eastAsia"/>
          <w:szCs w:val="21"/>
        </w:rPr>
      </w:pPr>
      <w:r>
        <w:rPr>
          <w:rFonts w:ascii="宋体" w:hAnsi="宋体" w:hint="eastAsia"/>
          <w:szCs w:val="21"/>
        </w:rPr>
        <w:t>认购份额=（100,000+100）/1.00=100,100.00份</w:t>
      </w:r>
    </w:p>
    <w:p w:rsidR="00E33BF0" w:rsidRDefault="00E33BF0">
      <w:pPr>
        <w:spacing w:line="360" w:lineRule="auto"/>
        <w:ind w:firstLineChars="200" w:firstLine="420"/>
        <w:rPr>
          <w:rFonts w:ascii="宋体" w:hAnsi="宋体" w:hint="eastAsia"/>
          <w:szCs w:val="21"/>
        </w:rPr>
      </w:pPr>
      <w:r>
        <w:rPr>
          <w:rFonts w:ascii="宋体" w:hAnsi="宋体" w:hint="eastAsia"/>
          <w:szCs w:val="21"/>
        </w:rPr>
        <w:t>即：某投资人通过直销机构投资10万元认购本基金A类基金份额，该笔认购产生利息100元，则其可得到100,100.00份A类基金份额。</w:t>
      </w:r>
    </w:p>
    <w:p w:rsidR="00E33BF0" w:rsidRDefault="00E33BF0">
      <w:pPr>
        <w:spacing w:line="360" w:lineRule="auto"/>
        <w:ind w:firstLineChars="200" w:firstLine="420"/>
        <w:rPr>
          <w:rFonts w:ascii="宋体" w:hAnsi="宋体" w:hint="eastAsia"/>
          <w:szCs w:val="21"/>
        </w:rPr>
      </w:pPr>
      <w:r>
        <w:rPr>
          <w:rFonts w:ascii="宋体" w:hAnsi="宋体" w:hint="eastAsia"/>
          <w:szCs w:val="21"/>
        </w:rPr>
        <w:t>2）当投资人通过其他销售机构认购A类基金份额且认购费用适用比例费率时，其认购份额的计算公式为：</w:t>
      </w:r>
    </w:p>
    <w:p w:rsidR="00E33BF0" w:rsidRDefault="00E33BF0">
      <w:pPr>
        <w:spacing w:line="360" w:lineRule="auto"/>
        <w:ind w:firstLineChars="200" w:firstLine="420"/>
        <w:rPr>
          <w:rFonts w:ascii="宋体" w:hAnsi="宋体" w:hint="eastAsia"/>
          <w:szCs w:val="21"/>
        </w:rPr>
      </w:pPr>
      <w:r>
        <w:rPr>
          <w:rFonts w:ascii="宋体" w:hAnsi="宋体" w:hint="eastAsia"/>
          <w:szCs w:val="21"/>
        </w:rPr>
        <w:t>净认购金额 = 认购金额/（1+认购费率）</w:t>
      </w:r>
    </w:p>
    <w:p w:rsidR="00E33BF0" w:rsidRDefault="00E33BF0">
      <w:pPr>
        <w:spacing w:line="360" w:lineRule="auto"/>
        <w:ind w:firstLineChars="200" w:firstLine="420"/>
        <w:rPr>
          <w:rFonts w:ascii="宋体" w:hAnsi="宋体" w:hint="eastAsia"/>
          <w:szCs w:val="21"/>
        </w:rPr>
      </w:pPr>
      <w:r>
        <w:rPr>
          <w:rFonts w:ascii="宋体" w:hAnsi="宋体" w:hint="eastAsia"/>
          <w:szCs w:val="21"/>
        </w:rPr>
        <w:t>认购费用 = 认购金额－净认购金额</w:t>
      </w:r>
    </w:p>
    <w:p w:rsidR="00E33BF0" w:rsidRDefault="00E33BF0">
      <w:pPr>
        <w:spacing w:line="360" w:lineRule="auto"/>
        <w:ind w:firstLineChars="200" w:firstLine="420"/>
        <w:rPr>
          <w:rFonts w:ascii="宋体" w:hAnsi="宋体" w:hint="eastAsia"/>
          <w:szCs w:val="21"/>
        </w:rPr>
      </w:pPr>
      <w:r>
        <w:rPr>
          <w:rFonts w:ascii="宋体" w:hAnsi="宋体" w:hint="eastAsia"/>
          <w:szCs w:val="21"/>
        </w:rPr>
        <w:t>认购份额 = （净认购金额+认购利息）/基金份额发售面值</w:t>
      </w:r>
    </w:p>
    <w:p w:rsidR="00E33BF0" w:rsidRDefault="00E33BF0">
      <w:pPr>
        <w:spacing w:line="360" w:lineRule="auto"/>
        <w:ind w:firstLineChars="200" w:firstLine="420"/>
        <w:rPr>
          <w:rFonts w:ascii="宋体" w:hAnsi="宋体" w:hint="eastAsia"/>
          <w:szCs w:val="21"/>
        </w:rPr>
      </w:pPr>
      <w:r>
        <w:rPr>
          <w:rFonts w:ascii="宋体" w:hAnsi="宋体" w:hint="eastAsia"/>
          <w:szCs w:val="21"/>
        </w:rPr>
        <w:t>3）当投资人通过其他销售机构认购A类基金份额且认购费用适用固定金额时，其认购份额的计算公式为：</w:t>
      </w:r>
    </w:p>
    <w:p w:rsidR="00E33BF0" w:rsidRDefault="00E33BF0">
      <w:pPr>
        <w:spacing w:line="360" w:lineRule="auto"/>
        <w:ind w:firstLineChars="200" w:firstLine="420"/>
        <w:rPr>
          <w:rFonts w:ascii="宋体" w:hAnsi="宋体" w:hint="eastAsia"/>
          <w:szCs w:val="21"/>
        </w:rPr>
      </w:pPr>
      <w:r>
        <w:rPr>
          <w:rFonts w:ascii="宋体" w:hAnsi="宋体" w:hint="eastAsia"/>
          <w:szCs w:val="21"/>
        </w:rPr>
        <w:t>认购费用 = 固定金额</w:t>
      </w:r>
    </w:p>
    <w:p w:rsidR="00E33BF0" w:rsidRDefault="00E33BF0">
      <w:pPr>
        <w:spacing w:line="360" w:lineRule="auto"/>
        <w:ind w:firstLineChars="200" w:firstLine="420"/>
        <w:rPr>
          <w:rFonts w:ascii="宋体" w:hAnsi="宋体" w:hint="eastAsia"/>
          <w:szCs w:val="21"/>
        </w:rPr>
      </w:pPr>
      <w:r>
        <w:rPr>
          <w:rFonts w:ascii="宋体" w:hAnsi="宋体" w:hint="eastAsia"/>
          <w:szCs w:val="21"/>
        </w:rPr>
        <w:t>净认购金额 = 认购金额-认购费用</w:t>
      </w:r>
    </w:p>
    <w:p w:rsidR="00E33BF0" w:rsidRDefault="00E33BF0">
      <w:pPr>
        <w:spacing w:line="360" w:lineRule="auto"/>
        <w:ind w:firstLineChars="200" w:firstLine="420"/>
        <w:rPr>
          <w:rFonts w:ascii="宋体" w:hAnsi="宋体" w:hint="eastAsia"/>
          <w:szCs w:val="21"/>
        </w:rPr>
      </w:pPr>
      <w:r>
        <w:rPr>
          <w:rFonts w:ascii="宋体" w:hAnsi="宋体" w:hint="eastAsia"/>
          <w:szCs w:val="21"/>
        </w:rPr>
        <w:t>认购份额 = （净认购金额+认购利息）/基金份额发售面值</w:t>
      </w:r>
    </w:p>
    <w:p w:rsidR="00E33BF0" w:rsidRDefault="00E33BF0">
      <w:pPr>
        <w:spacing w:line="360" w:lineRule="auto"/>
        <w:ind w:firstLineChars="200" w:firstLine="420"/>
        <w:rPr>
          <w:rFonts w:ascii="宋体" w:hAnsi="宋体" w:hint="eastAsia"/>
          <w:szCs w:val="21"/>
        </w:rPr>
      </w:pPr>
      <w:r>
        <w:rPr>
          <w:rFonts w:ascii="宋体" w:hAnsi="宋体" w:hint="eastAsia"/>
          <w:szCs w:val="21"/>
        </w:rPr>
        <w:t>举例：某投资人通过其他销售机构投资10万元认购本基金A类基金份额，该笔认购产生利息100元，对应认购费率为0.50%，则其可得到的认购份额为：</w:t>
      </w:r>
    </w:p>
    <w:p w:rsidR="00E33BF0" w:rsidRDefault="00E33BF0">
      <w:pPr>
        <w:spacing w:line="360" w:lineRule="auto"/>
        <w:ind w:firstLineChars="200" w:firstLine="420"/>
        <w:rPr>
          <w:rFonts w:ascii="宋体" w:hAnsi="宋体" w:hint="eastAsia"/>
          <w:szCs w:val="21"/>
        </w:rPr>
      </w:pPr>
      <w:r>
        <w:rPr>
          <w:rFonts w:ascii="宋体" w:hAnsi="宋体" w:hint="eastAsia"/>
          <w:szCs w:val="21"/>
        </w:rPr>
        <w:t>净认购金额＝100,000/(1+0.50%）＝99,502.49元</w:t>
      </w:r>
    </w:p>
    <w:p w:rsidR="00E33BF0" w:rsidRDefault="00E33BF0">
      <w:pPr>
        <w:spacing w:line="360" w:lineRule="auto"/>
        <w:ind w:firstLineChars="200" w:firstLine="420"/>
        <w:rPr>
          <w:rFonts w:ascii="宋体" w:hAnsi="宋体" w:hint="eastAsia"/>
          <w:szCs w:val="21"/>
        </w:rPr>
      </w:pPr>
      <w:r>
        <w:rPr>
          <w:rFonts w:ascii="宋体" w:hAnsi="宋体" w:hint="eastAsia"/>
          <w:szCs w:val="21"/>
        </w:rPr>
        <w:t>认购费用＝100,000－99,502.49＝497.51元</w:t>
      </w:r>
    </w:p>
    <w:p w:rsidR="00E33BF0" w:rsidRDefault="00E33BF0">
      <w:pPr>
        <w:spacing w:line="360" w:lineRule="auto"/>
        <w:ind w:firstLineChars="200" w:firstLine="420"/>
        <w:rPr>
          <w:rFonts w:ascii="宋体" w:hAnsi="宋体" w:hint="eastAsia"/>
          <w:szCs w:val="21"/>
        </w:rPr>
      </w:pPr>
      <w:r>
        <w:rPr>
          <w:rFonts w:ascii="宋体" w:hAnsi="宋体" w:hint="eastAsia"/>
          <w:szCs w:val="21"/>
        </w:rPr>
        <w:t>认购份额＝（99,502.49＋100）/1.00＝99,602.49份</w:t>
      </w:r>
    </w:p>
    <w:p w:rsidR="00E33BF0" w:rsidRDefault="00E33BF0">
      <w:pPr>
        <w:spacing w:line="360" w:lineRule="auto"/>
        <w:ind w:firstLineChars="200" w:firstLine="420"/>
        <w:rPr>
          <w:rFonts w:ascii="宋体" w:hAnsi="宋体" w:hint="eastAsia"/>
          <w:szCs w:val="21"/>
        </w:rPr>
      </w:pPr>
      <w:r>
        <w:rPr>
          <w:rFonts w:ascii="宋体" w:hAnsi="宋体" w:hint="eastAsia"/>
          <w:szCs w:val="21"/>
        </w:rPr>
        <w:t>即，某投资人通过其他销售机构投资10万元认购本基金A类基金份额，该笔认购产生利息100元，则其可得到99,602.49份A类基金份额。</w:t>
      </w:r>
    </w:p>
    <w:p w:rsidR="00E33BF0" w:rsidRDefault="00E33BF0">
      <w:pPr>
        <w:spacing w:line="360" w:lineRule="auto"/>
        <w:ind w:firstLineChars="200" w:firstLine="420"/>
        <w:rPr>
          <w:rFonts w:ascii="宋体" w:hAnsi="宋体" w:hint="eastAsia"/>
          <w:szCs w:val="21"/>
        </w:rPr>
      </w:pPr>
      <w:r>
        <w:rPr>
          <w:rFonts w:ascii="宋体" w:hAnsi="宋体" w:hint="eastAsia"/>
          <w:szCs w:val="21"/>
        </w:rPr>
        <w:t>4）当投资人选择认购C类基金份额时，不收取认购费，其认购份额的计算公式为：</w:t>
      </w:r>
    </w:p>
    <w:p w:rsidR="00E33BF0" w:rsidRDefault="00E33BF0">
      <w:pPr>
        <w:spacing w:line="360" w:lineRule="auto"/>
        <w:ind w:firstLineChars="200" w:firstLine="420"/>
        <w:rPr>
          <w:rFonts w:ascii="宋体" w:hAnsi="宋体" w:hint="eastAsia"/>
          <w:szCs w:val="21"/>
        </w:rPr>
      </w:pPr>
      <w:r>
        <w:rPr>
          <w:rFonts w:ascii="宋体" w:hAnsi="宋体" w:hint="eastAsia"/>
          <w:szCs w:val="21"/>
        </w:rPr>
        <w:t>认购份额=（认购金额+认购利息）/基金份额发售面值</w:t>
      </w:r>
    </w:p>
    <w:p w:rsidR="00E33BF0" w:rsidRDefault="00E33BF0">
      <w:pPr>
        <w:spacing w:line="360" w:lineRule="auto"/>
        <w:ind w:firstLineChars="200" w:firstLine="420"/>
        <w:rPr>
          <w:rFonts w:ascii="宋体" w:hAnsi="宋体" w:hint="eastAsia"/>
          <w:szCs w:val="21"/>
        </w:rPr>
      </w:pPr>
      <w:r>
        <w:rPr>
          <w:rFonts w:ascii="宋体" w:hAnsi="宋体" w:hint="eastAsia"/>
          <w:szCs w:val="21"/>
        </w:rPr>
        <w:t>举例：某投资人投资10万元认购本基金C类基金份额，该笔认购产生利息100元，则其可得到的认购份额为：</w:t>
      </w:r>
    </w:p>
    <w:p w:rsidR="00E33BF0" w:rsidRDefault="00E33BF0">
      <w:pPr>
        <w:spacing w:line="360" w:lineRule="auto"/>
        <w:ind w:firstLineChars="200" w:firstLine="420"/>
        <w:rPr>
          <w:rFonts w:ascii="宋体" w:hAnsi="宋体" w:hint="eastAsia"/>
          <w:szCs w:val="21"/>
        </w:rPr>
      </w:pPr>
      <w:r>
        <w:rPr>
          <w:rFonts w:ascii="宋体" w:hAnsi="宋体" w:hint="eastAsia"/>
          <w:szCs w:val="21"/>
        </w:rPr>
        <w:t>认购份额=（100,000+100）/1.00=100,100.00份</w:t>
      </w:r>
    </w:p>
    <w:p w:rsidR="00E33BF0" w:rsidRDefault="00E33BF0">
      <w:pPr>
        <w:spacing w:line="360" w:lineRule="auto"/>
        <w:ind w:firstLineChars="200" w:firstLine="420"/>
        <w:rPr>
          <w:rFonts w:ascii="宋体" w:hAnsi="宋体" w:hint="eastAsia"/>
          <w:szCs w:val="21"/>
        </w:rPr>
      </w:pPr>
      <w:r>
        <w:rPr>
          <w:rFonts w:ascii="宋体" w:hAnsi="宋体" w:hint="eastAsia"/>
          <w:szCs w:val="21"/>
        </w:rPr>
        <w:t>即，某投资人投资10万元认购本基金C类基金份额，该笔认购产生利息100元，则其可得到100,100.00份C类基金份额。</w:t>
      </w:r>
    </w:p>
    <w:p w:rsidR="00E33BF0" w:rsidRDefault="00E33BF0">
      <w:pPr>
        <w:spacing w:line="360" w:lineRule="auto"/>
        <w:ind w:firstLineChars="200" w:firstLine="420"/>
        <w:rPr>
          <w:rFonts w:ascii="宋体" w:hAnsi="宋体" w:hint="eastAsia"/>
          <w:szCs w:val="21"/>
        </w:rPr>
      </w:pPr>
      <w:r>
        <w:rPr>
          <w:rFonts w:ascii="宋体" w:hAnsi="宋体" w:hint="eastAsia"/>
          <w:szCs w:val="21"/>
        </w:rPr>
        <w:t>（2）上述计算结果均保留到小数点后两位，小数点后两位以后的部分四舍五入，由此产生的收益或损失由基金财产承担。</w:t>
      </w:r>
    </w:p>
    <w:p w:rsidR="00E33BF0" w:rsidRDefault="00E33BF0">
      <w:pPr>
        <w:spacing w:line="360" w:lineRule="auto"/>
        <w:ind w:firstLineChars="200" w:firstLine="420"/>
        <w:rPr>
          <w:rFonts w:ascii="宋体" w:hAnsi="宋体"/>
          <w:szCs w:val="21"/>
        </w:rPr>
      </w:pPr>
      <w:r>
        <w:rPr>
          <w:rFonts w:ascii="宋体" w:hAnsi="宋体" w:hint="eastAsia"/>
          <w:szCs w:val="21"/>
        </w:rPr>
        <w:t>（3）有效认购款项在募集期间产生的银行同期活期存款利息将折算为相应类别的基金份额归基金份额持有人所有，其中利息的具体金额及利息转份额的具体数额以登记机构的记录为准。</w:t>
      </w:r>
    </w:p>
    <w:p w:rsidR="00E33BF0" w:rsidRDefault="00E33BF0">
      <w:pPr>
        <w:adjustRightInd w:val="0"/>
        <w:snapToGrid w:val="0"/>
        <w:spacing w:line="360" w:lineRule="auto"/>
        <w:ind w:firstLineChars="200" w:firstLine="420"/>
        <w:rPr>
          <w:rFonts w:ascii="宋体" w:hAnsi="宋体" w:hint="eastAsia"/>
          <w:szCs w:val="21"/>
        </w:rPr>
      </w:pPr>
      <w:bookmarkStart w:id="10" w:name="OLE_LINK12"/>
      <w:bookmarkEnd w:id="9"/>
      <w:r>
        <w:rPr>
          <w:rFonts w:ascii="宋体" w:hAnsi="宋体" w:hint="eastAsia"/>
          <w:szCs w:val="21"/>
        </w:rPr>
        <w:t>3、认购的方式及确认</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（1）投资人认购时，需按销售机构规定的方式全额缴款。</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（2）投资人在募集期内可多次认购基金份额，通过其他销售机构认购A类基金份额的认购费按每笔A类基金份额认购申请单独计算。认购一经受理不得撤销。</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（3）投资人在T日规定时间内提交的认购申请，通常应在T+2日到原认购网点或以销售机构规定的其他方式查询认购申请的受理情况。</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4）销售机构对认购申请的受理并不代表该申请一定成功，而仅代表销售机构确实接收到认购申请。认购申请的确认以登记机构的确认结果为准。对于认购申请及认购份额的确认情况，投资人应及时查询并妥善行使合法权利，否则，由此产生的任何损失由投资者自行承担。</w:t>
      </w:r>
    </w:p>
    <w:bookmarkEnd w:id="10"/>
    <w:p w:rsidR="00E33BF0" w:rsidRDefault="00E33BF0">
      <w:pPr>
        <w:adjustRightInd w:val="0"/>
        <w:snapToGrid w:val="0"/>
        <w:spacing w:line="360" w:lineRule="auto"/>
        <w:ind w:firstLineChars="200" w:firstLine="420"/>
        <w:rPr>
          <w:rFonts w:ascii="宋体" w:hAnsi="宋体" w:hint="eastAsia"/>
          <w:szCs w:val="21"/>
        </w:rPr>
      </w:pPr>
    </w:p>
    <w:p w:rsidR="00E33BF0" w:rsidRDefault="00E33BF0">
      <w:pPr>
        <w:adjustRightInd w:val="0"/>
        <w:snapToGrid w:val="0"/>
        <w:spacing w:line="360" w:lineRule="auto"/>
        <w:ind w:firstLineChars="200" w:firstLine="420"/>
        <w:outlineLvl w:val="0"/>
        <w:rPr>
          <w:rFonts w:ascii="宋体" w:hAnsi="宋体"/>
          <w:szCs w:val="21"/>
        </w:rPr>
      </w:pPr>
      <w:r>
        <w:rPr>
          <w:rFonts w:ascii="宋体" w:hAnsi="宋体" w:hint="eastAsia"/>
          <w:szCs w:val="21"/>
        </w:rPr>
        <w:t>三、投资者的开户与认购程序</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（一）直销机构业务办理程序</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基金管理人直销柜台和电子直销交易系统受理投资者的开户与认购申请。</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1、</w:t>
      </w:r>
      <w:r>
        <w:rPr>
          <w:rFonts w:ascii="宋体" w:hAnsi="宋体" w:hint="eastAsia"/>
          <w:szCs w:val="21"/>
        </w:rPr>
        <w:t>受理开户及认购的时间</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直销柜台</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①开户受理时间：正常交易日；</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②认购受理时间：认购期间（周六、周日和节假日不受理）</w:t>
      </w:r>
      <w:r>
        <w:rPr>
          <w:rFonts w:ascii="宋体" w:hAnsi="宋体"/>
          <w:szCs w:val="21"/>
        </w:rPr>
        <w:t>9</w:t>
      </w:r>
      <w:r>
        <w:rPr>
          <w:rFonts w:ascii="宋体" w:hAnsi="宋体" w:hint="eastAsia"/>
          <w:szCs w:val="21"/>
        </w:rPr>
        <w:t>：</w:t>
      </w:r>
      <w:r>
        <w:rPr>
          <w:rFonts w:ascii="宋体" w:hAnsi="宋体"/>
          <w:szCs w:val="21"/>
        </w:rPr>
        <w:t>30：</w:t>
      </w:r>
      <w:r>
        <w:rPr>
          <w:rFonts w:ascii="宋体" w:hAnsi="宋体" w:hint="eastAsia"/>
          <w:szCs w:val="21"/>
        </w:rPr>
        <w:t>0</w:t>
      </w:r>
      <w:r>
        <w:rPr>
          <w:rFonts w:ascii="宋体" w:hAnsi="宋体"/>
          <w:szCs w:val="21"/>
        </w:rPr>
        <w:t>0</w:t>
      </w:r>
      <w:r>
        <w:rPr>
          <w:rFonts w:ascii="宋体" w:hAnsi="宋体" w:hint="eastAsia"/>
          <w:szCs w:val="21"/>
        </w:rPr>
        <w:t>至</w:t>
      </w:r>
      <w:r>
        <w:rPr>
          <w:rFonts w:ascii="宋体" w:hAnsi="宋体"/>
          <w:szCs w:val="21"/>
        </w:rPr>
        <w:t>17：00：00</w:t>
      </w:r>
      <w:r>
        <w:rPr>
          <w:rFonts w:ascii="宋体" w:hAnsi="宋体" w:hint="eastAsia"/>
          <w:szCs w:val="21"/>
        </w:rPr>
        <w:t>。</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w:t>
      </w:r>
      <w:r>
        <w:rPr>
          <w:rFonts w:ascii="宋体" w:hAnsi="宋体"/>
          <w:szCs w:val="21"/>
        </w:rPr>
        <w:t>2）</w:t>
      </w:r>
      <w:r>
        <w:rPr>
          <w:rFonts w:ascii="宋体" w:hAnsi="宋体" w:hint="eastAsia"/>
          <w:szCs w:val="21"/>
        </w:rPr>
        <w:t>电子直销</w:t>
      </w:r>
      <w:r>
        <w:rPr>
          <w:rFonts w:ascii="宋体" w:hAnsi="宋体"/>
          <w:szCs w:val="21"/>
        </w:rPr>
        <w:t>交易系统</w:t>
      </w:r>
      <w:r>
        <w:rPr>
          <w:rFonts w:ascii="宋体" w:hAnsi="宋体" w:hint="eastAsia"/>
          <w:szCs w:val="21"/>
        </w:rPr>
        <w:t xml:space="preserve">（前海开源基金网上交易系统（http:// </w:t>
      </w:r>
      <w:hyperlink r:id="rId7" w:history="1">
        <w:r>
          <w:rPr>
            <w:rStyle w:val="ad"/>
            <w:rFonts w:ascii="宋体" w:hAnsi="宋体" w:hint="eastAsia"/>
            <w:szCs w:val="21"/>
          </w:rPr>
          <w:t>www.qhkyfund.com</w:t>
        </w:r>
      </w:hyperlink>
      <w:r>
        <w:rPr>
          <w:rFonts w:ascii="宋体" w:hAnsi="宋体" w:hint="eastAsia"/>
          <w:szCs w:val="21"/>
        </w:rPr>
        <w:t>）、前海开源基金微信小程序）</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①开户受理不受时间限制（非交易时间内的开户申请视同下一个交易日的申请受理）；</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②认购受理时间：认购期间</w:t>
      </w:r>
      <w:r>
        <w:rPr>
          <w:rFonts w:ascii="宋体" w:hAnsi="宋体"/>
          <w:szCs w:val="21"/>
        </w:rPr>
        <w:t>17</w:t>
      </w:r>
      <w:r>
        <w:rPr>
          <w:rFonts w:ascii="宋体" w:hAnsi="宋体" w:hint="eastAsia"/>
          <w:szCs w:val="21"/>
        </w:rPr>
        <w:t>：</w:t>
      </w:r>
      <w:r>
        <w:rPr>
          <w:rFonts w:ascii="宋体" w:hAnsi="宋体"/>
          <w:szCs w:val="21"/>
        </w:rPr>
        <w:t>00前（T日17：00</w:t>
      </w:r>
      <w:r>
        <w:rPr>
          <w:rFonts w:ascii="宋体" w:hAnsi="宋体" w:hint="eastAsia"/>
          <w:szCs w:val="21"/>
        </w:rPr>
        <w:t>以后及周六、周日、节假日的认购申请视同下一交易日的申请受理）。</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szCs w:val="21"/>
        </w:rPr>
        <w:t>2、</w:t>
      </w:r>
      <w:r>
        <w:rPr>
          <w:rFonts w:ascii="宋体" w:hAnsi="宋体" w:hint="eastAsia"/>
          <w:szCs w:val="21"/>
        </w:rPr>
        <w:t>投资者申请开立基金账户</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w:t>
      </w:r>
      <w:r>
        <w:rPr>
          <w:rFonts w:ascii="宋体" w:hAnsi="宋体"/>
          <w:szCs w:val="21"/>
        </w:rPr>
        <w:t>1）</w:t>
      </w:r>
      <w:r>
        <w:rPr>
          <w:rFonts w:ascii="宋体" w:hAnsi="宋体" w:hint="eastAsia"/>
          <w:szCs w:val="21"/>
        </w:rPr>
        <w:t>个人投资者到基金管理人直销柜台办理开立基金账户申请时须提交下列材料：</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①《</w:t>
      </w:r>
      <w:r>
        <w:rPr>
          <w:rFonts w:ascii="宋体" w:hAnsi="宋体" w:hint="eastAsia"/>
          <w:color w:val="000000"/>
          <w:szCs w:val="21"/>
        </w:rPr>
        <w:t>个人账户业务申请表》；</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②《个人税收居民声明文件》；</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③《普通投资者风险承受能力调查问卷（个人版）》/《专业投资者信息采集表（个人版）》及《专业投资者告知及确认书</w:t>
      </w:r>
      <w:r>
        <w:rPr>
          <w:rFonts w:ascii="宋体" w:hAnsi="宋体" w:hint="eastAsia"/>
          <w:color w:val="000000"/>
          <w:szCs w:val="21"/>
        </w:rPr>
        <w:t>》；</w:t>
      </w:r>
    </w:p>
    <w:p w:rsidR="00E33BF0" w:rsidRDefault="00E33BF0">
      <w:pPr>
        <w:tabs>
          <w:tab w:val="left" w:pos="0"/>
        </w:tabs>
        <w:autoSpaceDE w:val="0"/>
        <w:autoSpaceDN w:val="0"/>
        <w:adjustRightInd w:val="0"/>
        <w:snapToGrid w:val="0"/>
        <w:spacing w:line="360" w:lineRule="auto"/>
        <w:ind w:firstLineChars="200" w:firstLine="420"/>
        <w:rPr>
          <w:rFonts w:ascii="宋体" w:hAnsi="宋体" w:hint="eastAsia"/>
          <w:color w:val="000000"/>
          <w:szCs w:val="21"/>
        </w:rPr>
      </w:pPr>
      <w:r>
        <w:rPr>
          <w:rFonts w:ascii="宋体" w:hAnsi="宋体" w:hint="eastAsia"/>
          <w:color w:val="000000"/>
          <w:szCs w:val="21"/>
        </w:rPr>
        <w:t>④投资者本人有效身份证件原件加正反面复印件（有效证件包括身份证、户口本、警官证、文职证、中国护照、港澳居民来往内地通行证、台胞证、外国人永久居留身份证）；</w:t>
      </w:r>
    </w:p>
    <w:p w:rsidR="00E33BF0" w:rsidRDefault="00E33BF0">
      <w:pPr>
        <w:tabs>
          <w:tab w:val="left" w:pos="0"/>
        </w:tabs>
        <w:autoSpaceDE w:val="0"/>
        <w:autoSpaceDN w:val="0"/>
        <w:adjustRightInd w:val="0"/>
        <w:snapToGrid w:val="0"/>
        <w:spacing w:line="360" w:lineRule="auto"/>
        <w:ind w:firstLineChars="200" w:firstLine="420"/>
        <w:rPr>
          <w:rFonts w:ascii="宋体" w:hAnsi="宋体" w:hint="eastAsia"/>
          <w:color w:val="000000"/>
          <w:szCs w:val="21"/>
        </w:rPr>
      </w:pPr>
      <w:r>
        <w:rPr>
          <w:rFonts w:ascii="宋体" w:hAnsi="宋体" w:hint="eastAsia"/>
          <w:color w:val="000000"/>
          <w:szCs w:val="21"/>
        </w:rPr>
        <w:t>⑤投资者本人银行借记卡原件加复印件；</w:t>
      </w:r>
    </w:p>
    <w:p w:rsidR="00E33BF0" w:rsidRDefault="00E33BF0">
      <w:pPr>
        <w:tabs>
          <w:tab w:val="left" w:pos="0"/>
        </w:tabs>
        <w:autoSpaceDE w:val="0"/>
        <w:autoSpaceDN w:val="0"/>
        <w:adjustRightInd w:val="0"/>
        <w:snapToGrid w:val="0"/>
        <w:spacing w:line="360" w:lineRule="auto"/>
        <w:ind w:firstLineChars="200" w:firstLine="420"/>
        <w:rPr>
          <w:rFonts w:ascii="宋体" w:hAnsi="宋体" w:hint="eastAsia"/>
          <w:szCs w:val="21"/>
        </w:rPr>
      </w:pP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 6 \* GB3</w:instrText>
      </w:r>
      <w:r>
        <w:rPr>
          <w:rFonts w:ascii="宋体" w:hAnsi="宋体"/>
          <w:color w:val="000000"/>
          <w:szCs w:val="21"/>
        </w:rPr>
        <w:instrText xml:space="preserve"> </w:instrText>
      </w:r>
      <w:r>
        <w:rPr>
          <w:rFonts w:ascii="宋体" w:hAnsi="宋体"/>
          <w:color w:val="000000"/>
          <w:szCs w:val="21"/>
        </w:rPr>
        <w:fldChar w:fldCharType="separate"/>
      </w:r>
      <w:r>
        <w:rPr>
          <w:rFonts w:ascii="宋体" w:hAnsi="宋体" w:hint="eastAsia"/>
          <w:color w:val="000000"/>
          <w:szCs w:val="21"/>
          <w:lang w:val="en-US" w:eastAsia="zh-CN"/>
        </w:rPr>
        <w:t>⑥</w:t>
      </w:r>
      <w:r>
        <w:rPr>
          <w:rFonts w:ascii="宋体" w:hAnsi="宋体"/>
          <w:color w:val="000000"/>
          <w:szCs w:val="21"/>
        </w:rPr>
        <w:fldChar w:fldCharType="end"/>
      </w:r>
      <w:r>
        <w:rPr>
          <w:rFonts w:ascii="宋体" w:hAnsi="宋体" w:hint="eastAsia"/>
          <w:szCs w:val="21"/>
        </w:rPr>
        <w:t>未成年人投资者需提供监护人的有效身份证件以及法定监护关系证明文件原件及复印件。</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个人投资者在电子直销交易系统办理开立基金账户时须准备下列材料：</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①个人投资者有效身份证件信息（目前电子直销交易系统仅支持持有大陆身份证投资者开户，持有其他证件类型投资者请致电4001-666-998咨询）；</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②基金管理人已开通支持电子直销交易的银行借记卡或第三方支付账户。</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（3）机构投资者到基金管理人直销柜台办理开立基金账户申请时须提交下列材料（按要求盖章、签字）：</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①《机构账户业务申请表》；</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②《直销业务授权委托书》；</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③《直销预留印鉴卡》；</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color w:val="000000"/>
          <w:szCs w:val="21"/>
        </w:rPr>
        <w:t>④</w:t>
      </w:r>
      <w:r>
        <w:rPr>
          <w:rFonts w:ascii="宋体" w:hAnsi="宋体" w:hint="eastAsia"/>
          <w:szCs w:val="21"/>
        </w:rPr>
        <w:t>《投资者远程交易委托服务协议》一式两份；</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color w:val="000000"/>
          <w:szCs w:val="21"/>
        </w:rPr>
        <w:t>⑤</w:t>
      </w:r>
      <w:r>
        <w:rPr>
          <w:rFonts w:ascii="宋体" w:hAnsi="宋体" w:hint="eastAsia"/>
          <w:szCs w:val="21"/>
        </w:rPr>
        <w:t>《普通投资者风险承受能力调查问卷（机构版）》/《专业投资者信息采集表（机构版）》及《专业投资者告知及确认书》；</w:t>
      </w:r>
    </w:p>
    <w:p w:rsidR="00E33BF0" w:rsidRDefault="00E33BF0">
      <w:pPr>
        <w:adjustRightInd w:val="0"/>
        <w:snapToGrid w:val="0"/>
        <w:spacing w:line="360" w:lineRule="auto"/>
        <w:ind w:firstLineChars="200" w:firstLine="420"/>
        <w:rPr>
          <w:rFonts w:ascii="宋体" w:hAnsi="宋体"/>
          <w:szCs w:val="21"/>
        </w:rPr>
      </w:pP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 6 \* GB3</w:instrText>
      </w:r>
      <w:r>
        <w:rPr>
          <w:rFonts w:ascii="宋体" w:hAnsi="宋体"/>
          <w:color w:val="000000"/>
          <w:szCs w:val="21"/>
        </w:rPr>
        <w:instrText xml:space="preserve"> </w:instrText>
      </w:r>
      <w:r>
        <w:rPr>
          <w:rFonts w:ascii="宋体" w:hAnsi="宋体"/>
          <w:color w:val="000000"/>
          <w:szCs w:val="21"/>
        </w:rPr>
        <w:fldChar w:fldCharType="separate"/>
      </w:r>
      <w:r>
        <w:rPr>
          <w:rFonts w:ascii="宋体" w:hAnsi="宋体" w:hint="eastAsia"/>
          <w:color w:val="000000"/>
          <w:szCs w:val="21"/>
          <w:lang w:val="en-US" w:eastAsia="zh-CN"/>
        </w:rPr>
        <w:t>⑥</w:t>
      </w:r>
      <w:r>
        <w:rPr>
          <w:rFonts w:ascii="宋体" w:hAnsi="宋体"/>
          <w:color w:val="000000"/>
          <w:szCs w:val="21"/>
        </w:rPr>
        <w:fldChar w:fldCharType="end"/>
      </w:r>
      <w:r>
        <w:rPr>
          <w:rFonts w:ascii="宋体" w:hAnsi="宋体" w:hint="eastAsia"/>
          <w:szCs w:val="21"/>
        </w:rPr>
        <w:t>《机构税收居民身份声明文件》；</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⑦《控制人税收居民身份声明文件》（如有个人控制人，则需提供）；</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 8 \* GB3</w:instrText>
      </w:r>
      <w:r>
        <w:rPr>
          <w:rFonts w:ascii="宋体" w:hAnsi="宋体"/>
          <w:szCs w:val="21"/>
        </w:rPr>
        <w:instrText xml:space="preserve"> </w:instrText>
      </w:r>
      <w:r>
        <w:rPr>
          <w:rFonts w:ascii="宋体" w:hAnsi="宋体"/>
          <w:szCs w:val="21"/>
        </w:rPr>
        <w:fldChar w:fldCharType="separate"/>
      </w:r>
      <w:r>
        <w:rPr>
          <w:rFonts w:ascii="宋体" w:hAnsi="宋体" w:hint="eastAsia"/>
          <w:szCs w:val="21"/>
          <w:lang w:val="en-US" w:eastAsia="zh-CN"/>
        </w:rPr>
        <w:t>⑧</w:t>
      </w:r>
      <w:r>
        <w:rPr>
          <w:rFonts w:ascii="宋体" w:hAnsi="宋体"/>
          <w:szCs w:val="21"/>
        </w:rPr>
        <w:fldChar w:fldCharType="end"/>
      </w:r>
      <w:r>
        <w:rPr>
          <w:rFonts w:ascii="宋体" w:hAnsi="宋体" w:hint="eastAsia"/>
          <w:szCs w:val="21"/>
        </w:rPr>
        <w:t>《非自然人客户受益所有人尽职调查信息表》及所需识别材料；</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 9 \* GB3</w:instrText>
      </w:r>
      <w:r>
        <w:rPr>
          <w:rFonts w:ascii="宋体" w:hAnsi="宋体"/>
          <w:szCs w:val="21"/>
        </w:rPr>
        <w:instrText xml:space="preserve"> </w:instrText>
      </w:r>
      <w:r>
        <w:rPr>
          <w:rFonts w:ascii="宋体" w:hAnsi="宋体"/>
          <w:szCs w:val="21"/>
        </w:rPr>
        <w:fldChar w:fldCharType="separate"/>
      </w:r>
      <w:r>
        <w:rPr>
          <w:rFonts w:ascii="宋体" w:hAnsi="宋体" w:hint="eastAsia"/>
          <w:szCs w:val="21"/>
          <w:lang w:val="en-US" w:eastAsia="zh-CN"/>
        </w:rPr>
        <w:t>⑨</w:t>
      </w:r>
      <w:r>
        <w:rPr>
          <w:rFonts w:ascii="宋体" w:hAnsi="宋体"/>
          <w:szCs w:val="21"/>
        </w:rPr>
        <w:fldChar w:fldCharType="end"/>
      </w:r>
      <w:r>
        <w:rPr>
          <w:rFonts w:ascii="宋体" w:hAnsi="宋体" w:hint="eastAsia"/>
          <w:szCs w:val="21"/>
        </w:rPr>
        <w:t>营业执照（或民政部门等颁发的注册登记书）；</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 10 \* GB3</w:instrText>
      </w:r>
      <w:r>
        <w:rPr>
          <w:rFonts w:ascii="宋体" w:hAnsi="宋体"/>
          <w:szCs w:val="21"/>
        </w:rPr>
        <w:instrText xml:space="preserve"> </w:instrText>
      </w:r>
      <w:r>
        <w:rPr>
          <w:rFonts w:ascii="宋体" w:hAnsi="宋体"/>
          <w:szCs w:val="21"/>
        </w:rPr>
        <w:fldChar w:fldCharType="separate"/>
      </w:r>
      <w:r>
        <w:rPr>
          <w:rFonts w:ascii="宋体" w:hAnsi="宋体" w:hint="eastAsia"/>
          <w:szCs w:val="21"/>
          <w:lang w:val="en-US" w:eastAsia="zh-CN"/>
        </w:rPr>
        <w:t>⑩</w:t>
      </w:r>
      <w:r>
        <w:rPr>
          <w:rFonts w:ascii="宋体" w:hAnsi="宋体"/>
          <w:szCs w:val="21"/>
        </w:rPr>
        <w:fldChar w:fldCharType="end"/>
      </w:r>
      <w:r>
        <w:rPr>
          <w:rFonts w:ascii="宋体" w:hAnsi="宋体" w:hint="eastAsia"/>
          <w:szCs w:val="21"/>
        </w:rPr>
        <w:t>银行出具的银行账户证明；</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szCs w:val="21"/>
          <w:lang w:val="en-US" w:eastAsia="zh-CN"/>
        </w:rPr>
        <w:fldChar w:fldCharType="begin"/>
      </w:r>
      <w:r>
        <w:rPr>
          <w:rFonts w:ascii="宋体" w:hAnsi="宋体"/>
          <w:szCs w:val="21"/>
          <w:lang w:val="en-US" w:eastAsia="zh-CN"/>
        </w:rPr>
        <w:instrText xml:space="preserve"> </w:instrText>
      </w:r>
      <w:r>
        <w:rPr>
          <w:rFonts w:ascii="宋体" w:hAnsi="宋体" w:hint="eastAsia"/>
          <w:szCs w:val="21"/>
          <w:lang w:val="en-US" w:eastAsia="zh-CN"/>
        </w:rPr>
        <w:instrText>eq \o\ac(○,</w:instrText>
      </w:r>
      <w:r>
        <w:rPr>
          <w:rFonts w:ascii="宋体" w:hAnsi="宋体" w:hint="eastAsia"/>
          <w:position w:val="1"/>
          <w:sz w:val="14"/>
          <w:szCs w:val="21"/>
          <w:lang w:val="en-US" w:eastAsia="zh-CN"/>
        </w:rPr>
        <w:instrText>11</w:instrText>
      </w:r>
      <w:r>
        <w:rPr>
          <w:rFonts w:ascii="宋体" w:hAnsi="宋体" w:hint="eastAsia"/>
          <w:szCs w:val="21"/>
          <w:lang w:val="en-US" w:eastAsia="zh-CN"/>
        </w:rPr>
        <w:instrText>)</w:instrText>
      </w:r>
      <w:r>
        <w:rPr>
          <w:rFonts w:ascii="宋体" w:hAnsi="宋体"/>
          <w:szCs w:val="21"/>
          <w:lang w:val="en-US" w:eastAsia="zh-CN"/>
        </w:rPr>
        <w:fldChar w:fldCharType="end"/>
      </w:r>
      <w:r>
        <w:rPr>
          <w:rFonts w:ascii="宋体" w:hAnsi="宋体" w:hint="eastAsia"/>
          <w:szCs w:val="21"/>
        </w:rPr>
        <w:t>法定</w:t>
      </w:r>
      <w:r>
        <w:rPr>
          <w:rFonts w:ascii="宋体" w:hAnsi="宋体"/>
          <w:szCs w:val="21"/>
        </w:rPr>
        <w:t>代表人</w:t>
      </w:r>
      <w:r>
        <w:rPr>
          <w:rFonts w:ascii="宋体" w:hAnsi="宋体" w:hint="eastAsia"/>
          <w:szCs w:val="21"/>
        </w:rPr>
        <w:t>的有效身份证件；</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position w:val="1"/>
          <w:sz w:val="14"/>
          <w:szCs w:val="21"/>
        </w:rPr>
        <w:instrText>12</w:instrText>
      </w:r>
      <w:r>
        <w:rPr>
          <w:rFonts w:ascii="宋体" w:hAnsi="宋体" w:hint="eastAsia"/>
          <w:szCs w:val="21"/>
        </w:rPr>
        <w:instrText>)</w:instrText>
      </w:r>
      <w:r>
        <w:rPr>
          <w:rFonts w:ascii="宋体" w:hAnsi="宋体"/>
          <w:szCs w:val="21"/>
        </w:rPr>
        <w:fldChar w:fldCharType="end"/>
      </w:r>
      <w:r>
        <w:rPr>
          <w:rFonts w:ascii="宋体" w:hAnsi="宋体" w:hint="eastAsia"/>
          <w:szCs w:val="21"/>
        </w:rPr>
        <w:t>经办人有效身份证件；</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position w:val="1"/>
          <w:sz w:val="14"/>
          <w:szCs w:val="21"/>
        </w:rPr>
        <w:instrText>13</w:instrText>
      </w:r>
      <w:r>
        <w:rPr>
          <w:rFonts w:ascii="宋体" w:hAnsi="宋体" w:hint="eastAsia"/>
          <w:szCs w:val="21"/>
        </w:rPr>
        <w:instrText>)</w:instrText>
      </w:r>
      <w:r>
        <w:rPr>
          <w:rFonts w:ascii="宋体" w:hAnsi="宋体"/>
          <w:szCs w:val="21"/>
        </w:rPr>
        <w:fldChar w:fldCharType="end"/>
      </w:r>
      <w:r>
        <w:rPr>
          <w:rFonts w:ascii="宋体" w:hAnsi="宋体" w:hint="eastAsia"/>
          <w:szCs w:val="21"/>
        </w:rPr>
        <w:t>机构资质证明文件（若有）</w:t>
      </w:r>
    </w:p>
    <w:p w:rsidR="00E33BF0" w:rsidRDefault="00E33BF0">
      <w:pPr>
        <w:adjustRightInd w:val="0"/>
        <w:snapToGrid w:val="0"/>
        <w:spacing w:line="360" w:lineRule="auto"/>
        <w:ind w:firstLineChars="200" w:firstLine="422"/>
        <w:rPr>
          <w:rFonts w:ascii="宋体" w:hAnsi="宋体" w:hint="eastAsia"/>
          <w:b/>
          <w:szCs w:val="21"/>
        </w:rPr>
      </w:pPr>
      <w:r>
        <w:rPr>
          <w:rFonts w:ascii="宋体" w:hAnsi="宋体" w:hint="eastAsia"/>
          <w:b/>
          <w:szCs w:val="21"/>
        </w:rPr>
        <w:t>机构投资者以产品名义开户或账户登记，还需提供以下资料</w:t>
      </w:r>
    </w:p>
    <w:p w:rsidR="00E33BF0" w:rsidRDefault="00E33BF0" w:rsidP="00546352">
      <w:pPr>
        <w:adjustRightInd w:val="0"/>
        <w:snapToGrid w:val="0"/>
        <w:spacing w:line="360" w:lineRule="auto"/>
        <w:ind w:firstLineChars="200" w:firstLine="420"/>
        <w:rPr>
          <w:rFonts w:ascii="宋体" w:hAnsi="宋体" w:hint="eastAsia"/>
          <w:b/>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position w:val="1"/>
          <w:sz w:val="14"/>
          <w:szCs w:val="21"/>
        </w:rPr>
        <w:instrText>14</w:instrText>
      </w:r>
      <w:r>
        <w:rPr>
          <w:rFonts w:ascii="宋体" w:hAnsi="宋体" w:hint="eastAsia"/>
          <w:szCs w:val="21"/>
        </w:rPr>
        <w:instrText>)</w:instrText>
      </w:r>
      <w:r>
        <w:rPr>
          <w:rFonts w:ascii="宋体" w:hAnsi="宋体"/>
          <w:szCs w:val="21"/>
        </w:rPr>
        <w:fldChar w:fldCharType="end"/>
      </w:r>
      <w:r>
        <w:rPr>
          <w:rFonts w:ascii="宋体" w:hAnsi="宋体" w:hint="eastAsia"/>
          <w:szCs w:val="21"/>
        </w:rPr>
        <w:t>产品批文/备案函</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position w:val="1"/>
          <w:sz w:val="14"/>
          <w:szCs w:val="21"/>
        </w:rPr>
        <w:instrText>15</w:instrText>
      </w:r>
      <w:r>
        <w:rPr>
          <w:rFonts w:ascii="宋体" w:hAnsi="宋体" w:hint="eastAsia"/>
          <w:szCs w:val="21"/>
        </w:rPr>
        <w:instrText>)</w:instrText>
      </w:r>
      <w:r>
        <w:rPr>
          <w:rFonts w:ascii="宋体" w:hAnsi="宋体"/>
          <w:szCs w:val="21"/>
        </w:rPr>
        <w:fldChar w:fldCharType="end"/>
      </w:r>
      <w:r>
        <w:rPr>
          <w:rFonts w:ascii="宋体" w:hAnsi="宋体" w:hint="eastAsia"/>
          <w:szCs w:val="21"/>
        </w:rPr>
        <w:t>产品合同/计划说明书/招募说明书等（若有）</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3、</w:t>
      </w:r>
      <w:r>
        <w:rPr>
          <w:rFonts w:ascii="宋体" w:hAnsi="宋体" w:hint="eastAsia"/>
          <w:szCs w:val="21"/>
        </w:rPr>
        <w:t>投资者认购需提交的材料</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个人投资者到基金管理人直销柜台办理认购申请时须提交下列材料：</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①填妥《前海开源直销交易业务申请表》；</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②转账凭证回单联或交易时间内划款的证明（仅当办理认/申购业务时款项未在指定时间内到达我司相应账户时需要提供）。</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w:t>
      </w:r>
      <w:r>
        <w:rPr>
          <w:rFonts w:ascii="宋体" w:hAnsi="宋体"/>
          <w:szCs w:val="21"/>
        </w:rPr>
        <w:t>2）个人投资者在</w:t>
      </w:r>
      <w:r>
        <w:rPr>
          <w:rFonts w:ascii="宋体" w:hAnsi="宋体" w:hint="eastAsia"/>
          <w:szCs w:val="21"/>
        </w:rPr>
        <w:t>基金管理人电子直销交易系统办理认购申请时凭交易密码办理。</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（3）机构投资者办理认购申请时须提交下列材料：</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①填妥《前海开源直销交易业务申请表》；</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②转账凭证回单联或交易时间内划款的证明（仅当办理认/申购业务时款项未在指定时间内到达我司相应账户时需要提供）。</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4、</w:t>
      </w:r>
      <w:r>
        <w:rPr>
          <w:rFonts w:ascii="宋体" w:hAnsi="宋体" w:hint="eastAsia"/>
          <w:szCs w:val="21"/>
        </w:rPr>
        <w:t>投资者认购资金的划拨</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办理认购业务的投资者应通过预留银行账户将足额认购资金在交易申请当日17：00前汇入前海开源基金管理有限公司直销清算账户或由投资者提供已经在17:00前已划款的证明。前海开源基金管理有限公司直销清算账户账户信息如下：</w:t>
      </w:r>
    </w:p>
    <w:p w:rsidR="00E33BF0" w:rsidRDefault="00E33BF0">
      <w:pPr>
        <w:adjustRightInd w:val="0"/>
        <w:snapToGrid w:val="0"/>
        <w:spacing w:line="360" w:lineRule="auto"/>
        <w:ind w:firstLineChars="200" w:firstLine="422"/>
        <w:contextualSpacing/>
        <w:rPr>
          <w:rFonts w:ascii="宋体" w:hAnsi="宋体"/>
          <w:b/>
          <w:szCs w:val="21"/>
        </w:rPr>
      </w:pPr>
      <w:r>
        <w:rPr>
          <w:rFonts w:ascii="宋体" w:hAnsi="宋体"/>
          <w:b/>
          <w:szCs w:val="21"/>
        </w:rPr>
        <w:t>账户</w:t>
      </w:r>
      <w:r>
        <w:rPr>
          <w:rFonts w:ascii="宋体" w:hAnsi="宋体" w:hint="eastAsia"/>
          <w:b/>
          <w:szCs w:val="21"/>
        </w:rPr>
        <w:t>1：</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10"/>
        <w:gridCol w:w="3544"/>
      </w:tblGrid>
      <w:tr w:rsidR="00E33BF0">
        <w:tc>
          <w:tcPr>
            <w:tcW w:w="2410"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60" w:lineRule="exact"/>
              <w:ind w:leftChars="118" w:left="248" w:rightChars="117" w:right="246" w:firstLine="1"/>
              <w:contextualSpacing/>
              <w:rPr>
                <w:rFonts w:ascii="宋体" w:hAnsi="宋体"/>
                <w:szCs w:val="21"/>
              </w:rPr>
            </w:pPr>
            <w:r>
              <w:rPr>
                <w:rFonts w:ascii="宋体" w:hAnsi="宋体" w:hint="eastAsia"/>
                <w:szCs w:val="21"/>
              </w:rPr>
              <w:t>银行开户名</w:t>
            </w:r>
          </w:p>
        </w:tc>
        <w:tc>
          <w:tcPr>
            <w:tcW w:w="3544"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60" w:lineRule="exact"/>
              <w:ind w:leftChars="118" w:left="248" w:rightChars="117" w:right="246" w:firstLine="1"/>
              <w:contextualSpacing/>
              <w:rPr>
                <w:rFonts w:ascii="宋体" w:hAnsi="宋体"/>
                <w:szCs w:val="21"/>
              </w:rPr>
            </w:pPr>
            <w:r>
              <w:rPr>
                <w:rFonts w:ascii="宋体" w:hAnsi="宋体" w:hint="eastAsia"/>
                <w:szCs w:val="21"/>
              </w:rPr>
              <w:t>前海开源基金管理有限公司</w:t>
            </w:r>
          </w:p>
        </w:tc>
      </w:tr>
      <w:tr w:rsidR="00E33BF0">
        <w:tc>
          <w:tcPr>
            <w:tcW w:w="2410"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60" w:lineRule="exact"/>
              <w:ind w:leftChars="118" w:left="248" w:rightChars="117" w:right="246" w:firstLine="1"/>
              <w:contextualSpacing/>
              <w:rPr>
                <w:rFonts w:ascii="宋体" w:hAnsi="宋体"/>
                <w:szCs w:val="21"/>
              </w:rPr>
            </w:pPr>
            <w:r>
              <w:rPr>
                <w:rFonts w:ascii="宋体" w:hAnsi="宋体" w:hint="eastAsia"/>
                <w:szCs w:val="21"/>
              </w:rPr>
              <w:t>银行账号</w:t>
            </w:r>
          </w:p>
        </w:tc>
        <w:tc>
          <w:tcPr>
            <w:tcW w:w="3544"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60" w:lineRule="exact"/>
              <w:ind w:leftChars="118" w:left="248" w:rightChars="117" w:right="246" w:firstLine="1"/>
              <w:contextualSpacing/>
              <w:rPr>
                <w:rFonts w:ascii="宋体" w:hAnsi="宋体"/>
                <w:szCs w:val="21"/>
              </w:rPr>
            </w:pPr>
            <w:r>
              <w:rPr>
                <w:rFonts w:ascii="宋体" w:hAnsi="宋体" w:hint="eastAsia"/>
                <w:szCs w:val="21"/>
              </w:rPr>
              <w:t>4100 7800 0400 1712 7</w:t>
            </w:r>
          </w:p>
        </w:tc>
      </w:tr>
      <w:tr w:rsidR="00E33BF0">
        <w:tc>
          <w:tcPr>
            <w:tcW w:w="2410"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60" w:lineRule="exact"/>
              <w:ind w:leftChars="118" w:left="248" w:rightChars="117" w:right="246" w:firstLine="1"/>
              <w:contextualSpacing/>
              <w:rPr>
                <w:rFonts w:ascii="宋体" w:hAnsi="宋体"/>
                <w:szCs w:val="21"/>
              </w:rPr>
            </w:pPr>
            <w:r>
              <w:rPr>
                <w:rFonts w:ascii="宋体" w:hAnsi="宋体" w:hint="eastAsia"/>
                <w:szCs w:val="21"/>
              </w:rPr>
              <w:t>开户银行</w:t>
            </w:r>
          </w:p>
        </w:tc>
        <w:tc>
          <w:tcPr>
            <w:tcW w:w="3544"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60" w:lineRule="exact"/>
              <w:ind w:leftChars="118" w:left="248" w:rightChars="117" w:right="246" w:firstLine="1"/>
              <w:contextualSpacing/>
              <w:rPr>
                <w:rFonts w:ascii="宋体" w:hAnsi="宋体"/>
                <w:szCs w:val="21"/>
              </w:rPr>
            </w:pPr>
            <w:r>
              <w:rPr>
                <w:rFonts w:ascii="宋体" w:hAnsi="宋体" w:hint="eastAsia"/>
                <w:szCs w:val="21"/>
              </w:rPr>
              <w:t>中国农业银行深圳车公庙支行</w:t>
            </w:r>
          </w:p>
        </w:tc>
      </w:tr>
      <w:tr w:rsidR="00E33BF0">
        <w:tc>
          <w:tcPr>
            <w:tcW w:w="2410"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60" w:lineRule="exact"/>
              <w:ind w:leftChars="118" w:left="248" w:rightChars="117" w:right="246" w:firstLine="1"/>
              <w:contextualSpacing/>
              <w:rPr>
                <w:rFonts w:ascii="宋体" w:hAnsi="宋体"/>
                <w:szCs w:val="21"/>
              </w:rPr>
            </w:pPr>
            <w:r>
              <w:rPr>
                <w:rFonts w:ascii="宋体" w:hAnsi="宋体" w:hint="eastAsia"/>
                <w:szCs w:val="21"/>
              </w:rPr>
              <w:t>人行大额支付号</w:t>
            </w:r>
          </w:p>
        </w:tc>
        <w:tc>
          <w:tcPr>
            <w:tcW w:w="3544"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60" w:lineRule="exact"/>
              <w:ind w:leftChars="118" w:left="248" w:rightChars="117" w:right="246" w:firstLine="1"/>
              <w:contextualSpacing/>
              <w:rPr>
                <w:rFonts w:ascii="宋体" w:hAnsi="宋体"/>
                <w:szCs w:val="21"/>
              </w:rPr>
            </w:pPr>
            <w:r>
              <w:rPr>
                <w:rFonts w:ascii="宋体" w:hAnsi="宋体" w:hint="eastAsia"/>
                <w:szCs w:val="21"/>
              </w:rPr>
              <w:t>103584000783</w:t>
            </w:r>
          </w:p>
        </w:tc>
      </w:tr>
      <w:tr w:rsidR="00E33BF0">
        <w:tc>
          <w:tcPr>
            <w:tcW w:w="2410"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60" w:lineRule="exact"/>
              <w:ind w:leftChars="118" w:left="248" w:rightChars="117" w:right="246" w:firstLine="1"/>
              <w:contextualSpacing/>
              <w:rPr>
                <w:rFonts w:ascii="宋体" w:hAnsi="宋体"/>
                <w:szCs w:val="21"/>
              </w:rPr>
            </w:pPr>
            <w:r>
              <w:rPr>
                <w:rFonts w:ascii="宋体" w:hAnsi="宋体" w:hint="eastAsia"/>
                <w:szCs w:val="21"/>
              </w:rPr>
              <w:t>开户行所在地</w:t>
            </w:r>
          </w:p>
        </w:tc>
        <w:tc>
          <w:tcPr>
            <w:tcW w:w="3544"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60" w:lineRule="exact"/>
              <w:ind w:leftChars="118" w:left="248" w:rightChars="117" w:right="246" w:firstLine="1"/>
              <w:contextualSpacing/>
              <w:rPr>
                <w:rFonts w:ascii="宋体" w:hAnsi="宋体"/>
                <w:szCs w:val="21"/>
              </w:rPr>
            </w:pPr>
            <w:r>
              <w:rPr>
                <w:rFonts w:ascii="宋体" w:hAnsi="宋体" w:hint="eastAsia"/>
                <w:szCs w:val="21"/>
              </w:rPr>
              <w:t>广东省深圳市</w:t>
            </w:r>
          </w:p>
        </w:tc>
      </w:tr>
    </w:tbl>
    <w:p w:rsidR="00E33BF0" w:rsidRDefault="00E33BF0">
      <w:pPr>
        <w:tabs>
          <w:tab w:val="left" w:pos="10490"/>
        </w:tabs>
        <w:spacing w:line="320" w:lineRule="exact"/>
        <w:ind w:leftChars="118" w:left="248" w:rightChars="117" w:right="246" w:firstLineChars="200" w:firstLine="422"/>
        <w:contextualSpacing/>
        <w:rPr>
          <w:rFonts w:ascii="宋体" w:hAnsi="宋体"/>
          <w:b/>
          <w:szCs w:val="21"/>
        </w:rPr>
      </w:pPr>
      <w:r>
        <w:rPr>
          <w:rFonts w:ascii="宋体" w:hAnsi="宋体" w:hint="eastAsia"/>
          <w:b/>
          <w:szCs w:val="21"/>
        </w:rPr>
        <w:t>账户2：</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10"/>
        <w:gridCol w:w="3544"/>
      </w:tblGrid>
      <w:tr w:rsidR="00E33BF0">
        <w:tc>
          <w:tcPr>
            <w:tcW w:w="2410"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hAnsi="宋体"/>
                <w:szCs w:val="21"/>
              </w:rPr>
            </w:pPr>
            <w:r>
              <w:rPr>
                <w:rFonts w:ascii="宋体" w:hAnsi="宋体" w:hint="eastAsia"/>
                <w:szCs w:val="21"/>
              </w:rPr>
              <w:t>银行开户名</w:t>
            </w:r>
          </w:p>
        </w:tc>
        <w:tc>
          <w:tcPr>
            <w:tcW w:w="3544"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hAnsi="宋体"/>
                <w:szCs w:val="21"/>
              </w:rPr>
            </w:pPr>
            <w:r>
              <w:rPr>
                <w:rFonts w:ascii="宋体" w:hAnsi="宋体" w:hint="eastAsia"/>
                <w:szCs w:val="21"/>
              </w:rPr>
              <w:t>前海开源基金管理有限公司</w:t>
            </w:r>
          </w:p>
        </w:tc>
      </w:tr>
      <w:tr w:rsidR="00E33BF0">
        <w:tc>
          <w:tcPr>
            <w:tcW w:w="2410"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hAnsi="宋体"/>
                <w:szCs w:val="21"/>
              </w:rPr>
            </w:pPr>
            <w:r>
              <w:rPr>
                <w:rFonts w:ascii="宋体" w:hAnsi="宋体" w:hint="eastAsia"/>
                <w:szCs w:val="21"/>
              </w:rPr>
              <w:t>银行账号</w:t>
            </w:r>
          </w:p>
        </w:tc>
        <w:tc>
          <w:tcPr>
            <w:tcW w:w="3544"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hAnsi="宋体"/>
                <w:szCs w:val="21"/>
              </w:rPr>
            </w:pPr>
            <w:r>
              <w:rPr>
                <w:rFonts w:ascii="宋体" w:hAnsi="宋体" w:hint="eastAsia"/>
                <w:szCs w:val="21"/>
              </w:rPr>
              <w:t>1916 0000 0033 96</w:t>
            </w:r>
          </w:p>
        </w:tc>
      </w:tr>
      <w:tr w:rsidR="00E33BF0">
        <w:tc>
          <w:tcPr>
            <w:tcW w:w="2410"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hAnsi="宋体"/>
                <w:szCs w:val="21"/>
              </w:rPr>
            </w:pPr>
            <w:r>
              <w:rPr>
                <w:rFonts w:ascii="宋体" w:hAnsi="宋体" w:hint="eastAsia"/>
                <w:szCs w:val="21"/>
              </w:rPr>
              <w:t>开户银行</w:t>
            </w:r>
          </w:p>
        </w:tc>
        <w:tc>
          <w:tcPr>
            <w:tcW w:w="3544"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hAnsi="宋体"/>
                <w:szCs w:val="21"/>
              </w:rPr>
            </w:pPr>
            <w:r>
              <w:rPr>
                <w:rFonts w:ascii="宋体" w:hAnsi="宋体" w:hint="eastAsia"/>
                <w:szCs w:val="21"/>
              </w:rPr>
              <w:t>平安银行深圳分行营业部</w:t>
            </w:r>
          </w:p>
        </w:tc>
      </w:tr>
      <w:tr w:rsidR="00E33BF0">
        <w:tc>
          <w:tcPr>
            <w:tcW w:w="2410"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hAnsi="宋体"/>
                <w:szCs w:val="21"/>
              </w:rPr>
            </w:pPr>
            <w:r>
              <w:rPr>
                <w:rFonts w:ascii="宋体" w:hAnsi="宋体" w:hint="eastAsia"/>
                <w:szCs w:val="21"/>
              </w:rPr>
              <w:t>人行大额支付号</w:t>
            </w:r>
          </w:p>
        </w:tc>
        <w:tc>
          <w:tcPr>
            <w:tcW w:w="3544"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hAnsi="宋体"/>
                <w:szCs w:val="21"/>
              </w:rPr>
            </w:pPr>
            <w:r>
              <w:rPr>
                <w:rFonts w:ascii="宋体" w:hAnsi="宋体" w:hint="eastAsia"/>
                <w:szCs w:val="21"/>
              </w:rPr>
              <w:t>307584021015</w:t>
            </w:r>
          </w:p>
        </w:tc>
      </w:tr>
      <w:tr w:rsidR="00E33BF0">
        <w:tc>
          <w:tcPr>
            <w:tcW w:w="2410"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hAnsi="宋体"/>
                <w:szCs w:val="21"/>
              </w:rPr>
            </w:pPr>
            <w:r>
              <w:rPr>
                <w:rFonts w:ascii="宋体" w:hAnsi="宋体" w:hint="eastAsia"/>
                <w:szCs w:val="21"/>
              </w:rPr>
              <w:t>开户行所在地</w:t>
            </w:r>
          </w:p>
        </w:tc>
        <w:tc>
          <w:tcPr>
            <w:tcW w:w="3544"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hAnsi="宋体"/>
                <w:szCs w:val="21"/>
              </w:rPr>
            </w:pPr>
            <w:r>
              <w:rPr>
                <w:rFonts w:ascii="宋体" w:hAnsi="宋体" w:hint="eastAsia"/>
                <w:szCs w:val="21"/>
              </w:rPr>
              <w:t>广东省深圳市</w:t>
            </w:r>
          </w:p>
        </w:tc>
      </w:tr>
    </w:tbl>
    <w:p w:rsidR="00E33BF0" w:rsidRDefault="00E33BF0">
      <w:pPr>
        <w:tabs>
          <w:tab w:val="left" w:pos="10490"/>
        </w:tabs>
        <w:spacing w:line="320" w:lineRule="exact"/>
        <w:ind w:rightChars="117" w:right="246" w:firstLineChars="400" w:firstLine="843"/>
        <w:contextualSpacing/>
        <w:rPr>
          <w:rFonts w:ascii="宋体" w:hAnsi="宋体" w:cs="宋体" w:hint="eastAsia"/>
          <w:b/>
          <w:bCs/>
          <w:color w:val="000000"/>
          <w:szCs w:val="21"/>
        </w:rPr>
      </w:pPr>
      <w:r>
        <w:rPr>
          <w:rFonts w:ascii="宋体" w:hAnsi="宋体" w:cs="宋体" w:hint="eastAsia"/>
          <w:b/>
          <w:bCs/>
          <w:color w:val="000000"/>
          <w:szCs w:val="21"/>
        </w:rPr>
        <w:t>账户3:</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10"/>
        <w:gridCol w:w="3969"/>
      </w:tblGrid>
      <w:tr w:rsidR="00E33BF0">
        <w:tc>
          <w:tcPr>
            <w:tcW w:w="2410"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cs="宋体"/>
                <w:color w:val="000000"/>
                <w:szCs w:val="21"/>
              </w:rPr>
            </w:pPr>
            <w:r>
              <w:rPr>
                <w:rFonts w:ascii="宋体" w:cs="宋体" w:hint="eastAsia"/>
                <w:color w:val="000000"/>
                <w:szCs w:val="21"/>
              </w:rPr>
              <w:t>银行开户名</w:t>
            </w:r>
          </w:p>
        </w:tc>
        <w:tc>
          <w:tcPr>
            <w:tcW w:w="3969"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cs="宋体"/>
                <w:color w:val="000000"/>
                <w:szCs w:val="21"/>
              </w:rPr>
            </w:pPr>
            <w:r>
              <w:rPr>
                <w:rFonts w:ascii="宋体" w:cs="宋体" w:hint="eastAsia"/>
                <w:color w:val="000000"/>
                <w:szCs w:val="21"/>
              </w:rPr>
              <w:t>前海开源基金管理有限公司</w:t>
            </w:r>
          </w:p>
        </w:tc>
      </w:tr>
      <w:tr w:rsidR="00E33BF0">
        <w:tc>
          <w:tcPr>
            <w:tcW w:w="2410"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cs="宋体"/>
                <w:color w:val="000000"/>
                <w:szCs w:val="21"/>
              </w:rPr>
            </w:pPr>
            <w:r>
              <w:rPr>
                <w:rFonts w:ascii="宋体" w:cs="宋体" w:hint="eastAsia"/>
                <w:color w:val="000000"/>
                <w:szCs w:val="21"/>
              </w:rPr>
              <w:t>银行账号</w:t>
            </w:r>
          </w:p>
        </w:tc>
        <w:tc>
          <w:tcPr>
            <w:tcW w:w="3969"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cs="宋体"/>
                <w:color w:val="000000"/>
                <w:szCs w:val="21"/>
              </w:rPr>
            </w:pPr>
            <w:r>
              <w:rPr>
                <w:rFonts w:ascii="宋体" w:cs="宋体" w:hint="eastAsia"/>
                <w:color w:val="000000"/>
                <w:szCs w:val="21"/>
              </w:rPr>
              <w:t>7917 0078 8014 0001 0769</w:t>
            </w:r>
          </w:p>
        </w:tc>
      </w:tr>
      <w:tr w:rsidR="00E33BF0">
        <w:tc>
          <w:tcPr>
            <w:tcW w:w="2410"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cs="宋体"/>
                <w:color w:val="000000"/>
                <w:szCs w:val="21"/>
              </w:rPr>
            </w:pPr>
            <w:r>
              <w:rPr>
                <w:rFonts w:ascii="宋体" w:cs="宋体" w:hint="eastAsia"/>
                <w:color w:val="000000"/>
                <w:szCs w:val="21"/>
              </w:rPr>
              <w:t>开户银行</w:t>
            </w:r>
          </w:p>
        </w:tc>
        <w:tc>
          <w:tcPr>
            <w:tcW w:w="3969"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cs="宋体"/>
                <w:color w:val="000000"/>
                <w:szCs w:val="21"/>
              </w:rPr>
            </w:pPr>
            <w:r>
              <w:rPr>
                <w:rFonts w:ascii="宋体" w:cs="宋体" w:hint="eastAsia"/>
                <w:color w:val="000000"/>
                <w:szCs w:val="21"/>
              </w:rPr>
              <w:t>上海浦东发展银行深圳分行营业部</w:t>
            </w:r>
          </w:p>
        </w:tc>
      </w:tr>
      <w:tr w:rsidR="00E33BF0">
        <w:tc>
          <w:tcPr>
            <w:tcW w:w="2410"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cs="宋体"/>
                <w:color w:val="000000"/>
                <w:szCs w:val="21"/>
              </w:rPr>
            </w:pPr>
            <w:r>
              <w:rPr>
                <w:rFonts w:ascii="宋体" w:cs="宋体" w:hint="eastAsia"/>
                <w:color w:val="000000"/>
                <w:szCs w:val="21"/>
              </w:rPr>
              <w:t>人行大额支付号</w:t>
            </w:r>
          </w:p>
        </w:tc>
        <w:tc>
          <w:tcPr>
            <w:tcW w:w="3969"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cs="宋体"/>
                <w:color w:val="000000"/>
                <w:szCs w:val="21"/>
              </w:rPr>
            </w:pPr>
            <w:r>
              <w:rPr>
                <w:rFonts w:ascii="宋体" w:cs="宋体" w:hint="eastAsia"/>
                <w:color w:val="000000"/>
                <w:szCs w:val="21"/>
              </w:rPr>
              <w:t>310584000151</w:t>
            </w:r>
          </w:p>
        </w:tc>
      </w:tr>
      <w:tr w:rsidR="00E33BF0">
        <w:tc>
          <w:tcPr>
            <w:tcW w:w="2410"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cs="宋体"/>
                <w:color w:val="000000"/>
                <w:szCs w:val="21"/>
              </w:rPr>
            </w:pPr>
            <w:r>
              <w:rPr>
                <w:rFonts w:ascii="宋体" w:cs="宋体" w:hint="eastAsia"/>
                <w:color w:val="000000"/>
                <w:szCs w:val="21"/>
              </w:rPr>
              <w:t>开户行所在地</w:t>
            </w:r>
          </w:p>
        </w:tc>
        <w:tc>
          <w:tcPr>
            <w:tcW w:w="3969" w:type="dxa"/>
            <w:tcBorders>
              <w:top w:val="single" w:sz="4" w:space="0" w:color="auto"/>
              <w:left w:val="single" w:sz="4" w:space="0" w:color="auto"/>
              <w:bottom w:val="single" w:sz="4" w:space="0" w:color="auto"/>
              <w:right w:val="single" w:sz="4" w:space="0" w:color="auto"/>
            </w:tcBorders>
            <w:vAlign w:val="center"/>
          </w:tcPr>
          <w:p w:rsidR="00E33BF0" w:rsidRDefault="00E33BF0">
            <w:pPr>
              <w:tabs>
                <w:tab w:val="left" w:pos="10490"/>
              </w:tabs>
              <w:spacing w:line="320" w:lineRule="exact"/>
              <w:ind w:leftChars="118" w:left="248" w:rightChars="117" w:right="246" w:firstLine="1"/>
              <w:contextualSpacing/>
              <w:rPr>
                <w:rFonts w:ascii="宋体" w:cs="宋体"/>
                <w:color w:val="000000"/>
                <w:szCs w:val="21"/>
              </w:rPr>
            </w:pPr>
            <w:r>
              <w:rPr>
                <w:rFonts w:ascii="宋体" w:cs="宋体" w:hint="eastAsia"/>
                <w:color w:val="000000"/>
                <w:szCs w:val="21"/>
              </w:rPr>
              <w:t>广东省深圳市</w:t>
            </w:r>
          </w:p>
        </w:tc>
      </w:tr>
    </w:tbl>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个人投资者在基金管理人电子直销交易系统认购基金时，以在线支付方式完成资金支付。</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5、</w:t>
      </w:r>
      <w:r>
        <w:rPr>
          <w:rFonts w:ascii="宋体" w:hAnsi="宋体" w:hint="eastAsia"/>
          <w:szCs w:val="21"/>
        </w:rPr>
        <w:t>注意事项</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每个投资者在同一个登记机构只能开立一个基金账户；</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w:t>
      </w:r>
      <w:r>
        <w:rPr>
          <w:rFonts w:ascii="宋体" w:hAnsi="宋体"/>
          <w:szCs w:val="21"/>
        </w:rPr>
        <w:t>2）投资者T日提交开户申请后，可于T+2日后（包括T+2日，如遇非工作日不办公则顺延）到</w:t>
      </w:r>
      <w:r>
        <w:rPr>
          <w:rFonts w:ascii="宋体" w:hAnsi="宋体" w:hint="eastAsia"/>
          <w:szCs w:val="21"/>
        </w:rPr>
        <w:t>基金管理人直销柜台</w:t>
      </w:r>
      <w:r>
        <w:rPr>
          <w:rFonts w:ascii="宋体" w:hAnsi="宋体"/>
          <w:szCs w:val="21"/>
        </w:rPr>
        <w:t>查询结果，或通过基金管理人客户服务中心、</w:t>
      </w:r>
      <w:r>
        <w:rPr>
          <w:rFonts w:ascii="宋体" w:hAnsi="宋体" w:hint="eastAsia"/>
          <w:szCs w:val="21"/>
        </w:rPr>
        <w:t>电子直销交易系统</w:t>
      </w:r>
      <w:r>
        <w:rPr>
          <w:rFonts w:ascii="宋体" w:hAnsi="宋体"/>
          <w:szCs w:val="21"/>
        </w:rPr>
        <w:t>查询</w:t>
      </w:r>
      <w:r>
        <w:rPr>
          <w:rFonts w:ascii="宋体" w:hAnsi="宋体" w:hint="eastAsia"/>
          <w:szCs w:val="21"/>
        </w:rPr>
        <w:t>；</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（3）投资者T日提交认购申请后，可于T+2日后（包括T+2日，如遇非工作日不办公则顺延）到</w:t>
      </w:r>
      <w:r>
        <w:rPr>
          <w:rFonts w:ascii="宋体" w:hAnsi="宋体" w:hint="eastAsia"/>
          <w:szCs w:val="21"/>
        </w:rPr>
        <w:t>基金管理人直销柜台</w:t>
      </w:r>
      <w:r>
        <w:rPr>
          <w:rFonts w:ascii="宋体" w:hAnsi="宋体"/>
          <w:szCs w:val="21"/>
        </w:rPr>
        <w:t>查询认购</w:t>
      </w:r>
      <w:r>
        <w:rPr>
          <w:rFonts w:ascii="宋体" w:hAnsi="宋体" w:hint="eastAsia"/>
          <w:szCs w:val="21"/>
        </w:rPr>
        <w:t>受理</w:t>
      </w:r>
      <w:r>
        <w:rPr>
          <w:rFonts w:ascii="宋体" w:hAnsi="宋体"/>
          <w:szCs w:val="21"/>
        </w:rPr>
        <w:t>情况，或通过基金管理人客户服务中心、</w:t>
      </w:r>
      <w:r>
        <w:rPr>
          <w:rFonts w:ascii="宋体" w:hAnsi="宋体" w:hint="eastAsia"/>
          <w:szCs w:val="21"/>
        </w:rPr>
        <w:t>电子直销交易系统</w:t>
      </w:r>
      <w:r>
        <w:rPr>
          <w:rFonts w:ascii="宋体" w:hAnsi="宋体"/>
          <w:szCs w:val="21"/>
        </w:rPr>
        <w:t>查询。认购确认结果可于基金合同生效后到基金管理人直销</w:t>
      </w:r>
      <w:r>
        <w:rPr>
          <w:rFonts w:ascii="宋体" w:hAnsi="宋体" w:hint="eastAsia"/>
          <w:szCs w:val="21"/>
        </w:rPr>
        <w:t>柜台</w:t>
      </w:r>
      <w:r>
        <w:rPr>
          <w:rFonts w:ascii="宋体" w:hAnsi="宋体"/>
          <w:szCs w:val="21"/>
        </w:rPr>
        <w:t>查询，或通过基金管理人客户服务中心、</w:t>
      </w:r>
      <w:r>
        <w:rPr>
          <w:rFonts w:ascii="宋体" w:hAnsi="宋体" w:hint="eastAsia"/>
          <w:szCs w:val="21"/>
        </w:rPr>
        <w:t>电子直销交易</w:t>
      </w:r>
      <w:r>
        <w:rPr>
          <w:rFonts w:ascii="宋体" w:hAnsi="宋体"/>
          <w:szCs w:val="21"/>
        </w:rPr>
        <w:t>系统查询</w:t>
      </w:r>
      <w:r>
        <w:rPr>
          <w:rFonts w:ascii="宋体" w:hAnsi="宋体" w:hint="eastAsia"/>
          <w:szCs w:val="21"/>
        </w:rPr>
        <w:t>；</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（4</w:t>
      </w:r>
      <w:r>
        <w:rPr>
          <w:rFonts w:ascii="宋体" w:hAnsi="宋体"/>
          <w:szCs w:val="21"/>
        </w:rPr>
        <w:t>）投资者申请认购基金时不接受现金，</w:t>
      </w:r>
      <w:r>
        <w:rPr>
          <w:rFonts w:ascii="宋体" w:hAnsi="宋体" w:hint="eastAsia"/>
          <w:szCs w:val="21"/>
        </w:rPr>
        <w:t>投资者必须预先在用于认购基金的银行借记卡</w:t>
      </w:r>
      <w:r>
        <w:rPr>
          <w:rFonts w:ascii="宋体" w:hAnsi="宋体"/>
          <w:szCs w:val="21"/>
        </w:rPr>
        <w:t>/存折</w:t>
      </w:r>
      <w:r>
        <w:rPr>
          <w:rFonts w:ascii="宋体" w:hAnsi="宋体" w:hint="eastAsia"/>
          <w:szCs w:val="21"/>
        </w:rPr>
        <w:t>等相关账户中存入足额的认购资金；</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（5</w:t>
      </w:r>
      <w:r>
        <w:rPr>
          <w:rFonts w:ascii="宋体" w:hAnsi="宋体"/>
          <w:szCs w:val="21"/>
        </w:rPr>
        <w:t>）投资者认购基金申请须在公布的认购时间内办理</w:t>
      </w:r>
      <w:r>
        <w:rPr>
          <w:rFonts w:ascii="宋体" w:hAnsi="宋体" w:hint="eastAsia"/>
          <w:szCs w:val="21"/>
        </w:rPr>
        <w:t>；</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（6</w:t>
      </w:r>
      <w:r>
        <w:rPr>
          <w:rFonts w:ascii="宋体" w:hAnsi="宋体"/>
          <w:szCs w:val="21"/>
        </w:rPr>
        <w:t>）</w:t>
      </w:r>
      <w:r>
        <w:rPr>
          <w:rFonts w:ascii="宋体" w:hAnsi="宋体" w:hint="eastAsia"/>
          <w:szCs w:val="21"/>
        </w:rPr>
        <w:t>预留</w:t>
      </w:r>
      <w:r>
        <w:rPr>
          <w:rFonts w:ascii="宋体" w:hAnsi="宋体"/>
          <w:szCs w:val="21"/>
        </w:rPr>
        <w:t>银行账户是指</w:t>
      </w:r>
      <w:r>
        <w:rPr>
          <w:rFonts w:ascii="宋体" w:hAnsi="宋体" w:hint="eastAsia"/>
          <w:szCs w:val="21"/>
        </w:rPr>
        <w:t>投资者开立基金账户时预留的作为赎回、分红、退款的结算账户，该银行账户应为投资者开立的国内商业银行的借记账户；</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（7</w:t>
      </w:r>
      <w:r>
        <w:rPr>
          <w:rFonts w:ascii="宋体" w:hAnsi="宋体"/>
          <w:szCs w:val="21"/>
        </w:rPr>
        <w:t>）投资者需填写的表单可登录基金管理人官方网站-客</w:t>
      </w:r>
      <w:r>
        <w:rPr>
          <w:rFonts w:ascii="宋体" w:hAnsi="宋体" w:hint="eastAsia"/>
          <w:szCs w:val="21"/>
        </w:rPr>
        <w:t>服中心</w:t>
      </w:r>
      <w:r>
        <w:rPr>
          <w:rFonts w:ascii="宋体" w:hAnsi="宋体"/>
          <w:szCs w:val="21"/>
        </w:rPr>
        <w:t>-单据下载，进行下载打印；</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（8）直销业务规则请参阅《前海开源基金直销柜台业务规则》以及《前海开源基金管理有限公司电子直销交易业务规则》。</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（二）非直销销售机构</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投资者在非直销销售机构开立基金账户及认购手续以各销售机构的规定为准。</w:t>
      </w:r>
    </w:p>
    <w:p w:rsidR="00E33BF0" w:rsidRDefault="00E33BF0">
      <w:pPr>
        <w:adjustRightInd w:val="0"/>
        <w:snapToGrid w:val="0"/>
        <w:spacing w:line="360" w:lineRule="auto"/>
        <w:ind w:firstLineChars="200" w:firstLine="420"/>
        <w:rPr>
          <w:rFonts w:ascii="宋体" w:hAnsi="宋体"/>
          <w:szCs w:val="21"/>
        </w:rPr>
      </w:pPr>
    </w:p>
    <w:p w:rsidR="00E33BF0" w:rsidRDefault="00E33BF0">
      <w:pPr>
        <w:adjustRightInd w:val="0"/>
        <w:snapToGrid w:val="0"/>
        <w:spacing w:line="360" w:lineRule="auto"/>
        <w:ind w:firstLineChars="200" w:firstLine="420"/>
        <w:outlineLvl w:val="0"/>
        <w:rPr>
          <w:rFonts w:ascii="宋体" w:hAnsi="宋体"/>
          <w:szCs w:val="21"/>
        </w:rPr>
      </w:pPr>
      <w:r>
        <w:rPr>
          <w:rFonts w:ascii="宋体" w:hAnsi="宋体" w:hint="eastAsia"/>
          <w:szCs w:val="21"/>
        </w:rPr>
        <w:t>四、清算与交割</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1</w:t>
      </w:r>
      <w:r>
        <w:rPr>
          <w:rFonts w:ascii="宋体" w:hAnsi="宋体" w:hint="eastAsia"/>
          <w:szCs w:val="21"/>
        </w:rPr>
        <w:t>、</w:t>
      </w:r>
      <w:r>
        <w:rPr>
          <w:rFonts w:ascii="宋体" w:hAnsi="宋体"/>
          <w:szCs w:val="21"/>
        </w:rPr>
        <w:t>《基金合同》生效前，投资人的认购款项只能存入专门账户，不得动用。认购款项在募集期间产生的利息将折算为基金份额归基金份额持有人所有，其中利息</w:t>
      </w:r>
      <w:r>
        <w:rPr>
          <w:rFonts w:ascii="宋体" w:hAnsi="宋体" w:hint="eastAsia"/>
          <w:szCs w:val="21"/>
        </w:rPr>
        <w:t>所</w:t>
      </w:r>
      <w:r>
        <w:rPr>
          <w:rFonts w:ascii="宋体" w:hAnsi="宋体"/>
          <w:szCs w:val="21"/>
        </w:rPr>
        <w:t>转份额以基金登记机构的记录为准。</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2</w:t>
      </w:r>
      <w:r>
        <w:rPr>
          <w:rFonts w:ascii="宋体" w:hAnsi="宋体" w:hint="eastAsia"/>
          <w:szCs w:val="21"/>
        </w:rPr>
        <w:t>、本基金权益登记由基金登记机构在基金募集结束后完成。</w:t>
      </w:r>
    </w:p>
    <w:p w:rsidR="00E33BF0" w:rsidRDefault="00E33BF0">
      <w:pPr>
        <w:adjustRightInd w:val="0"/>
        <w:snapToGrid w:val="0"/>
        <w:spacing w:line="360" w:lineRule="auto"/>
        <w:ind w:firstLineChars="200" w:firstLine="420"/>
        <w:rPr>
          <w:rFonts w:ascii="宋体" w:hAnsi="宋体"/>
          <w:szCs w:val="21"/>
        </w:rPr>
      </w:pPr>
    </w:p>
    <w:p w:rsidR="00E33BF0" w:rsidRDefault="00E33BF0">
      <w:pPr>
        <w:adjustRightInd w:val="0"/>
        <w:snapToGrid w:val="0"/>
        <w:spacing w:line="360" w:lineRule="auto"/>
        <w:ind w:firstLineChars="200" w:firstLine="420"/>
        <w:outlineLvl w:val="0"/>
        <w:rPr>
          <w:rFonts w:ascii="宋体" w:hAnsi="宋体"/>
          <w:szCs w:val="21"/>
        </w:rPr>
      </w:pPr>
      <w:r>
        <w:rPr>
          <w:rFonts w:ascii="宋体" w:hAnsi="宋体" w:hint="eastAsia"/>
          <w:szCs w:val="21"/>
        </w:rPr>
        <w:t>五、基金的验资与基金合同的生效</w:t>
      </w:r>
    </w:p>
    <w:p w:rsidR="00E33BF0" w:rsidRDefault="00E33BF0">
      <w:pPr>
        <w:adjustRightInd w:val="0"/>
        <w:snapToGrid w:val="0"/>
        <w:spacing w:line="360" w:lineRule="auto"/>
        <w:ind w:firstLineChars="200" w:firstLine="420"/>
        <w:outlineLvl w:val="0"/>
        <w:rPr>
          <w:rFonts w:ascii="宋体" w:hAnsi="宋体" w:hint="eastAsia"/>
          <w:szCs w:val="21"/>
        </w:rPr>
      </w:pPr>
      <w:bookmarkStart w:id="11" w:name="OLE_LINK13"/>
      <w:bookmarkStart w:id="12" w:name="OLE_LINK14"/>
      <w:bookmarkStart w:id="13" w:name="OLE_LINK15"/>
      <w:r>
        <w:rPr>
          <w:rFonts w:ascii="宋体" w:hAnsi="宋体" w:hint="eastAsia"/>
          <w:szCs w:val="21"/>
        </w:rPr>
        <w:t>本基金自基金份额发售之日起3个月内，在基金募集份额总额不少于2亿份，基金募集金额不少于2亿元人民币且基金认购人数不少于200人的条件下，基金募集期届满或者基金管理人依据法律法规及招募说明书可以决定停止基金发售，并在10日内聘请法定验资机构验资，基金管理人自收到验资报告之日起10日内，向中国证监会办理基金备案手续。</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基金募集达到基金备案条件的，自基金管理人办理完毕基金备案手续并取得中国证监会书面确认之日起，《基金合同》生效；否则《基金合同》不生效。基金管理人在收到中国证监会确认文件的次日对《基金合同》生效事宜予以公告。基金管理人应将基金募集期间募集的资金存入专门账户，在基金募集行为结束前，任何人不得动用。</w:t>
      </w:r>
      <w:bookmarkEnd w:id="11"/>
      <w:bookmarkEnd w:id="12"/>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如果募集期限届满，未满足基金备案条件，基金管理人应当承担下列责任：</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1、以其固有财产承担因募集行为而产生的债务和费用；</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2、在基金募集期限届满后30日内返还投资者已缴纳的款项，并加计银行同期活期存款利息；</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3、如基金募集失败，基金管理人、基金托管人及销售机构不得请求报酬。基金管理人、基金托管人和销售机构为基金募集支付之一切费用应由各方各自承担。</w:t>
      </w:r>
    </w:p>
    <w:bookmarkEnd w:id="13"/>
    <w:p w:rsidR="00E33BF0" w:rsidRDefault="00E33BF0">
      <w:pPr>
        <w:adjustRightInd w:val="0"/>
        <w:snapToGrid w:val="0"/>
        <w:spacing w:line="360" w:lineRule="auto"/>
        <w:ind w:firstLineChars="200" w:firstLine="420"/>
        <w:rPr>
          <w:rFonts w:ascii="宋体" w:hAnsi="宋体"/>
          <w:szCs w:val="21"/>
        </w:rPr>
      </w:pPr>
    </w:p>
    <w:p w:rsidR="00E33BF0" w:rsidRDefault="00E33BF0">
      <w:pPr>
        <w:adjustRightInd w:val="0"/>
        <w:snapToGrid w:val="0"/>
        <w:spacing w:line="360" w:lineRule="auto"/>
        <w:ind w:firstLineChars="200" w:firstLine="420"/>
        <w:outlineLvl w:val="0"/>
        <w:rPr>
          <w:rFonts w:ascii="宋体" w:hAnsi="宋体"/>
          <w:szCs w:val="21"/>
        </w:rPr>
      </w:pPr>
      <w:r>
        <w:rPr>
          <w:rFonts w:ascii="宋体" w:hAnsi="宋体" w:hint="eastAsia"/>
          <w:szCs w:val="21"/>
        </w:rPr>
        <w:t>六、本次发售当事人和中介机构</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（一）基金管理人</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名称：前海开源基金管理有限公司</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注册地址：深圳市前海深港合作区前湾一路1号A栋201室（入驻深圳市前海商务秘书有限公司）</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法定代表人：李强</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电话：（</w:t>
      </w:r>
      <w:r>
        <w:rPr>
          <w:rFonts w:ascii="宋体" w:hAnsi="宋体"/>
          <w:szCs w:val="21"/>
        </w:rPr>
        <w:t>0755</w:t>
      </w:r>
      <w:r>
        <w:rPr>
          <w:rFonts w:ascii="宋体" w:hAnsi="宋体" w:hint="eastAsia"/>
          <w:szCs w:val="21"/>
        </w:rPr>
        <w:t>）</w:t>
      </w:r>
      <w:r>
        <w:rPr>
          <w:rFonts w:ascii="宋体" w:hAnsi="宋体"/>
          <w:szCs w:val="21"/>
        </w:rPr>
        <w:t>88601888</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传真：（</w:t>
      </w:r>
      <w:r>
        <w:rPr>
          <w:rFonts w:ascii="宋体" w:hAnsi="宋体"/>
          <w:szCs w:val="21"/>
        </w:rPr>
        <w:t>0755</w:t>
      </w:r>
      <w:r>
        <w:rPr>
          <w:rFonts w:ascii="宋体" w:hAnsi="宋体" w:hint="eastAsia"/>
          <w:szCs w:val="21"/>
        </w:rPr>
        <w:t>）</w:t>
      </w:r>
      <w:r>
        <w:rPr>
          <w:rFonts w:ascii="宋体" w:hAnsi="宋体"/>
          <w:szCs w:val="21"/>
        </w:rPr>
        <w:t>8318</w:t>
      </w:r>
      <w:r>
        <w:rPr>
          <w:rFonts w:ascii="宋体" w:hAnsi="宋体" w:hint="eastAsia"/>
          <w:szCs w:val="21"/>
        </w:rPr>
        <w:t>1169</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（二）基金托管人</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名称：平安银行股份有限公司</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住所：广东省深圳市罗湖区深南东路5047号</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法定代表人：谢永林</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电话：</w:t>
      </w:r>
      <w:r>
        <w:rPr>
          <w:rFonts w:ascii="宋体" w:hAnsi="宋体"/>
          <w:szCs w:val="21"/>
        </w:rPr>
        <w:t>0755-88674238</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（三）销售机构</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szCs w:val="21"/>
        </w:rPr>
        <w:t>1、</w:t>
      </w:r>
      <w:r>
        <w:rPr>
          <w:rFonts w:ascii="宋体" w:hAnsi="宋体" w:hint="eastAsia"/>
          <w:szCs w:val="21"/>
        </w:rPr>
        <w:t>直销机构</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（1）前海开源基金管理有限公司直销柜台</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办公地址：深圳市福田区深南大道7006号万科富春东方大厦10楼</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联系人：</w:t>
      </w:r>
      <w:r>
        <w:rPr>
          <w:rFonts w:hint="eastAsia"/>
          <w:szCs w:val="21"/>
        </w:rPr>
        <w:t>何凌</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电话：（0755）83181190</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传真：（0755）83180622</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（2）前海开源基金管理有限公司电子直销交易</w:t>
      </w:r>
    </w:p>
    <w:p w:rsidR="00E33BF0" w:rsidRDefault="00E33BF0">
      <w:pPr>
        <w:adjustRightInd w:val="0"/>
        <w:snapToGrid w:val="0"/>
        <w:spacing w:line="360" w:lineRule="auto"/>
        <w:ind w:firstLineChars="200" w:firstLine="420"/>
        <w:rPr>
          <w:rFonts w:ascii="宋体" w:hAnsi="宋体"/>
          <w:szCs w:val="21"/>
        </w:rPr>
      </w:pPr>
      <w:bookmarkStart w:id="14" w:name="_Hlk182907319"/>
      <w:r>
        <w:rPr>
          <w:rFonts w:ascii="宋体" w:hAnsi="宋体" w:hint="eastAsia"/>
          <w:szCs w:val="21"/>
        </w:rPr>
        <w:t xml:space="preserve">前海开源基金网上交易系统（http:// </w:t>
      </w:r>
      <w:hyperlink r:id="rId8" w:history="1">
        <w:r>
          <w:rPr>
            <w:rStyle w:val="ad"/>
            <w:rFonts w:ascii="宋体" w:hAnsi="宋体" w:hint="eastAsia"/>
            <w:szCs w:val="21"/>
          </w:rPr>
          <w:t>www.qhkyfund.com</w:t>
        </w:r>
      </w:hyperlink>
      <w:r>
        <w:rPr>
          <w:rFonts w:ascii="宋体" w:hAnsi="宋体" w:hint="eastAsia"/>
          <w:szCs w:val="21"/>
        </w:rPr>
        <w:t>）</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前海开源基金微信小程序</w:t>
      </w:r>
    </w:p>
    <w:bookmarkEnd w:id="14"/>
    <w:p w:rsidR="00E33BF0" w:rsidRDefault="00E33BF0">
      <w:pPr>
        <w:adjustRightInd w:val="0"/>
        <w:snapToGrid w:val="0"/>
        <w:spacing w:line="360" w:lineRule="auto"/>
        <w:ind w:firstLineChars="200" w:firstLine="420"/>
        <w:rPr>
          <w:rFonts w:ascii="宋体" w:hAnsi="宋体" w:hint="eastAsia"/>
          <w:szCs w:val="21"/>
        </w:rPr>
      </w:pPr>
      <w:r>
        <w:rPr>
          <w:rFonts w:ascii="宋体" w:hAnsi="宋体"/>
          <w:szCs w:val="21"/>
        </w:rPr>
        <w:t>2、非直销</w:t>
      </w:r>
      <w:r>
        <w:rPr>
          <w:rFonts w:ascii="宋体" w:hAnsi="宋体" w:hint="eastAsia"/>
          <w:szCs w:val="21"/>
        </w:rPr>
        <w:t>销售机构</w:t>
      </w:r>
    </w:p>
    <w:p w:rsidR="00E33BF0" w:rsidRDefault="00E33BF0">
      <w:pPr>
        <w:adjustRightInd w:val="0"/>
        <w:snapToGrid w:val="0"/>
        <w:spacing w:line="360" w:lineRule="auto"/>
        <w:ind w:firstLineChars="200" w:firstLine="420"/>
        <w:rPr>
          <w:rFonts w:ascii="宋体" w:hAnsi="宋体"/>
          <w:szCs w:val="21"/>
        </w:rPr>
      </w:pPr>
      <w:r>
        <w:rPr>
          <w:rFonts w:hint="eastAsia"/>
          <w:szCs w:val="21"/>
        </w:rPr>
        <w:t>本基金管理人可根据有关法律法规的要求，选择符合要求的机构销售本基金，并在基金管理人网站公示。</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（四）</w:t>
      </w:r>
      <w:r>
        <w:rPr>
          <w:rFonts w:ascii="宋体" w:hAnsi="宋体"/>
          <w:szCs w:val="21"/>
        </w:rPr>
        <w:t>登记</w:t>
      </w:r>
      <w:r>
        <w:rPr>
          <w:rFonts w:ascii="宋体" w:hAnsi="宋体" w:hint="eastAsia"/>
          <w:szCs w:val="21"/>
        </w:rPr>
        <w:t>机构</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名称：前海开源基金管理有限公司</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注册地址：深圳市前海深港合作区前湾一路1号A栋201室（入驻深圳市前海商务秘书有限公司）</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办公地址：深圳市福田区深南大道</w:t>
      </w:r>
      <w:r>
        <w:rPr>
          <w:rFonts w:ascii="宋体" w:hAnsi="宋体"/>
          <w:szCs w:val="21"/>
        </w:rPr>
        <w:t>7006</w:t>
      </w:r>
      <w:r>
        <w:rPr>
          <w:rFonts w:ascii="宋体" w:hAnsi="宋体" w:hint="eastAsia"/>
          <w:szCs w:val="21"/>
        </w:rPr>
        <w:t>号万科富春东方大厦</w:t>
      </w:r>
      <w:r>
        <w:rPr>
          <w:rFonts w:ascii="宋体" w:hAnsi="宋体"/>
          <w:szCs w:val="21"/>
        </w:rPr>
        <w:t>10</w:t>
      </w:r>
      <w:r>
        <w:rPr>
          <w:rFonts w:ascii="宋体" w:hAnsi="宋体" w:hint="eastAsia"/>
          <w:szCs w:val="21"/>
        </w:rPr>
        <w:t>楼</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法定代表人：李强</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联系人：</w:t>
      </w:r>
      <w:r>
        <w:rPr>
          <w:rFonts w:ascii="宋体" w:hAnsi="宋体" w:hint="eastAsia"/>
          <w:szCs w:val="21"/>
        </w:rPr>
        <w:t>罗炜</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电话：</w:t>
      </w:r>
      <w:r>
        <w:rPr>
          <w:rFonts w:ascii="宋体" w:hAnsi="宋体" w:hint="eastAsia"/>
          <w:szCs w:val="21"/>
        </w:rPr>
        <w:t>（</w:t>
      </w:r>
      <w:r>
        <w:rPr>
          <w:rFonts w:ascii="宋体" w:hAnsi="宋体"/>
          <w:szCs w:val="21"/>
        </w:rPr>
        <w:t>0755</w:t>
      </w:r>
      <w:r>
        <w:rPr>
          <w:rFonts w:ascii="宋体" w:hAnsi="宋体" w:hint="eastAsia"/>
          <w:szCs w:val="21"/>
        </w:rPr>
        <w:t>）</w:t>
      </w:r>
      <w:r>
        <w:rPr>
          <w:rFonts w:ascii="宋体" w:hAnsi="宋体"/>
          <w:szCs w:val="21"/>
        </w:rPr>
        <w:t>83181579</w:t>
      </w:r>
    </w:p>
    <w:p w:rsidR="00E33BF0" w:rsidRDefault="00E33BF0">
      <w:pPr>
        <w:adjustRightInd w:val="0"/>
        <w:snapToGrid w:val="0"/>
        <w:spacing w:line="360" w:lineRule="auto"/>
        <w:ind w:firstLineChars="200" w:firstLine="420"/>
        <w:rPr>
          <w:rFonts w:ascii="宋体" w:hAnsi="宋体"/>
          <w:szCs w:val="21"/>
        </w:rPr>
      </w:pPr>
      <w:r>
        <w:rPr>
          <w:rFonts w:ascii="宋体" w:hAnsi="宋体"/>
          <w:szCs w:val="21"/>
        </w:rPr>
        <w:t>传真：</w:t>
      </w:r>
      <w:r>
        <w:rPr>
          <w:rFonts w:ascii="宋体" w:hAnsi="宋体" w:hint="eastAsia"/>
          <w:szCs w:val="21"/>
        </w:rPr>
        <w:t>（</w:t>
      </w:r>
      <w:r>
        <w:rPr>
          <w:rFonts w:ascii="宋体" w:hAnsi="宋体"/>
          <w:szCs w:val="21"/>
        </w:rPr>
        <w:t>0755</w:t>
      </w:r>
      <w:r>
        <w:rPr>
          <w:rFonts w:ascii="宋体" w:hAnsi="宋体" w:hint="eastAsia"/>
          <w:szCs w:val="21"/>
        </w:rPr>
        <w:t>）</w:t>
      </w:r>
      <w:r>
        <w:rPr>
          <w:rFonts w:ascii="宋体" w:hAnsi="宋体"/>
          <w:szCs w:val="21"/>
        </w:rPr>
        <w:t>83181121</w:t>
      </w:r>
    </w:p>
    <w:p w:rsidR="00E33BF0" w:rsidRDefault="00E33BF0">
      <w:pPr>
        <w:adjustRightInd w:val="0"/>
        <w:snapToGrid w:val="0"/>
        <w:spacing w:line="360" w:lineRule="auto"/>
        <w:ind w:firstLineChars="200" w:firstLine="420"/>
        <w:rPr>
          <w:rFonts w:ascii="宋体" w:hAnsi="宋体"/>
          <w:szCs w:val="21"/>
        </w:rPr>
      </w:pPr>
      <w:r>
        <w:rPr>
          <w:rFonts w:ascii="宋体" w:hAnsi="宋体" w:hint="eastAsia"/>
          <w:szCs w:val="21"/>
        </w:rPr>
        <w:t>（五）律师事务所和经办律师</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名称：上海市通力律师事务所</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注册地址：上海市银城中路68号时代金融中心19楼</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办公地址：上海市银城中路68号时代金融中心19楼</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负责人：韩炯</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联系人：丁媛</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经办律师：丁媛、胡嘉雯</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电话：021-31358666</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传真：021-31358600</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szCs w:val="21"/>
        </w:rPr>
        <w:t>（</w:t>
      </w:r>
      <w:r>
        <w:rPr>
          <w:rFonts w:ascii="宋体" w:hAnsi="宋体" w:hint="eastAsia"/>
          <w:szCs w:val="21"/>
        </w:rPr>
        <w:t>六</w:t>
      </w:r>
      <w:r>
        <w:rPr>
          <w:rFonts w:ascii="宋体" w:hAnsi="宋体"/>
          <w:szCs w:val="21"/>
        </w:rPr>
        <w:t>）</w:t>
      </w:r>
      <w:r>
        <w:rPr>
          <w:rFonts w:ascii="宋体" w:hAnsi="宋体" w:hint="eastAsia"/>
          <w:szCs w:val="21"/>
        </w:rPr>
        <w:t>会计师事务所和经办注册会计师</w:t>
      </w:r>
    </w:p>
    <w:p w:rsidR="00E33BF0" w:rsidRDefault="00E33BF0">
      <w:pPr>
        <w:adjustRightInd w:val="0"/>
        <w:snapToGrid w:val="0"/>
        <w:spacing w:line="360" w:lineRule="auto"/>
        <w:ind w:firstLineChars="200" w:firstLine="420"/>
        <w:rPr>
          <w:rFonts w:ascii="宋体" w:hAnsi="宋体" w:hint="eastAsia"/>
          <w:szCs w:val="21"/>
        </w:rPr>
      </w:pPr>
      <w:bookmarkStart w:id="15" w:name="OLE_LINK16"/>
      <w:r>
        <w:rPr>
          <w:rFonts w:ascii="宋体" w:hAnsi="宋体" w:hint="eastAsia"/>
          <w:szCs w:val="21"/>
        </w:rPr>
        <w:t>名称：安永华明会计师事务所（特殊普通合伙）</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 xml:space="preserve">住所：北京市东城区东长安街 1 号东方广场安永大楼 17 层 </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 xml:space="preserve">办公地址：北京市东城区东长安街 1 号东方广场安永大楼 17 层 </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执行事务合伙人：毛鞍宁</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经办注册会计师：高鹤、邓雯</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联系人：高鹤</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电话：（010）58153000、（0755）25028288</w:t>
      </w:r>
    </w:p>
    <w:p w:rsidR="00E33BF0" w:rsidRDefault="00E33BF0">
      <w:pPr>
        <w:adjustRightInd w:val="0"/>
        <w:snapToGrid w:val="0"/>
        <w:spacing w:line="360" w:lineRule="auto"/>
        <w:ind w:firstLineChars="200" w:firstLine="420"/>
        <w:rPr>
          <w:rFonts w:ascii="宋体" w:hAnsi="宋体" w:hint="eastAsia"/>
          <w:szCs w:val="21"/>
        </w:rPr>
      </w:pPr>
      <w:r>
        <w:rPr>
          <w:rFonts w:ascii="宋体" w:hAnsi="宋体" w:hint="eastAsia"/>
          <w:szCs w:val="21"/>
        </w:rPr>
        <w:t>传真：（010）85188298、（0755）25026188</w:t>
      </w:r>
      <w:bookmarkEnd w:id="15"/>
    </w:p>
    <w:p w:rsidR="00E33BF0" w:rsidRDefault="00E33BF0">
      <w:pPr>
        <w:adjustRightInd w:val="0"/>
        <w:snapToGrid w:val="0"/>
        <w:spacing w:line="360" w:lineRule="auto"/>
        <w:ind w:firstLineChars="200" w:firstLine="420"/>
        <w:rPr>
          <w:rFonts w:ascii="宋体" w:hAnsi="宋体"/>
          <w:szCs w:val="21"/>
        </w:rPr>
      </w:pPr>
    </w:p>
    <w:p w:rsidR="00E33BF0" w:rsidRDefault="00E33BF0">
      <w:pPr>
        <w:adjustRightInd w:val="0"/>
        <w:snapToGrid w:val="0"/>
        <w:spacing w:line="360" w:lineRule="auto"/>
        <w:ind w:firstLineChars="200" w:firstLine="420"/>
        <w:rPr>
          <w:rFonts w:ascii="宋体" w:hAnsi="宋体"/>
          <w:szCs w:val="21"/>
        </w:rPr>
      </w:pPr>
    </w:p>
    <w:p w:rsidR="00E33BF0" w:rsidRDefault="00E33BF0">
      <w:pPr>
        <w:adjustRightInd w:val="0"/>
        <w:snapToGrid w:val="0"/>
        <w:spacing w:line="360" w:lineRule="auto"/>
        <w:ind w:firstLineChars="200" w:firstLine="420"/>
        <w:rPr>
          <w:rFonts w:ascii="宋体" w:hAnsi="宋体" w:hint="eastAsia"/>
          <w:szCs w:val="21"/>
        </w:rPr>
      </w:pPr>
    </w:p>
    <w:p w:rsidR="00E33BF0" w:rsidRDefault="00E33BF0">
      <w:pPr>
        <w:adjustRightInd w:val="0"/>
        <w:snapToGrid w:val="0"/>
        <w:spacing w:line="360" w:lineRule="auto"/>
        <w:ind w:firstLineChars="200" w:firstLine="420"/>
        <w:rPr>
          <w:rFonts w:ascii="宋体" w:hAnsi="宋体"/>
          <w:szCs w:val="21"/>
        </w:rPr>
      </w:pPr>
    </w:p>
    <w:p w:rsidR="00E33BF0" w:rsidRDefault="00E33BF0">
      <w:pPr>
        <w:autoSpaceDE w:val="0"/>
        <w:autoSpaceDN w:val="0"/>
        <w:adjustRightInd w:val="0"/>
        <w:snapToGrid w:val="0"/>
        <w:spacing w:line="360" w:lineRule="auto"/>
        <w:ind w:right="240"/>
        <w:jc w:val="right"/>
        <w:rPr>
          <w:rFonts w:ascii="宋体" w:hAnsi="宋体"/>
          <w:szCs w:val="21"/>
        </w:rPr>
      </w:pPr>
      <w:r>
        <w:rPr>
          <w:rFonts w:ascii="宋体" w:hAnsi="宋体" w:hint="eastAsia"/>
          <w:szCs w:val="21"/>
        </w:rPr>
        <w:t>前海开源基金管理有限公司</w:t>
      </w:r>
    </w:p>
    <w:p w:rsidR="00E33BF0" w:rsidRDefault="00E33BF0">
      <w:pPr>
        <w:wordWrap w:val="0"/>
        <w:autoSpaceDE w:val="0"/>
        <w:autoSpaceDN w:val="0"/>
        <w:adjustRightInd w:val="0"/>
        <w:snapToGrid w:val="0"/>
        <w:spacing w:line="360" w:lineRule="auto"/>
        <w:ind w:right="240"/>
        <w:jc w:val="right"/>
        <w:rPr>
          <w:rFonts w:ascii="宋体" w:hAnsi="宋体"/>
          <w:szCs w:val="21"/>
        </w:rPr>
      </w:pPr>
      <w:r>
        <w:rPr>
          <w:rFonts w:ascii="宋体" w:hAnsi="宋体" w:hint="eastAsia"/>
          <w:szCs w:val="21"/>
        </w:rPr>
        <w:t>202</w:t>
      </w:r>
      <w:r>
        <w:rPr>
          <w:rFonts w:ascii="宋体" w:hAnsi="宋体"/>
          <w:szCs w:val="21"/>
        </w:rPr>
        <w:t>6</w:t>
      </w:r>
      <w:r>
        <w:rPr>
          <w:rFonts w:ascii="宋体" w:hAnsi="宋体" w:hint="eastAsia"/>
          <w:szCs w:val="21"/>
        </w:rPr>
        <w:t>年</w:t>
      </w:r>
      <w:r>
        <w:rPr>
          <w:rFonts w:ascii="宋体" w:hAnsi="宋体"/>
        </w:rPr>
        <w:t>4</w:t>
      </w:r>
      <w:r>
        <w:rPr>
          <w:rFonts w:ascii="宋体" w:hAnsi="宋体" w:hint="eastAsia"/>
          <w:szCs w:val="21"/>
        </w:rPr>
        <w:t>月</w:t>
      </w:r>
      <w:r>
        <w:rPr>
          <w:rFonts w:ascii="宋体" w:hAnsi="宋体"/>
          <w:szCs w:val="21"/>
        </w:rPr>
        <w:t>8</w:t>
      </w:r>
      <w:r>
        <w:rPr>
          <w:rFonts w:ascii="宋体" w:hAnsi="宋体" w:hint="eastAsia"/>
          <w:szCs w:val="21"/>
        </w:rPr>
        <w:t>日</w:t>
      </w:r>
    </w:p>
    <w:sectPr w:rsidR="00E33BF0">
      <w:headerReference w:type="default" r:id="rId9"/>
      <w:footerReference w:type="default" r:id="rId10"/>
      <w:pgSz w:w="11906" w:h="16838"/>
      <w:pgMar w:top="1440" w:right="1800" w:bottom="1440" w:left="1843" w:header="851" w:footer="992" w:gutter="0"/>
      <w:pgNumType w:start="1"/>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7FEC" w:rsidRDefault="00727FEC">
      <w:r>
        <w:separator/>
      </w:r>
    </w:p>
  </w:endnote>
  <w:endnote w:type="continuationSeparator" w:id="0">
    <w:p w:rsidR="00727FEC" w:rsidRDefault="00727FE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PMingLiU">
    <w:altName w:val="新細明體"/>
    <w:panose1 w:val="02020300000000000000"/>
    <w:charset w:val="88"/>
    <w:family w:val="roman"/>
    <w:pitch w:val="variable"/>
    <w:sig w:usb0="00000003" w:usb1="080E0000" w:usb2="00000016" w:usb3="00000000" w:csb0="00100001" w:csb1="00000000"/>
  </w:font>
  <w:font w:name="微软雅黑">
    <w:panose1 w:val="020B0503020204020204"/>
    <w:charset w:val="86"/>
    <w:family w:val="swiss"/>
    <w:pitch w:val="variable"/>
    <w:sig w:usb0="80000287" w:usb1="2A0F3C52" w:usb2="00000016" w:usb3="00000000" w:csb0="0004001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BF0" w:rsidRDefault="00E33BF0">
    <w:pPr>
      <w:pStyle w:val="a8"/>
      <w:jc w:val="center"/>
    </w:pPr>
    <w:fldSimple w:instr="PAGE   \* MERGEFORMAT">
      <w:r w:rsidR="00700F76" w:rsidRPr="00700F76">
        <w:rPr>
          <w:noProof/>
          <w:lang w:val="zh-CN" w:eastAsia="zh-CN"/>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7FEC" w:rsidRDefault="00727FEC">
      <w:r>
        <w:separator/>
      </w:r>
    </w:p>
  </w:footnote>
  <w:footnote w:type="continuationSeparator" w:id="0">
    <w:p w:rsidR="00727FEC" w:rsidRDefault="00727FE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BF0" w:rsidRDefault="00E33BF0">
    <w:pPr>
      <w:pStyle w:val="a9"/>
      <w:jc w:val="both"/>
    </w:pPr>
    <w:r>
      <w:rPr>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1025" type="#_x0000_t75" style="width:105.65pt;height:26.2pt;mso-position-horizontal-relative:page;mso-position-vertical-relative:page">
          <v:imagedata r:id="rId1" o:title="主logo2"/>
        </v:shape>
      </w:pict>
    </w:r>
    <w:r>
      <w:rPr>
        <w:rFonts w:hint="eastAsia"/>
      </w:rPr>
      <w:t xml:space="preserve">   </w:t>
    </w:r>
    <w:r>
      <w:rPr>
        <w:rFonts w:hint="eastAsia"/>
      </w:rPr>
      <w:tab/>
    </w:r>
    <w:r>
      <w:rPr>
        <w:rFonts w:hint="eastAsia"/>
      </w:rPr>
      <w:tab/>
    </w:r>
    <w:r>
      <w:rPr>
        <w:rFonts w:hint="eastAsia"/>
      </w:rPr>
      <w:t>基金份额发售公告</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trackRevisions/>
  <w:doNotTrackMove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63A3"/>
    <w:rsid w:val="00000D75"/>
    <w:rsid w:val="000010DD"/>
    <w:rsid w:val="00003ADE"/>
    <w:rsid w:val="0000412E"/>
    <w:rsid w:val="00005A8C"/>
    <w:rsid w:val="00005AF3"/>
    <w:rsid w:val="00007EBD"/>
    <w:rsid w:val="00010DCC"/>
    <w:rsid w:val="00012209"/>
    <w:rsid w:val="000126B1"/>
    <w:rsid w:val="00013E39"/>
    <w:rsid w:val="00014B0F"/>
    <w:rsid w:val="000150E3"/>
    <w:rsid w:val="000150EA"/>
    <w:rsid w:val="00016308"/>
    <w:rsid w:val="000164BA"/>
    <w:rsid w:val="000166FC"/>
    <w:rsid w:val="00020FC7"/>
    <w:rsid w:val="0002259A"/>
    <w:rsid w:val="00022FA0"/>
    <w:rsid w:val="000233D5"/>
    <w:rsid w:val="000246BA"/>
    <w:rsid w:val="00026279"/>
    <w:rsid w:val="00026A18"/>
    <w:rsid w:val="0002718A"/>
    <w:rsid w:val="00030264"/>
    <w:rsid w:val="00030AA0"/>
    <w:rsid w:val="00032273"/>
    <w:rsid w:val="000329C0"/>
    <w:rsid w:val="0003343F"/>
    <w:rsid w:val="00035E96"/>
    <w:rsid w:val="00037A7A"/>
    <w:rsid w:val="000408DE"/>
    <w:rsid w:val="00040AFE"/>
    <w:rsid w:val="0004102B"/>
    <w:rsid w:val="0004139E"/>
    <w:rsid w:val="00044301"/>
    <w:rsid w:val="00044C31"/>
    <w:rsid w:val="0004528B"/>
    <w:rsid w:val="00045D66"/>
    <w:rsid w:val="00046D9B"/>
    <w:rsid w:val="00050016"/>
    <w:rsid w:val="00050B4F"/>
    <w:rsid w:val="000511CE"/>
    <w:rsid w:val="0005214C"/>
    <w:rsid w:val="00054AA8"/>
    <w:rsid w:val="00056085"/>
    <w:rsid w:val="0005629A"/>
    <w:rsid w:val="00066D84"/>
    <w:rsid w:val="0007004F"/>
    <w:rsid w:val="000700FB"/>
    <w:rsid w:val="00071046"/>
    <w:rsid w:val="00074D9D"/>
    <w:rsid w:val="000771D1"/>
    <w:rsid w:val="0007731E"/>
    <w:rsid w:val="00080DF6"/>
    <w:rsid w:val="0008120D"/>
    <w:rsid w:val="00083738"/>
    <w:rsid w:val="00083C95"/>
    <w:rsid w:val="000843AF"/>
    <w:rsid w:val="00084A6B"/>
    <w:rsid w:val="00086F67"/>
    <w:rsid w:val="000879CA"/>
    <w:rsid w:val="00090971"/>
    <w:rsid w:val="0009266F"/>
    <w:rsid w:val="0009278F"/>
    <w:rsid w:val="00092E09"/>
    <w:rsid w:val="000935F6"/>
    <w:rsid w:val="000954E8"/>
    <w:rsid w:val="000965E5"/>
    <w:rsid w:val="000965E9"/>
    <w:rsid w:val="000966B2"/>
    <w:rsid w:val="00097C76"/>
    <w:rsid w:val="000A37B6"/>
    <w:rsid w:val="000A3847"/>
    <w:rsid w:val="000A54B2"/>
    <w:rsid w:val="000B1E4E"/>
    <w:rsid w:val="000B24BC"/>
    <w:rsid w:val="000B39F4"/>
    <w:rsid w:val="000B4CFB"/>
    <w:rsid w:val="000B66C2"/>
    <w:rsid w:val="000B78DE"/>
    <w:rsid w:val="000B7D41"/>
    <w:rsid w:val="000C00C8"/>
    <w:rsid w:val="000C15D2"/>
    <w:rsid w:val="000C2BD7"/>
    <w:rsid w:val="000C3C5F"/>
    <w:rsid w:val="000C4F33"/>
    <w:rsid w:val="000C5C98"/>
    <w:rsid w:val="000C5CA6"/>
    <w:rsid w:val="000C7B78"/>
    <w:rsid w:val="000D1318"/>
    <w:rsid w:val="000D2194"/>
    <w:rsid w:val="000D2B09"/>
    <w:rsid w:val="000D6133"/>
    <w:rsid w:val="000D6B42"/>
    <w:rsid w:val="000D714B"/>
    <w:rsid w:val="000E0011"/>
    <w:rsid w:val="000E0351"/>
    <w:rsid w:val="000E0692"/>
    <w:rsid w:val="000E0F37"/>
    <w:rsid w:val="000E292E"/>
    <w:rsid w:val="000E4BCD"/>
    <w:rsid w:val="000E5A17"/>
    <w:rsid w:val="000E66DD"/>
    <w:rsid w:val="000E780F"/>
    <w:rsid w:val="000F1A06"/>
    <w:rsid w:val="000F5628"/>
    <w:rsid w:val="000F5C47"/>
    <w:rsid w:val="001001DC"/>
    <w:rsid w:val="00100E22"/>
    <w:rsid w:val="00102E13"/>
    <w:rsid w:val="00103D11"/>
    <w:rsid w:val="00106035"/>
    <w:rsid w:val="00106133"/>
    <w:rsid w:val="00106C2B"/>
    <w:rsid w:val="00110814"/>
    <w:rsid w:val="00110C0E"/>
    <w:rsid w:val="001112D5"/>
    <w:rsid w:val="00111595"/>
    <w:rsid w:val="00112AA6"/>
    <w:rsid w:val="00115430"/>
    <w:rsid w:val="00115DF6"/>
    <w:rsid w:val="00121D48"/>
    <w:rsid w:val="00122315"/>
    <w:rsid w:val="00125A83"/>
    <w:rsid w:val="00127C62"/>
    <w:rsid w:val="00132C22"/>
    <w:rsid w:val="00132E02"/>
    <w:rsid w:val="00132E54"/>
    <w:rsid w:val="0013341A"/>
    <w:rsid w:val="001348CA"/>
    <w:rsid w:val="001355DD"/>
    <w:rsid w:val="00137858"/>
    <w:rsid w:val="00137943"/>
    <w:rsid w:val="001379B7"/>
    <w:rsid w:val="00140006"/>
    <w:rsid w:val="00140C58"/>
    <w:rsid w:val="00140F8E"/>
    <w:rsid w:val="00145034"/>
    <w:rsid w:val="00145627"/>
    <w:rsid w:val="00150444"/>
    <w:rsid w:val="00151890"/>
    <w:rsid w:val="0015335D"/>
    <w:rsid w:val="00153B70"/>
    <w:rsid w:val="0015523D"/>
    <w:rsid w:val="0015532D"/>
    <w:rsid w:val="00157D0E"/>
    <w:rsid w:val="00157DD3"/>
    <w:rsid w:val="00160499"/>
    <w:rsid w:val="0016097D"/>
    <w:rsid w:val="00161B4B"/>
    <w:rsid w:val="001631DF"/>
    <w:rsid w:val="00164171"/>
    <w:rsid w:val="00164618"/>
    <w:rsid w:val="00164637"/>
    <w:rsid w:val="001704BB"/>
    <w:rsid w:val="00171503"/>
    <w:rsid w:val="001744D9"/>
    <w:rsid w:val="0017520D"/>
    <w:rsid w:val="001763A3"/>
    <w:rsid w:val="001775C2"/>
    <w:rsid w:val="00180AD2"/>
    <w:rsid w:val="00182D47"/>
    <w:rsid w:val="001841E0"/>
    <w:rsid w:val="001843A6"/>
    <w:rsid w:val="00186FF0"/>
    <w:rsid w:val="00191BBE"/>
    <w:rsid w:val="0019239C"/>
    <w:rsid w:val="00192B9E"/>
    <w:rsid w:val="00195C64"/>
    <w:rsid w:val="00196915"/>
    <w:rsid w:val="001A21CD"/>
    <w:rsid w:val="001A2550"/>
    <w:rsid w:val="001A25AC"/>
    <w:rsid w:val="001A32A8"/>
    <w:rsid w:val="001A412A"/>
    <w:rsid w:val="001A674E"/>
    <w:rsid w:val="001A676C"/>
    <w:rsid w:val="001B121F"/>
    <w:rsid w:val="001B1C12"/>
    <w:rsid w:val="001B1EBF"/>
    <w:rsid w:val="001B40EE"/>
    <w:rsid w:val="001B6357"/>
    <w:rsid w:val="001C0A80"/>
    <w:rsid w:val="001C1594"/>
    <w:rsid w:val="001C1F63"/>
    <w:rsid w:val="001C26DA"/>
    <w:rsid w:val="001C4C27"/>
    <w:rsid w:val="001C4D56"/>
    <w:rsid w:val="001C54C8"/>
    <w:rsid w:val="001C5B25"/>
    <w:rsid w:val="001C5FCB"/>
    <w:rsid w:val="001C680C"/>
    <w:rsid w:val="001C6CA8"/>
    <w:rsid w:val="001C7B30"/>
    <w:rsid w:val="001D229B"/>
    <w:rsid w:val="001D28FA"/>
    <w:rsid w:val="001D507E"/>
    <w:rsid w:val="001D69E9"/>
    <w:rsid w:val="001E0DCB"/>
    <w:rsid w:val="001E1A42"/>
    <w:rsid w:val="001E41B2"/>
    <w:rsid w:val="001E42B5"/>
    <w:rsid w:val="001F2398"/>
    <w:rsid w:val="001F3060"/>
    <w:rsid w:val="001F31E7"/>
    <w:rsid w:val="001F39B6"/>
    <w:rsid w:val="001F4200"/>
    <w:rsid w:val="001F532B"/>
    <w:rsid w:val="001F5527"/>
    <w:rsid w:val="001F6F24"/>
    <w:rsid w:val="002007EF"/>
    <w:rsid w:val="00200869"/>
    <w:rsid w:val="00201CC0"/>
    <w:rsid w:val="00203626"/>
    <w:rsid w:val="00203CFA"/>
    <w:rsid w:val="0020456B"/>
    <w:rsid w:val="002048AA"/>
    <w:rsid w:val="002058D5"/>
    <w:rsid w:val="00206511"/>
    <w:rsid w:val="002068A1"/>
    <w:rsid w:val="002117E2"/>
    <w:rsid w:val="0021392D"/>
    <w:rsid w:val="0021618D"/>
    <w:rsid w:val="00216CA8"/>
    <w:rsid w:val="00221AB1"/>
    <w:rsid w:val="00222C44"/>
    <w:rsid w:val="0022477E"/>
    <w:rsid w:val="00225D16"/>
    <w:rsid w:val="00225D63"/>
    <w:rsid w:val="00226D08"/>
    <w:rsid w:val="0022718A"/>
    <w:rsid w:val="002273E3"/>
    <w:rsid w:val="00230215"/>
    <w:rsid w:val="0023112A"/>
    <w:rsid w:val="00233136"/>
    <w:rsid w:val="002332F2"/>
    <w:rsid w:val="00233ED7"/>
    <w:rsid w:val="002359BC"/>
    <w:rsid w:val="00237D85"/>
    <w:rsid w:val="0024038B"/>
    <w:rsid w:val="002412D5"/>
    <w:rsid w:val="0024325B"/>
    <w:rsid w:val="00246917"/>
    <w:rsid w:val="00246B57"/>
    <w:rsid w:val="00247A45"/>
    <w:rsid w:val="00250370"/>
    <w:rsid w:val="002504E0"/>
    <w:rsid w:val="00251C41"/>
    <w:rsid w:val="002526E5"/>
    <w:rsid w:val="00253FC2"/>
    <w:rsid w:val="002559C3"/>
    <w:rsid w:val="00262C4D"/>
    <w:rsid w:val="00263B91"/>
    <w:rsid w:val="00264271"/>
    <w:rsid w:val="00264C44"/>
    <w:rsid w:val="002655FC"/>
    <w:rsid w:val="00266E1A"/>
    <w:rsid w:val="00270B40"/>
    <w:rsid w:val="002712DC"/>
    <w:rsid w:val="00271DA5"/>
    <w:rsid w:val="002735E7"/>
    <w:rsid w:val="002746FA"/>
    <w:rsid w:val="00274A82"/>
    <w:rsid w:val="00276887"/>
    <w:rsid w:val="00276EE4"/>
    <w:rsid w:val="0028026E"/>
    <w:rsid w:val="002808A0"/>
    <w:rsid w:val="0028120C"/>
    <w:rsid w:val="00281C30"/>
    <w:rsid w:val="002820DB"/>
    <w:rsid w:val="00282C19"/>
    <w:rsid w:val="0028337A"/>
    <w:rsid w:val="00284936"/>
    <w:rsid w:val="00285413"/>
    <w:rsid w:val="00285FDA"/>
    <w:rsid w:val="00286B46"/>
    <w:rsid w:val="00286E4F"/>
    <w:rsid w:val="00290FB4"/>
    <w:rsid w:val="002924A2"/>
    <w:rsid w:val="00292B6F"/>
    <w:rsid w:val="00293748"/>
    <w:rsid w:val="00294705"/>
    <w:rsid w:val="002950E5"/>
    <w:rsid w:val="002A2DCD"/>
    <w:rsid w:val="002A32B0"/>
    <w:rsid w:val="002A354D"/>
    <w:rsid w:val="002A3983"/>
    <w:rsid w:val="002A3EAB"/>
    <w:rsid w:val="002B0AC6"/>
    <w:rsid w:val="002B1368"/>
    <w:rsid w:val="002B4AE7"/>
    <w:rsid w:val="002B57A5"/>
    <w:rsid w:val="002B5B56"/>
    <w:rsid w:val="002B74DF"/>
    <w:rsid w:val="002B783E"/>
    <w:rsid w:val="002C1FA6"/>
    <w:rsid w:val="002C3AA5"/>
    <w:rsid w:val="002C4B85"/>
    <w:rsid w:val="002C4DC8"/>
    <w:rsid w:val="002C53DB"/>
    <w:rsid w:val="002C5D96"/>
    <w:rsid w:val="002C6934"/>
    <w:rsid w:val="002C742A"/>
    <w:rsid w:val="002D2134"/>
    <w:rsid w:val="002D2C98"/>
    <w:rsid w:val="002D3E84"/>
    <w:rsid w:val="002D57A6"/>
    <w:rsid w:val="002D5BE7"/>
    <w:rsid w:val="002D695C"/>
    <w:rsid w:val="002D7DF7"/>
    <w:rsid w:val="002E04A5"/>
    <w:rsid w:val="002E1CD3"/>
    <w:rsid w:val="002E37B3"/>
    <w:rsid w:val="002E5AF7"/>
    <w:rsid w:val="002E5E01"/>
    <w:rsid w:val="002E5FCC"/>
    <w:rsid w:val="002E6FEE"/>
    <w:rsid w:val="002E79B2"/>
    <w:rsid w:val="002F206F"/>
    <w:rsid w:val="002F213C"/>
    <w:rsid w:val="002F2B4D"/>
    <w:rsid w:val="002F6DB2"/>
    <w:rsid w:val="002F7597"/>
    <w:rsid w:val="00300891"/>
    <w:rsid w:val="003049CD"/>
    <w:rsid w:val="003061B8"/>
    <w:rsid w:val="00306624"/>
    <w:rsid w:val="00306C96"/>
    <w:rsid w:val="00311D1C"/>
    <w:rsid w:val="003124BC"/>
    <w:rsid w:val="00313808"/>
    <w:rsid w:val="00313F7E"/>
    <w:rsid w:val="00314DED"/>
    <w:rsid w:val="00316913"/>
    <w:rsid w:val="0031747A"/>
    <w:rsid w:val="003174C7"/>
    <w:rsid w:val="00317592"/>
    <w:rsid w:val="00317A0F"/>
    <w:rsid w:val="00320E0F"/>
    <w:rsid w:val="00321332"/>
    <w:rsid w:val="0032404C"/>
    <w:rsid w:val="00327A64"/>
    <w:rsid w:val="00331892"/>
    <w:rsid w:val="00331894"/>
    <w:rsid w:val="00332767"/>
    <w:rsid w:val="003353A4"/>
    <w:rsid w:val="0033579A"/>
    <w:rsid w:val="00335B93"/>
    <w:rsid w:val="00337D92"/>
    <w:rsid w:val="00340303"/>
    <w:rsid w:val="003408F7"/>
    <w:rsid w:val="003419EE"/>
    <w:rsid w:val="00342EF5"/>
    <w:rsid w:val="00342FCD"/>
    <w:rsid w:val="0034330D"/>
    <w:rsid w:val="00343FD9"/>
    <w:rsid w:val="0034542A"/>
    <w:rsid w:val="0034707B"/>
    <w:rsid w:val="0034745D"/>
    <w:rsid w:val="003474AE"/>
    <w:rsid w:val="003519E8"/>
    <w:rsid w:val="003529BE"/>
    <w:rsid w:val="003537DA"/>
    <w:rsid w:val="00353861"/>
    <w:rsid w:val="00355844"/>
    <w:rsid w:val="003559C7"/>
    <w:rsid w:val="003563DE"/>
    <w:rsid w:val="00360BA8"/>
    <w:rsid w:val="00360D82"/>
    <w:rsid w:val="0036252B"/>
    <w:rsid w:val="00362C96"/>
    <w:rsid w:val="0036386E"/>
    <w:rsid w:val="00366610"/>
    <w:rsid w:val="003670B5"/>
    <w:rsid w:val="00370A13"/>
    <w:rsid w:val="00371944"/>
    <w:rsid w:val="003741BA"/>
    <w:rsid w:val="003748D2"/>
    <w:rsid w:val="0037503E"/>
    <w:rsid w:val="003752D6"/>
    <w:rsid w:val="00375BF4"/>
    <w:rsid w:val="0037799E"/>
    <w:rsid w:val="00381298"/>
    <w:rsid w:val="0038205D"/>
    <w:rsid w:val="003822BF"/>
    <w:rsid w:val="00385DB6"/>
    <w:rsid w:val="0038693B"/>
    <w:rsid w:val="003875FA"/>
    <w:rsid w:val="0039152F"/>
    <w:rsid w:val="00393E12"/>
    <w:rsid w:val="0039413A"/>
    <w:rsid w:val="003954A0"/>
    <w:rsid w:val="00395B68"/>
    <w:rsid w:val="00397C62"/>
    <w:rsid w:val="003A09E7"/>
    <w:rsid w:val="003A27B5"/>
    <w:rsid w:val="003A2FAA"/>
    <w:rsid w:val="003A3A32"/>
    <w:rsid w:val="003A455D"/>
    <w:rsid w:val="003A5A62"/>
    <w:rsid w:val="003A7943"/>
    <w:rsid w:val="003A7CEC"/>
    <w:rsid w:val="003B0359"/>
    <w:rsid w:val="003B0A1A"/>
    <w:rsid w:val="003B22E7"/>
    <w:rsid w:val="003B2C8E"/>
    <w:rsid w:val="003B34E4"/>
    <w:rsid w:val="003B6A72"/>
    <w:rsid w:val="003C1246"/>
    <w:rsid w:val="003C429D"/>
    <w:rsid w:val="003C510C"/>
    <w:rsid w:val="003C58A9"/>
    <w:rsid w:val="003C7738"/>
    <w:rsid w:val="003D0196"/>
    <w:rsid w:val="003D10F5"/>
    <w:rsid w:val="003D3A8A"/>
    <w:rsid w:val="003D3FD4"/>
    <w:rsid w:val="003D4807"/>
    <w:rsid w:val="003D4AE7"/>
    <w:rsid w:val="003D64E2"/>
    <w:rsid w:val="003D7562"/>
    <w:rsid w:val="003D7770"/>
    <w:rsid w:val="003D78CD"/>
    <w:rsid w:val="003E0727"/>
    <w:rsid w:val="003E1BBF"/>
    <w:rsid w:val="003E27FB"/>
    <w:rsid w:val="003E3157"/>
    <w:rsid w:val="003E37E6"/>
    <w:rsid w:val="003E4051"/>
    <w:rsid w:val="003E426C"/>
    <w:rsid w:val="003E5DCF"/>
    <w:rsid w:val="003E66D5"/>
    <w:rsid w:val="003E6C09"/>
    <w:rsid w:val="003E7587"/>
    <w:rsid w:val="003F24A6"/>
    <w:rsid w:val="003F6156"/>
    <w:rsid w:val="003F64A8"/>
    <w:rsid w:val="003F66F0"/>
    <w:rsid w:val="003F7F5B"/>
    <w:rsid w:val="00400AC2"/>
    <w:rsid w:val="004013B3"/>
    <w:rsid w:val="00403B6D"/>
    <w:rsid w:val="00405915"/>
    <w:rsid w:val="00410D59"/>
    <w:rsid w:val="00412BE0"/>
    <w:rsid w:val="00413B2C"/>
    <w:rsid w:val="0041490D"/>
    <w:rsid w:val="0041612A"/>
    <w:rsid w:val="004205A0"/>
    <w:rsid w:val="00430B93"/>
    <w:rsid w:val="00431ED4"/>
    <w:rsid w:val="00434379"/>
    <w:rsid w:val="004408DF"/>
    <w:rsid w:val="00442735"/>
    <w:rsid w:val="00442B3F"/>
    <w:rsid w:val="00443588"/>
    <w:rsid w:val="0044380B"/>
    <w:rsid w:val="0044521C"/>
    <w:rsid w:val="00445A08"/>
    <w:rsid w:val="004460A9"/>
    <w:rsid w:val="004461CC"/>
    <w:rsid w:val="00447653"/>
    <w:rsid w:val="00450542"/>
    <w:rsid w:val="0045154A"/>
    <w:rsid w:val="0045189A"/>
    <w:rsid w:val="00452504"/>
    <w:rsid w:val="0045462D"/>
    <w:rsid w:val="00455D26"/>
    <w:rsid w:val="00456708"/>
    <w:rsid w:val="00456C36"/>
    <w:rsid w:val="00456C49"/>
    <w:rsid w:val="004571AE"/>
    <w:rsid w:val="0045731E"/>
    <w:rsid w:val="00460903"/>
    <w:rsid w:val="00463612"/>
    <w:rsid w:val="00464BE2"/>
    <w:rsid w:val="004653A8"/>
    <w:rsid w:val="004657E1"/>
    <w:rsid w:val="004660C4"/>
    <w:rsid w:val="00472A6B"/>
    <w:rsid w:val="00473A2C"/>
    <w:rsid w:val="004747A9"/>
    <w:rsid w:val="004755E4"/>
    <w:rsid w:val="00476400"/>
    <w:rsid w:val="0047667B"/>
    <w:rsid w:val="00477408"/>
    <w:rsid w:val="0048190E"/>
    <w:rsid w:val="00482BBC"/>
    <w:rsid w:val="00483DD4"/>
    <w:rsid w:val="004844CC"/>
    <w:rsid w:val="0048651E"/>
    <w:rsid w:val="004867A5"/>
    <w:rsid w:val="00486A0A"/>
    <w:rsid w:val="004879A7"/>
    <w:rsid w:val="004904E3"/>
    <w:rsid w:val="004914D5"/>
    <w:rsid w:val="004964B3"/>
    <w:rsid w:val="0049706B"/>
    <w:rsid w:val="004973A6"/>
    <w:rsid w:val="00497F18"/>
    <w:rsid w:val="004A00E1"/>
    <w:rsid w:val="004A22B9"/>
    <w:rsid w:val="004A45D8"/>
    <w:rsid w:val="004A52EC"/>
    <w:rsid w:val="004A5892"/>
    <w:rsid w:val="004B1357"/>
    <w:rsid w:val="004B1859"/>
    <w:rsid w:val="004B3886"/>
    <w:rsid w:val="004B52CA"/>
    <w:rsid w:val="004B6A23"/>
    <w:rsid w:val="004C097E"/>
    <w:rsid w:val="004C0EEB"/>
    <w:rsid w:val="004C2F8B"/>
    <w:rsid w:val="004C49E1"/>
    <w:rsid w:val="004C4AF3"/>
    <w:rsid w:val="004C4B19"/>
    <w:rsid w:val="004C6542"/>
    <w:rsid w:val="004D0F15"/>
    <w:rsid w:val="004D5AEA"/>
    <w:rsid w:val="004D6321"/>
    <w:rsid w:val="004D6E3F"/>
    <w:rsid w:val="004D7C72"/>
    <w:rsid w:val="004E1C25"/>
    <w:rsid w:val="004E5CFD"/>
    <w:rsid w:val="004E5DD2"/>
    <w:rsid w:val="004E5F84"/>
    <w:rsid w:val="004E6209"/>
    <w:rsid w:val="004E7168"/>
    <w:rsid w:val="004E7433"/>
    <w:rsid w:val="004E7B56"/>
    <w:rsid w:val="004F00A8"/>
    <w:rsid w:val="004F113D"/>
    <w:rsid w:val="004F1C68"/>
    <w:rsid w:val="004F2F5A"/>
    <w:rsid w:val="004F6A2D"/>
    <w:rsid w:val="004F7251"/>
    <w:rsid w:val="004F7F12"/>
    <w:rsid w:val="00501E9D"/>
    <w:rsid w:val="00501F03"/>
    <w:rsid w:val="005020ED"/>
    <w:rsid w:val="00503602"/>
    <w:rsid w:val="0050390B"/>
    <w:rsid w:val="00503B18"/>
    <w:rsid w:val="0050687E"/>
    <w:rsid w:val="00506EAD"/>
    <w:rsid w:val="00512A4A"/>
    <w:rsid w:val="005132B1"/>
    <w:rsid w:val="00514AA8"/>
    <w:rsid w:val="00522A61"/>
    <w:rsid w:val="00526D8E"/>
    <w:rsid w:val="0053022C"/>
    <w:rsid w:val="005314EC"/>
    <w:rsid w:val="00532D8F"/>
    <w:rsid w:val="00533718"/>
    <w:rsid w:val="00534ED6"/>
    <w:rsid w:val="005373A8"/>
    <w:rsid w:val="005409F2"/>
    <w:rsid w:val="005413D4"/>
    <w:rsid w:val="00545706"/>
    <w:rsid w:val="00546352"/>
    <w:rsid w:val="00547DBB"/>
    <w:rsid w:val="0055159C"/>
    <w:rsid w:val="005515CF"/>
    <w:rsid w:val="005521DC"/>
    <w:rsid w:val="00552C7C"/>
    <w:rsid w:val="00552E25"/>
    <w:rsid w:val="00553FA4"/>
    <w:rsid w:val="00560DE8"/>
    <w:rsid w:val="00561850"/>
    <w:rsid w:val="00565584"/>
    <w:rsid w:val="00570556"/>
    <w:rsid w:val="00571474"/>
    <w:rsid w:val="0057272A"/>
    <w:rsid w:val="00574C8B"/>
    <w:rsid w:val="005751A9"/>
    <w:rsid w:val="005751DF"/>
    <w:rsid w:val="005762F8"/>
    <w:rsid w:val="00577F68"/>
    <w:rsid w:val="005817C6"/>
    <w:rsid w:val="005840F8"/>
    <w:rsid w:val="005852EB"/>
    <w:rsid w:val="0058553D"/>
    <w:rsid w:val="0058593E"/>
    <w:rsid w:val="00590387"/>
    <w:rsid w:val="00591BD4"/>
    <w:rsid w:val="0059242D"/>
    <w:rsid w:val="005924E8"/>
    <w:rsid w:val="0059409E"/>
    <w:rsid w:val="00596E06"/>
    <w:rsid w:val="00597B90"/>
    <w:rsid w:val="005A2DC7"/>
    <w:rsid w:val="005A3C64"/>
    <w:rsid w:val="005A4427"/>
    <w:rsid w:val="005A4A56"/>
    <w:rsid w:val="005A7F2D"/>
    <w:rsid w:val="005B22B5"/>
    <w:rsid w:val="005B2D9A"/>
    <w:rsid w:val="005B4628"/>
    <w:rsid w:val="005B5200"/>
    <w:rsid w:val="005B6C25"/>
    <w:rsid w:val="005B6F02"/>
    <w:rsid w:val="005C1E14"/>
    <w:rsid w:val="005C359E"/>
    <w:rsid w:val="005C5EA9"/>
    <w:rsid w:val="005C5FB7"/>
    <w:rsid w:val="005D0437"/>
    <w:rsid w:val="005D1EF7"/>
    <w:rsid w:val="005D38A0"/>
    <w:rsid w:val="005D3C58"/>
    <w:rsid w:val="005D493D"/>
    <w:rsid w:val="005E1B89"/>
    <w:rsid w:val="005E1FCF"/>
    <w:rsid w:val="005E3157"/>
    <w:rsid w:val="005E340F"/>
    <w:rsid w:val="005E71C0"/>
    <w:rsid w:val="005E73E8"/>
    <w:rsid w:val="005E77B8"/>
    <w:rsid w:val="005E7CF3"/>
    <w:rsid w:val="005F12AC"/>
    <w:rsid w:val="005F3203"/>
    <w:rsid w:val="005F3EB7"/>
    <w:rsid w:val="005F65A2"/>
    <w:rsid w:val="005F78B3"/>
    <w:rsid w:val="006001B7"/>
    <w:rsid w:val="006006C5"/>
    <w:rsid w:val="00601531"/>
    <w:rsid w:val="006020BF"/>
    <w:rsid w:val="0060358A"/>
    <w:rsid w:val="00604D7E"/>
    <w:rsid w:val="00605122"/>
    <w:rsid w:val="00606782"/>
    <w:rsid w:val="00611F02"/>
    <w:rsid w:val="00614206"/>
    <w:rsid w:val="0061465F"/>
    <w:rsid w:val="00617284"/>
    <w:rsid w:val="006219B9"/>
    <w:rsid w:val="0062270C"/>
    <w:rsid w:val="00627FDC"/>
    <w:rsid w:val="006320FD"/>
    <w:rsid w:val="006324F6"/>
    <w:rsid w:val="006325C6"/>
    <w:rsid w:val="006329A1"/>
    <w:rsid w:val="00633519"/>
    <w:rsid w:val="00634159"/>
    <w:rsid w:val="006343EA"/>
    <w:rsid w:val="00635E96"/>
    <w:rsid w:val="006362BD"/>
    <w:rsid w:val="00636CD0"/>
    <w:rsid w:val="0063773E"/>
    <w:rsid w:val="00637BC9"/>
    <w:rsid w:val="00637FD8"/>
    <w:rsid w:val="0064028E"/>
    <w:rsid w:val="00640C47"/>
    <w:rsid w:val="00640F1D"/>
    <w:rsid w:val="00640F2F"/>
    <w:rsid w:val="00642092"/>
    <w:rsid w:val="00642F5A"/>
    <w:rsid w:val="006446E9"/>
    <w:rsid w:val="00644CEC"/>
    <w:rsid w:val="00645731"/>
    <w:rsid w:val="00645887"/>
    <w:rsid w:val="00645E84"/>
    <w:rsid w:val="006465B2"/>
    <w:rsid w:val="00652FA3"/>
    <w:rsid w:val="00653AE5"/>
    <w:rsid w:val="006548D4"/>
    <w:rsid w:val="006555C7"/>
    <w:rsid w:val="00655B31"/>
    <w:rsid w:val="006578FB"/>
    <w:rsid w:val="00663B73"/>
    <w:rsid w:val="00664B7E"/>
    <w:rsid w:val="006704BD"/>
    <w:rsid w:val="0067069A"/>
    <w:rsid w:val="00670FB7"/>
    <w:rsid w:val="0067292E"/>
    <w:rsid w:val="00672A96"/>
    <w:rsid w:val="00674AEA"/>
    <w:rsid w:val="006758C2"/>
    <w:rsid w:val="00675C4E"/>
    <w:rsid w:val="0067742A"/>
    <w:rsid w:val="006857AD"/>
    <w:rsid w:val="00685872"/>
    <w:rsid w:val="006861F7"/>
    <w:rsid w:val="00686F5C"/>
    <w:rsid w:val="00686F8A"/>
    <w:rsid w:val="006A184C"/>
    <w:rsid w:val="006A193B"/>
    <w:rsid w:val="006A485B"/>
    <w:rsid w:val="006A70AA"/>
    <w:rsid w:val="006A7596"/>
    <w:rsid w:val="006A7DD0"/>
    <w:rsid w:val="006B213D"/>
    <w:rsid w:val="006B2AF7"/>
    <w:rsid w:val="006B603D"/>
    <w:rsid w:val="006C1EE5"/>
    <w:rsid w:val="006C3B79"/>
    <w:rsid w:val="006C3D8E"/>
    <w:rsid w:val="006D0424"/>
    <w:rsid w:val="006D047C"/>
    <w:rsid w:val="006D089B"/>
    <w:rsid w:val="006D0B34"/>
    <w:rsid w:val="006D0DA7"/>
    <w:rsid w:val="006D35BF"/>
    <w:rsid w:val="006D37D1"/>
    <w:rsid w:val="006D3C8E"/>
    <w:rsid w:val="006D5D91"/>
    <w:rsid w:val="006D6041"/>
    <w:rsid w:val="006D6A56"/>
    <w:rsid w:val="006D741C"/>
    <w:rsid w:val="006D7756"/>
    <w:rsid w:val="006D7FBA"/>
    <w:rsid w:val="006E0570"/>
    <w:rsid w:val="006E13CC"/>
    <w:rsid w:val="006E37FE"/>
    <w:rsid w:val="006E534B"/>
    <w:rsid w:val="006E5728"/>
    <w:rsid w:val="006E5898"/>
    <w:rsid w:val="006E5A6D"/>
    <w:rsid w:val="006E6AEE"/>
    <w:rsid w:val="006E7CDA"/>
    <w:rsid w:val="006F0102"/>
    <w:rsid w:val="006F07D8"/>
    <w:rsid w:val="006F0B3F"/>
    <w:rsid w:val="006F201C"/>
    <w:rsid w:val="006F563C"/>
    <w:rsid w:val="006F732E"/>
    <w:rsid w:val="00700B1F"/>
    <w:rsid w:val="00700BE8"/>
    <w:rsid w:val="00700F76"/>
    <w:rsid w:val="007011D2"/>
    <w:rsid w:val="007015D6"/>
    <w:rsid w:val="007031FD"/>
    <w:rsid w:val="007039B7"/>
    <w:rsid w:val="00704A58"/>
    <w:rsid w:val="00704F5C"/>
    <w:rsid w:val="007073F8"/>
    <w:rsid w:val="00710557"/>
    <w:rsid w:val="0071090C"/>
    <w:rsid w:val="007109FE"/>
    <w:rsid w:val="00711419"/>
    <w:rsid w:val="00711E1D"/>
    <w:rsid w:val="00712175"/>
    <w:rsid w:val="00713481"/>
    <w:rsid w:val="00714360"/>
    <w:rsid w:val="007148C6"/>
    <w:rsid w:val="0071677A"/>
    <w:rsid w:val="007177F8"/>
    <w:rsid w:val="00717932"/>
    <w:rsid w:val="00720430"/>
    <w:rsid w:val="00720D55"/>
    <w:rsid w:val="007224EB"/>
    <w:rsid w:val="007239DC"/>
    <w:rsid w:val="007248AF"/>
    <w:rsid w:val="00726BF9"/>
    <w:rsid w:val="00727CA1"/>
    <w:rsid w:val="00727FEC"/>
    <w:rsid w:val="00731393"/>
    <w:rsid w:val="007332EB"/>
    <w:rsid w:val="00733872"/>
    <w:rsid w:val="00742DC5"/>
    <w:rsid w:val="00743826"/>
    <w:rsid w:val="00744FBE"/>
    <w:rsid w:val="00745AFD"/>
    <w:rsid w:val="00750064"/>
    <w:rsid w:val="007503A0"/>
    <w:rsid w:val="0075129B"/>
    <w:rsid w:val="00751BB6"/>
    <w:rsid w:val="0075273A"/>
    <w:rsid w:val="00752972"/>
    <w:rsid w:val="00753077"/>
    <w:rsid w:val="00753179"/>
    <w:rsid w:val="007543A9"/>
    <w:rsid w:val="00756564"/>
    <w:rsid w:val="007567C0"/>
    <w:rsid w:val="0076034C"/>
    <w:rsid w:val="00763036"/>
    <w:rsid w:val="00763B2A"/>
    <w:rsid w:val="00765848"/>
    <w:rsid w:val="00767462"/>
    <w:rsid w:val="007678C9"/>
    <w:rsid w:val="00767D7E"/>
    <w:rsid w:val="0077149F"/>
    <w:rsid w:val="007715CC"/>
    <w:rsid w:val="00771ED0"/>
    <w:rsid w:val="00773539"/>
    <w:rsid w:val="00773A1C"/>
    <w:rsid w:val="00773B88"/>
    <w:rsid w:val="00773DBD"/>
    <w:rsid w:val="0077417D"/>
    <w:rsid w:val="007779FD"/>
    <w:rsid w:val="0078118F"/>
    <w:rsid w:val="007814D8"/>
    <w:rsid w:val="00781D4B"/>
    <w:rsid w:val="007827A0"/>
    <w:rsid w:val="00782AEA"/>
    <w:rsid w:val="00782B0D"/>
    <w:rsid w:val="00783774"/>
    <w:rsid w:val="00783933"/>
    <w:rsid w:val="0078490C"/>
    <w:rsid w:val="00790528"/>
    <w:rsid w:val="00790B17"/>
    <w:rsid w:val="00790D52"/>
    <w:rsid w:val="00792814"/>
    <w:rsid w:val="00793E78"/>
    <w:rsid w:val="00793FCD"/>
    <w:rsid w:val="007959E2"/>
    <w:rsid w:val="007975DB"/>
    <w:rsid w:val="007A02B1"/>
    <w:rsid w:val="007A2049"/>
    <w:rsid w:val="007A3070"/>
    <w:rsid w:val="007A4D50"/>
    <w:rsid w:val="007A6CD5"/>
    <w:rsid w:val="007A75AF"/>
    <w:rsid w:val="007A7E8C"/>
    <w:rsid w:val="007B0759"/>
    <w:rsid w:val="007B12AE"/>
    <w:rsid w:val="007B1A37"/>
    <w:rsid w:val="007B29D1"/>
    <w:rsid w:val="007B3140"/>
    <w:rsid w:val="007B4B42"/>
    <w:rsid w:val="007B6292"/>
    <w:rsid w:val="007B7595"/>
    <w:rsid w:val="007B7900"/>
    <w:rsid w:val="007C2954"/>
    <w:rsid w:val="007C2C09"/>
    <w:rsid w:val="007C7F88"/>
    <w:rsid w:val="007D1ECC"/>
    <w:rsid w:val="007D27ED"/>
    <w:rsid w:val="007D3E95"/>
    <w:rsid w:val="007D4D7A"/>
    <w:rsid w:val="007D4E14"/>
    <w:rsid w:val="007D6DC1"/>
    <w:rsid w:val="007E0E82"/>
    <w:rsid w:val="007E0F05"/>
    <w:rsid w:val="007E6307"/>
    <w:rsid w:val="007E6634"/>
    <w:rsid w:val="007E77B6"/>
    <w:rsid w:val="007E7F17"/>
    <w:rsid w:val="007F2364"/>
    <w:rsid w:val="007F236F"/>
    <w:rsid w:val="007F7F0C"/>
    <w:rsid w:val="00800815"/>
    <w:rsid w:val="00802CF2"/>
    <w:rsid w:val="0081153B"/>
    <w:rsid w:val="00813748"/>
    <w:rsid w:val="00814549"/>
    <w:rsid w:val="008145A3"/>
    <w:rsid w:val="008145EA"/>
    <w:rsid w:val="008166F7"/>
    <w:rsid w:val="00817969"/>
    <w:rsid w:val="00820430"/>
    <w:rsid w:val="0082045B"/>
    <w:rsid w:val="0082127E"/>
    <w:rsid w:val="008219FC"/>
    <w:rsid w:val="00821B57"/>
    <w:rsid w:val="00821F0E"/>
    <w:rsid w:val="0082382E"/>
    <w:rsid w:val="00823C9C"/>
    <w:rsid w:val="00824D2E"/>
    <w:rsid w:val="00824FA4"/>
    <w:rsid w:val="008261B8"/>
    <w:rsid w:val="00830508"/>
    <w:rsid w:val="00830BD3"/>
    <w:rsid w:val="00831A25"/>
    <w:rsid w:val="00831D80"/>
    <w:rsid w:val="008334F5"/>
    <w:rsid w:val="008359B3"/>
    <w:rsid w:val="008366BB"/>
    <w:rsid w:val="0083772D"/>
    <w:rsid w:val="00841906"/>
    <w:rsid w:val="00841BD7"/>
    <w:rsid w:val="00841E21"/>
    <w:rsid w:val="008423B0"/>
    <w:rsid w:val="00842DCD"/>
    <w:rsid w:val="00844A20"/>
    <w:rsid w:val="00844E80"/>
    <w:rsid w:val="00846042"/>
    <w:rsid w:val="00846506"/>
    <w:rsid w:val="00846D70"/>
    <w:rsid w:val="00850B21"/>
    <w:rsid w:val="00850DC5"/>
    <w:rsid w:val="00852C19"/>
    <w:rsid w:val="00854278"/>
    <w:rsid w:val="008544A0"/>
    <w:rsid w:val="0085467C"/>
    <w:rsid w:val="0085576E"/>
    <w:rsid w:val="008575D1"/>
    <w:rsid w:val="0086071F"/>
    <w:rsid w:val="00860751"/>
    <w:rsid w:val="0086139F"/>
    <w:rsid w:val="00862681"/>
    <w:rsid w:val="00864C02"/>
    <w:rsid w:val="00864C78"/>
    <w:rsid w:val="00864F13"/>
    <w:rsid w:val="00866DC3"/>
    <w:rsid w:val="00867346"/>
    <w:rsid w:val="00870968"/>
    <w:rsid w:val="008714E2"/>
    <w:rsid w:val="00872039"/>
    <w:rsid w:val="00872BEA"/>
    <w:rsid w:val="0087360C"/>
    <w:rsid w:val="00875829"/>
    <w:rsid w:val="008759DC"/>
    <w:rsid w:val="00876026"/>
    <w:rsid w:val="0088133E"/>
    <w:rsid w:val="008814A9"/>
    <w:rsid w:val="00881845"/>
    <w:rsid w:val="00882F3B"/>
    <w:rsid w:val="0088574A"/>
    <w:rsid w:val="00885A63"/>
    <w:rsid w:val="00885E2F"/>
    <w:rsid w:val="00885E65"/>
    <w:rsid w:val="00885FD5"/>
    <w:rsid w:val="00887411"/>
    <w:rsid w:val="00887439"/>
    <w:rsid w:val="0088795C"/>
    <w:rsid w:val="00891878"/>
    <w:rsid w:val="00891AA2"/>
    <w:rsid w:val="0089201C"/>
    <w:rsid w:val="00892BD7"/>
    <w:rsid w:val="008940AE"/>
    <w:rsid w:val="00896B39"/>
    <w:rsid w:val="008A04A2"/>
    <w:rsid w:val="008A26B0"/>
    <w:rsid w:val="008A2F90"/>
    <w:rsid w:val="008A3B8F"/>
    <w:rsid w:val="008A47E8"/>
    <w:rsid w:val="008A4830"/>
    <w:rsid w:val="008A4989"/>
    <w:rsid w:val="008A59F7"/>
    <w:rsid w:val="008B03BA"/>
    <w:rsid w:val="008B1EFC"/>
    <w:rsid w:val="008B427B"/>
    <w:rsid w:val="008B4495"/>
    <w:rsid w:val="008B4677"/>
    <w:rsid w:val="008B5760"/>
    <w:rsid w:val="008B60C6"/>
    <w:rsid w:val="008C0788"/>
    <w:rsid w:val="008C111A"/>
    <w:rsid w:val="008C2B78"/>
    <w:rsid w:val="008C4A51"/>
    <w:rsid w:val="008C5CD9"/>
    <w:rsid w:val="008C6359"/>
    <w:rsid w:val="008C745E"/>
    <w:rsid w:val="008C79A5"/>
    <w:rsid w:val="008D3EA9"/>
    <w:rsid w:val="008D4C9F"/>
    <w:rsid w:val="008D4DAC"/>
    <w:rsid w:val="008D5CA6"/>
    <w:rsid w:val="008D64EC"/>
    <w:rsid w:val="008D7781"/>
    <w:rsid w:val="008E0F6E"/>
    <w:rsid w:val="008E1FB2"/>
    <w:rsid w:val="008E1FB8"/>
    <w:rsid w:val="008E2A6D"/>
    <w:rsid w:val="008E3AC3"/>
    <w:rsid w:val="008E3B88"/>
    <w:rsid w:val="008E52E2"/>
    <w:rsid w:val="008E53EF"/>
    <w:rsid w:val="008E5E3B"/>
    <w:rsid w:val="008E6DE2"/>
    <w:rsid w:val="008E7163"/>
    <w:rsid w:val="008E7736"/>
    <w:rsid w:val="008F02DD"/>
    <w:rsid w:val="008F1823"/>
    <w:rsid w:val="008F1BB0"/>
    <w:rsid w:val="008F4283"/>
    <w:rsid w:val="008F603F"/>
    <w:rsid w:val="008F6474"/>
    <w:rsid w:val="008F6936"/>
    <w:rsid w:val="0090047E"/>
    <w:rsid w:val="00901F4F"/>
    <w:rsid w:val="0090217B"/>
    <w:rsid w:val="0090445E"/>
    <w:rsid w:val="009050C4"/>
    <w:rsid w:val="00906CAB"/>
    <w:rsid w:val="00913934"/>
    <w:rsid w:val="0091633E"/>
    <w:rsid w:val="00916D98"/>
    <w:rsid w:val="00917261"/>
    <w:rsid w:val="00917465"/>
    <w:rsid w:val="00917F5F"/>
    <w:rsid w:val="009219A0"/>
    <w:rsid w:val="009224FF"/>
    <w:rsid w:val="00924E6E"/>
    <w:rsid w:val="00925DF8"/>
    <w:rsid w:val="00926A50"/>
    <w:rsid w:val="0093046E"/>
    <w:rsid w:val="0093132B"/>
    <w:rsid w:val="00933126"/>
    <w:rsid w:val="00933617"/>
    <w:rsid w:val="009347B0"/>
    <w:rsid w:val="00934F56"/>
    <w:rsid w:val="009351E4"/>
    <w:rsid w:val="00936272"/>
    <w:rsid w:val="00937905"/>
    <w:rsid w:val="0094008F"/>
    <w:rsid w:val="00940CFE"/>
    <w:rsid w:val="0094276D"/>
    <w:rsid w:val="00945C8C"/>
    <w:rsid w:val="00946360"/>
    <w:rsid w:val="00947344"/>
    <w:rsid w:val="009510E8"/>
    <w:rsid w:val="00952B25"/>
    <w:rsid w:val="00953BA2"/>
    <w:rsid w:val="00954B64"/>
    <w:rsid w:val="00954FB2"/>
    <w:rsid w:val="0095541C"/>
    <w:rsid w:val="0095716B"/>
    <w:rsid w:val="00957B72"/>
    <w:rsid w:val="00960F49"/>
    <w:rsid w:val="0096203D"/>
    <w:rsid w:val="00962279"/>
    <w:rsid w:val="0096245B"/>
    <w:rsid w:val="00962A5E"/>
    <w:rsid w:val="0096494A"/>
    <w:rsid w:val="009657E1"/>
    <w:rsid w:val="009675DA"/>
    <w:rsid w:val="00967A37"/>
    <w:rsid w:val="009718FC"/>
    <w:rsid w:val="00973327"/>
    <w:rsid w:val="00973F20"/>
    <w:rsid w:val="0097509F"/>
    <w:rsid w:val="00975A6F"/>
    <w:rsid w:val="00976B0F"/>
    <w:rsid w:val="00976CCA"/>
    <w:rsid w:val="009771B4"/>
    <w:rsid w:val="00977607"/>
    <w:rsid w:val="009808ED"/>
    <w:rsid w:val="00980B61"/>
    <w:rsid w:val="00980E11"/>
    <w:rsid w:val="00981808"/>
    <w:rsid w:val="0098242B"/>
    <w:rsid w:val="00982ED5"/>
    <w:rsid w:val="0098501E"/>
    <w:rsid w:val="00985FD9"/>
    <w:rsid w:val="00986D28"/>
    <w:rsid w:val="00986E26"/>
    <w:rsid w:val="00990380"/>
    <w:rsid w:val="0099358C"/>
    <w:rsid w:val="00993B9F"/>
    <w:rsid w:val="00995911"/>
    <w:rsid w:val="009A09C1"/>
    <w:rsid w:val="009A114D"/>
    <w:rsid w:val="009A12DC"/>
    <w:rsid w:val="009A2057"/>
    <w:rsid w:val="009A4BF5"/>
    <w:rsid w:val="009A57B7"/>
    <w:rsid w:val="009A6548"/>
    <w:rsid w:val="009B0021"/>
    <w:rsid w:val="009B1360"/>
    <w:rsid w:val="009B1B1E"/>
    <w:rsid w:val="009B344B"/>
    <w:rsid w:val="009B3A44"/>
    <w:rsid w:val="009B5E5F"/>
    <w:rsid w:val="009B7354"/>
    <w:rsid w:val="009C266B"/>
    <w:rsid w:val="009C2E35"/>
    <w:rsid w:val="009C426E"/>
    <w:rsid w:val="009C5700"/>
    <w:rsid w:val="009C6022"/>
    <w:rsid w:val="009C685F"/>
    <w:rsid w:val="009C70F9"/>
    <w:rsid w:val="009D0B85"/>
    <w:rsid w:val="009D17FD"/>
    <w:rsid w:val="009D3281"/>
    <w:rsid w:val="009D3693"/>
    <w:rsid w:val="009E0276"/>
    <w:rsid w:val="009E0804"/>
    <w:rsid w:val="009E179C"/>
    <w:rsid w:val="009E2FB1"/>
    <w:rsid w:val="009E7681"/>
    <w:rsid w:val="009F0A2B"/>
    <w:rsid w:val="009F13BD"/>
    <w:rsid w:val="009F26FC"/>
    <w:rsid w:val="009F2886"/>
    <w:rsid w:val="009F320A"/>
    <w:rsid w:val="009F434B"/>
    <w:rsid w:val="00A002A0"/>
    <w:rsid w:val="00A00EF7"/>
    <w:rsid w:val="00A0144B"/>
    <w:rsid w:val="00A020CE"/>
    <w:rsid w:val="00A03118"/>
    <w:rsid w:val="00A05E38"/>
    <w:rsid w:val="00A067FA"/>
    <w:rsid w:val="00A06EC4"/>
    <w:rsid w:val="00A110C4"/>
    <w:rsid w:val="00A12AE4"/>
    <w:rsid w:val="00A12BF9"/>
    <w:rsid w:val="00A141AC"/>
    <w:rsid w:val="00A1538A"/>
    <w:rsid w:val="00A17D56"/>
    <w:rsid w:val="00A17FEB"/>
    <w:rsid w:val="00A20B05"/>
    <w:rsid w:val="00A212CB"/>
    <w:rsid w:val="00A2555F"/>
    <w:rsid w:val="00A261C1"/>
    <w:rsid w:val="00A266E1"/>
    <w:rsid w:val="00A2713C"/>
    <w:rsid w:val="00A2714B"/>
    <w:rsid w:val="00A27423"/>
    <w:rsid w:val="00A314C5"/>
    <w:rsid w:val="00A31B01"/>
    <w:rsid w:val="00A323F0"/>
    <w:rsid w:val="00A3335A"/>
    <w:rsid w:val="00A336B6"/>
    <w:rsid w:val="00A35933"/>
    <w:rsid w:val="00A36AB4"/>
    <w:rsid w:val="00A37794"/>
    <w:rsid w:val="00A40201"/>
    <w:rsid w:val="00A40743"/>
    <w:rsid w:val="00A4191A"/>
    <w:rsid w:val="00A42251"/>
    <w:rsid w:val="00A43041"/>
    <w:rsid w:val="00A44DFB"/>
    <w:rsid w:val="00A46777"/>
    <w:rsid w:val="00A46DCD"/>
    <w:rsid w:val="00A4746A"/>
    <w:rsid w:val="00A50EF2"/>
    <w:rsid w:val="00A51C8F"/>
    <w:rsid w:val="00A523F4"/>
    <w:rsid w:val="00A5396B"/>
    <w:rsid w:val="00A53A89"/>
    <w:rsid w:val="00A559B9"/>
    <w:rsid w:val="00A56673"/>
    <w:rsid w:val="00A56E9B"/>
    <w:rsid w:val="00A61442"/>
    <w:rsid w:val="00A61630"/>
    <w:rsid w:val="00A635C7"/>
    <w:rsid w:val="00A63877"/>
    <w:rsid w:val="00A65B7F"/>
    <w:rsid w:val="00A661BF"/>
    <w:rsid w:val="00A7066C"/>
    <w:rsid w:val="00A71A64"/>
    <w:rsid w:val="00A71C7B"/>
    <w:rsid w:val="00A725E2"/>
    <w:rsid w:val="00A80E18"/>
    <w:rsid w:val="00A80FD7"/>
    <w:rsid w:val="00A81EAA"/>
    <w:rsid w:val="00A83788"/>
    <w:rsid w:val="00A842B8"/>
    <w:rsid w:val="00A8568C"/>
    <w:rsid w:val="00A8601C"/>
    <w:rsid w:val="00A874F5"/>
    <w:rsid w:val="00A8759A"/>
    <w:rsid w:val="00A90CEB"/>
    <w:rsid w:val="00A93D64"/>
    <w:rsid w:val="00A975B1"/>
    <w:rsid w:val="00A97DC2"/>
    <w:rsid w:val="00AA00D5"/>
    <w:rsid w:val="00AA0C33"/>
    <w:rsid w:val="00AA12B4"/>
    <w:rsid w:val="00AA29C2"/>
    <w:rsid w:val="00AA4D80"/>
    <w:rsid w:val="00AA57A7"/>
    <w:rsid w:val="00AA69F4"/>
    <w:rsid w:val="00AA79DB"/>
    <w:rsid w:val="00AA7A2F"/>
    <w:rsid w:val="00AB0655"/>
    <w:rsid w:val="00AB0762"/>
    <w:rsid w:val="00AB0BAB"/>
    <w:rsid w:val="00AB3399"/>
    <w:rsid w:val="00AB38E0"/>
    <w:rsid w:val="00AB450D"/>
    <w:rsid w:val="00AB485D"/>
    <w:rsid w:val="00AB67A8"/>
    <w:rsid w:val="00AB75F5"/>
    <w:rsid w:val="00AC0480"/>
    <w:rsid w:val="00AC075F"/>
    <w:rsid w:val="00AC1113"/>
    <w:rsid w:val="00AC1E57"/>
    <w:rsid w:val="00AC228B"/>
    <w:rsid w:val="00AC2A70"/>
    <w:rsid w:val="00AC4B1B"/>
    <w:rsid w:val="00AC6FBD"/>
    <w:rsid w:val="00AC7112"/>
    <w:rsid w:val="00AC73B0"/>
    <w:rsid w:val="00AD0C42"/>
    <w:rsid w:val="00AD1477"/>
    <w:rsid w:val="00AD66FE"/>
    <w:rsid w:val="00AE05AE"/>
    <w:rsid w:val="00AE1126"/>
    <w:rsid w:val="00AE4CE1"/>
    <w:rsid w:val="00AE571C"/>
    <w:rsid w:val="00AF2645"/>
    <w:rsid w:val="00AF5904"/>
    <w:rsid w:val="00AF5C31"/>
    <w:rsid w:val="00B02903"/>
    <w:rsid w:val="00B02CB5"/>
    <w:rsid w:val="00B043E3"/>
    <w:rsid w:val="00B0528E"/>
    <w:rsid w:val="00B06323"/>
    <w:rsid w:val="00B07256"/>
    <w:rsid w:val="00B07A8C"/>
    <w:rsid w:val="00B07DF9"/>
    <w:rsid w:val="00B117C8"/>
    <w:rsid w:val="00B12394"/>
    <w:rsid w:val="00B12913"/>
    <w:rsid w:val="00B1398B"/>
    <w:rsid w:val="00B141B9"/>
    <w:rsid w:val="00B14CE2"/>
    <w:rsid w:val="00B14FF5"/>
    <w:rsid w:val="00B155DD"/>
    <w:rsid w:val="00B15E31"/>
    <w:rsid w:val="00B168BA"/>
    <w:rsid w:val="00B17376"/>
    <w:rsid w:val="00B1752A"/>
    <w:rsid w:val="00B179EE"/>
    <w:rsid w:val="00B17BBB"/>
    <w:rsid w:val="00B17E47"/>
    <w:rsid w:val="00B22067"/>
    <w:rsid w:val="00B22081"/>
    <w:rsid w:val="00B22316"/>
    <w:rsid w:val="00B24179"/>
    <w:rsid w:val="00B26F02"/>
    <w:rsid w:val="00B27609"/>
    <w:rsid w:val="00B27A4B"/>
    <w:rsid w:val="00B30D32"/>
    <w:rsid w:val="00B315E9"/>
    <w:rsid w:val="00B320B1"/>
    <w:rsid w:val="00B33959"/>
    <w:rsid w:val="00B357D7"/>
    <w:rsid w:val="00B35944"/>
    <w:rsid w:val="00B36660"/>
    <w:rsid w:val="00B369D5"/>
    <w:rsid w:val="00B402EC"/>
    <w:rsid w:val="00B40403"/>
    <w:rsid w:val="00B416C4"/>
    <w:rsid w:val="00B44C40"/>
    <w:rsid w:val="00B464EE"/>
    <w:rsid w:val="00B475EB"/>
    <w:rsid w:val="00B50668"/>
    <w:rsid w:val="00B5089B"/>
    <w:rsid w:val="00B508AF"/>
    <w:rsid w:val="00B508E4"/>
    <w:rsid w:val="00B518CB"/>
    <w:rsid w:val="00B52E0E"/>
    <w:rsid w:val="00B54E27"/>
    <w:rsid w:val="00B558B1"/>
    <w:rsid w:val="00B56406"/>
    <w:rsid w:val="00B6100B"/>
    <w:rsid w:val="00B62D51"/>
    <w:rsid w:val="00B6351C"/>
    <w:rsid w:val="00B636A9"/>
    <w:rsid w:val="00B640F4"/>
    <w:rsid w:val="00B64D28"/>
    <w:rsid w:val="00B6671D"/>
    <w:rsid w:val="00B66897"/>
    <w:rsid w:val="00B6756C"/>
    <w:rsid w:val="00B70007"/>
    <w:rsid w:val="00B70FF0"/>
    <w:rsid w:val="00B7235F"/>
    <w:rsid w:val="00B7327E"/>
    <w:rsid w:val="00B74814"/>
    <w:rsid w:val="00B7539B"/>
    <w:rsid w:val="00B7610D"/>
    <w:rsid w:val="00B76EF1"/>
    <w:rsid w:val="00B7736C"/>
    <w:rsid w:val="00B80333"/>
    <w:rsid w:val="00B80910"/>
    <w:rsid w:val="00B8100F"/>
    <w:rsid w:val="00B81853"/>
    <w:rsid w:val="00B82871"/>
    <w:rsid w:val="00B831B2"/>
    <w:rsid w:val="00B8407E"/>
    <w:rsid w:val="00B85C97"/>
    <w:rsid w:val="00B8665E"/>
    <w:rsid w:val="00B92FD5"/>
    <w:rsid w:val="00B968E0"/>
    <w:rsid w:val="00B97C35"/>
    <w:rsid w:val="00BA3F87"/>
    <w:rsid w:val="00BA51F6"/>
    <w:rsid w:val="00BA65E8"/>
    <w:rsid w:val="00BB0FE5"/>
    <w:rsid w:val="00BB2D13"/>
    <w:rsid w:val="00BB61C7"/>
    <w:rsid w:val="00BB66DE"/>
    <w:rsid w:val="00BC0FEF"/>
    <w:rsid w:val="00BC1FFE"/>
    <w:rsid w:val="00BC5208"/>
    <w:rsid w:val="00BC5377"/>
    <w:rsid w:val="00BC55DF"/>
    <w:rsid w:val="00BC7B69"/>
    <w:rsid w:val="00BD0852"/>
    <w:rsid w:val="00BD24BC"/>
    <w:rsid w:val="00BD299D"/>
    <w:rsid w:val="00BD431B"/>
    <w:rsid w:val="00BD4906"/>
    <w:rsid w:val="00BD4E35"/>
    <w:rsid w:val="00BD5ACA"/>
    <w:rsid w:val="00BE062A"/>
    <w:rsid w:val="00BE1B6D"/>
    <w:rsid w:val="00BE233B"/>
    <w:rsid w:val="00BE41AE"/>
    <w:rsid w:val="00BE55BB"/>
    <w:rsid w:val="00BE69E2"/>
    <w:rsid w:val="00BE7E94"/>
    <w:rsid w:val="00BF1BFA"/>
    <w:rsid w:val="00BF21C7"/>
    <w:rsid w:val="00BF22A1"/>
    <w:rsid w:val="00BF317A"/>
    <w:rsid w:val="00BF35BA"/>
    <w:rsid w:val="00BF5C2F"/>
    <w:rsid w:val="00C02072"/>
    <w:rsid w:val="00C033F0"/>
    <w:rsid w:val="00C04211"/>
    <w:rsid w:val="00C04AEE"/>
    <w:rsid w:val="00C04BEA"/>
    <w:rsid w:val="00C06008"/>
    <w:rsid w:val="00C06300"/>
    <w:rsid w:val="00C06503"/>
    <w:rsid w:val="00C10C23"/>
    <w:rsid w:val="00C12B4C"/>
    <w:rsid w:val="00C12DFF"/>
    <w:rsid w:val="00C15957"/>
    <w:rsid w:val="00C165AF"/>
    <w:rsid w:val="00C17437"/>
    <w:rsid w:val="00C175B8"/>
    <w:rsid w:val="00C17EA2"/>
    <w:rsid w:val="00C21612"/>
    <w:rsid w:val="00C21AA7"/>
    <w:rsid w:val="00C232B5"/>
    <w:rsid w:val="00C23B83"/>
    <w:rsid w:val="00C249EB"/>
    <w:rsid w:val="00C25D47"/>
    <w:rsid w:val="00C271CA"/>
    <w:rsid w:val="00C309A0"/>
    <w:rsid w:val="00C3466D"/>
    <w:rsid w:val="00C34A1D"/>
    <w:rsid w:val="00C37350"/>
    <w:rsid w:val="00C37527"/>
    <w:rsid w:val="00C404A8"/>
    <w:rsid w:val="00C40FC2"/>
    <w:rsid w:val="00C43476"/>
    <w:rsid w:val="00C436C8"/>
    <w:rsid w:val="00C43990"/>
    <w:rsid w:val="00C44473"/>
    <w:rsid w:val="00C44D62"/>
    <w:rsid w:val="00C500BE"/>
    <w:rsid w:val="00C5255D"/>
    <w:rsid w:val="00C53C17"/>
    <w:rsid w:val="00C54ADE"/>
    <w:rsid w:val="00C559FD"/>
    <w:rsid w:val="00C55CC3"/>
    <w:rsid w:val="00C562BC"/>
    <w:rsid w:val="00C601D8"/>
    <w:rsid w:val="00C6101E"/>
    <w:rsid w:val="00C61265"/>
    <w:rsid w:val="00C61664"/>
    <w:rsid w:val="00C62BD3"/>
    <w:rsid w:val="00C668B9"/>
    <w:rsid w:val="00C67D51"/>
    <w:rsid w:val="00C702A3"/>
    <w:rsid w:val="00C71549"/>
    <w:rsid w:val="00C72BDD"/>
    <w:rsid w:val="00C73106"/>
    <w:rsid w:val="00C731AF"/>
    <w:rsid w:val="00C74708"/>
    <w:rsid w:val="00C755C6"/>
    <w:rsid w:val="00C75FCF"/>
    <w:rsid w:val="00C7794A"/>
    <w:rsid w:val="00C80E0B"/>
    <w:rsid w:val="00C81288"/>
    <w:rsid w:val="00C81942"/>
    <w:rsid w:val="00C81F3B"/>
    <w:rsid w:val="00C821D1"/>
    <w:rsid w:val="00C82DFD"/>
    <w:rsid w:val="00C834DC"/>
    <w:rsid w:val="00C83715"/>
    <w:rsid w:val="00C852F7"/>
    <w:rsid w:val="00C874A2"/>
    <w:rsid w:val="00C90D78"/>
    <w:rsid w:val="00C915DC"/>
    <w:rsid w:val="00C91775"/>
    <w:rsid w:val="00C9269B"/>
    <w:rsid w:val="00C933FF"/>
    <w:rsid w:val="00C93A60"/>
    <w:rsid w:val="00C95343"/>
    <w:rsid w:val="00C96551"/>
    <w:rsid w:val="00C97162"/>
    <w:rsid w:val="00CA45B6"/>
    <w:rsid w:val="00CA67C4"/>
    <w:rsid w:val="00CA67E8"/>
    <w:rsid w:val="00CA7232"/>
    <w:rsid w:val="00CB001D"/>
    <w:rsid w:val="00CB4768"/>
    <w:rsid w:val="00CB4DA2"/>
    <w:rsid w:val="00CC0FCA"/>
    <w:rsid w:val="00CC208B"/>
    <w:rsid w:val="00CC27C8"/>
    <w:rsid w:val="00CC43BE"/>
    <w:rsid w:val="00CC6B1B"/>
    <w:rsid w:val="00CC751C"/>
    <w:rsid w:val="00CC7C56"/>
    <w:rsid w:val="00CD081F"/>
    <w:rsid w:val="00CD20AC"/>
    <w:rsid w:val="00CD24A1"/>
    <w:rsid w:val="00CD2E8E"/>
    <w:rsid w:val="00CD3B1B"/>
    <w:rsid w:val="00CD4817"/>
    <w:rsid w:val="00CD4CCA"/>
    <w:rsid w:val="00CD5659"/>
    <w:rsid w:val="00CD74B2"/>
    <w:rsid w:val="00CD791C"/>
    <w:rsid w:val="00CD7C13"/>
    <w:rsid w:val="00CE03A7"/>
    <w:rsid w:val="00CE0D4D"/>
    <w:rsid w:val="00CE162E"/>
    <w:rsid w:val="00CE198B"/>
    <w:rsid w:val="00CE32FB"/>
    <w:rsid w:val="00CE349E"/>
    <w:rsid w:val="00CE61B0"/>
    <w:rsid w:val="00CE63A6"/>
    <w:rsid w:val="00CE7CB5"/>
    <w:rsid w:val="00CF17F8"/>
    <w:rsid w:val="00CF38A8"/>
    <w:rsid w:val="00CF3930"/>
    <w:rsid w:val="00CF4031"/>
    <w:rsid w:val="00CF6F4F"/>
    <w:rsid w:val="00CF7B46"/>
    <w:rsid w:val="00D01F38"/>
    <w:rsid w:val="00D0203B"/>
    <w:rsid w:val="00D02FC0"/>
    <w:rsid w:val="00D03D34"/>
    <w:rsid w:val="00D122C9"/>
    <w:rsid w:val="00D12AB9"/>
    <w:rsid w:val="00D12F51"/>
    <w:rsid w:val="00D13E4B"/>
    <w:rsid w:val="00D13FD7"/>
    <w:rsid w:val="00D14723"/>
    <w:rsid w:val="00D1537F"/>
    <w:rsid w:val="00D15B76"/>
    <w:rsid w:val="00D16830"/>
    <w:rsid w:val="00D173A0"/>
    <w:rsid w:val="00D17CD4"/>
    <w:rsid w:val="00D17E16"/>
    <w:rsid w:val="00D2092C"/>
    <w:rsid w:val="00D22255"/>
    <w:rsid w:val="00D2404F"/>
    <w:rsid w:val="00D24051"/>
    <w:rsid w:val="00D244B9"/>
    <w:rsid w:val="00D24DF1"/>
    <w:rsid w:val="00D24E29"/>
    <w:rsid w:val="00D24FA0"/>
    <w:rsid w:val="00D26437"/>
    <w:rsid w:val="00D26A34"/>
    <w:rsid w:val="00D30BA1"/>
    <w:rsid w:val="00D3383A"/>
    <w:rsid w:val="00D33BA6"/>
    <w:rsid w:val="00D3413F"/>
    <w:rsid w:val="00D35081"/>
    <w:rsid w:val="00D36F2E"/>
    <w:rsid w:val="00D37568"/>
    <w:rsid w:val="00D41744"/>
    <w:rsid w:val="00D42893"/>
    <w:rsid w:val="00D42CF5"/>
    <w:rsid w:val="00D434A2"/>
    <w:rsid w:val="00D50AE3"/>
    <w:rsid w:val="00D50FAA"/>
    <w:rsid w:val="00D51347"/>
    <w:rsid w:val="00D525A0"/>
    <w:rsid w:val="00D535BD"/>
    <w:rsid w:val="00D5487C"/>
    <w:rsid w:val="00D57279"/>
    <w:rsid w:val="00D573ED"/>
    <w:rsid w:val="00D60913"/>
    <w:rsid w:val="00D62EAD"/>
    <w:rsid w:val="00D639C7"/>
    <w:rsid w:val="00D6482B"/>
    <w:rsid w:val="00D64DAD"/>
    <w:rsid w:val="00D64F43"/>
    <w:rsid w:val="00D6550E"/>
    <w:rsid w:val="00D7083D"/>
    <w:rsid w:val="00D70B21"/>
    <w:rsid w:val="00D70D75"/>
    <w:rsid w:val="00D71112"/>
    <w:rsid w:val="00D71538"/>
    <w:rsid w:val="00D71857"/>
    <w:rsid w:val="00D72B53"/>
    <w:rsid w:val="00D733BE"/>
    <w:rsid w:val="00D746BE"/>
    <w:rsid w:val="00D74AF6"/>
    <w:rsid w:val="00D75FA8"/>
    <w:rsid w:val="00D76063"/>
    <w:rsid w:val="00D80E43"/>
    <w:rsid w:val="00D82205"/>
    <w:rsid w:val="00D8302D"/>
    <w:rsid w:val="00D85131"/>
    <w:rsid w:val="00D8659D"/>
    <w:rsid w:val="00D87CC1"/>
    <w:rsid w:val="00D91D8F"/>
    <w:rsid w:val="00D944F1"/>
    <w:rsid w:val="00D9531E"/>
    <w:rsid w:val="00D96A80"/>
    <w:rsid w:val="00D97AD1"/>
    <w:rsid w:val="00DA119C"/>
    <w:rsid w:val="00DA1782"/>
    <w:rsid w:val="00DA17B3"/>
    <w:rsid w:val="00DA21B7"/>
    <w:rsid w:val="00DA26A8"/>
    <w:rsid w:val="00DA2A90"/>
    <w:rsid w:val="00DA306A"/>
    <w:rsid w:val="00DA31F2"/>
    <w:rsid w:val="00DA5AD5"/>
    <w:rsid w:val="00DA5AF3"/>
    <w:rsid w:val="00DA70FA"/>
    <w:rsid w:val="00DA7C85"/>
    <w:rsid w:val="00DB0392"/>
    <w:rsid w:val="00DB09E6"/>
    <w:rsid w:val="00DB0BD5"/>
    <w:rsid w:val="00DB10A9"/>
    <w:rsid w:val="00DB1A54"/>
    <w:rsid w:val="00DB1E1B"/>
    <w:rsid w:val="00DB1F5D"/>
    <w:rsid w:val="00DB2480"/>
    <w:rsid w:val="00DB4C7A"/>
    <w:rsid w:val="00DB5789"/>
    <w:rsid w:val="00DC2395"/>
    <w:rsid w:val="00DC3615"/>
    <w:rsid w:val="00DC38DA"/>
    <w:rsid w:val="00DC4191"/>
    <w:rsid w:val="00DC46B9"/>
    <w:rsid w:val="00DC6296"/>
    <w:rsid w:val="00DC6E3C"/>
    <w:rsid w:val="00DC76AE"/>
    <w:rsid w:val="00DC7976"/>
    <w:rsid w:val="00DD1419"/>
    <w:rsid w:val="00DD21A8"/>
    <w:rsid w:val="00DD56FD"/>
    <w:rsid w:val="00DE099F"/>
    <w:rsid w:val="00DE33B9"/>
    <w:rsid w:val="00DE668D"/>
    <w:rsid w:val="00DF2F70"/>
    <w:rsid w:val="00DF33A6"/>
    <w:rsid w:val="00DF4666"/>
    <w:rsid w:val="00DF5943"/>
    <w:rsid w:val="00DF6380"/>
    <w:rsid w:val="00DF6425"/>
    <w:rsid w:val="00DF73DD"/>
    <w:rsid w:val="00DF79F5"/>
    <w:rsid w:val="00E02D38"/>
    <w:rsid w:val="00E02D7D"/>
    <w:rsid w:val="00E040CF"/>
    <w:rsid w:val="00E04B73"/>
    <w:rsid w:val="00E04F09"/>
    <w:rsid w:val="00E053AB"/>
    <w:rsid w:val="00E0726E"/>
    <w:rsid w:val="00E1032A"/>
    <w:rsid w:val="00E12BF8"/>
    <w:rsid w:val="00E12C98"/>
    <w:rsid w:val="00E12CD7"/>
    <w:rsid w:val="00E13556"/>
    <w:rsid w:val="00E13A3B"/>
    <w:rsid w:val="00E15B91"/>
    <w:rsid w:val="00E16DCD"/>
    <w:rsid w:val="00E17D25"/>
    <w:rsid w:val="00E17D37"/>
    <w:rsid w:val="00E213A5"/>
    <w:rsid w:val="00E2171A"/>
    <w:rsid w:val="00E21CB4"/>
    <w:rsid w:val="00E226DA"/>
    <w:rsid w:val="00E23AE9"/>
    <w:rsid w:val="00E23D22"/>
    <w:rsid w:val="00E2666A"/>
    <w:rsid w:val="00E3099D"/>
    <w:rsid w:val="00E3204F"/>
    <w:rsid w:val="00E32AF6"/>
    <w:rsid w:val="00E33BF0"/>
    <w:rsid w:val="00E33CC3"/>
    <w:rsid w:val="00E33F1C"/>
    <w:rsid w:val="00E35CCA"/>
    <w:rsid w:val="00E35DC9"/>
    <w:rsid w:val="00E419F9"/>
    <w:rsid w:val="00E41BD5"/>
    <w:rsid w:val="00E421C6"/>
    <w:rsid w:val="00E43486"/>
    <w:rsid w:val="00E435D4"/>
    <w:rsid w:val="00E43883"/>
    <w:rsid w:val="00E43C9E"/>
    <w:rsid w:val="00E510DB"/>
    <w:rsid w:val="00E51500"/>
    <w:rsid w:val="00E53808"/>
    <w:rsid w:val="00E556F2"/>
    <w:rsid w:val="00E56DE5"/>
    <w:rsid w:val="00E574FE"/>
    <w:rsid w:val="00E57CBB"/>
    <w:rsid w:val="00E57D1F"/>
    <w:rsid w:val="00E607DE"/>
    <w:rsid w:val="00E621CA"/>
    <w:rsid w:val="00E62B09"/>
    <w:rsid w:val="00E644CD"/>
    <w:rsid w:val="00E6571F"/>
    <w:rsid w:val="00E65D29"/>
    <w:rsid w:val="00E66034"/>
    <w:rsid w:val="00E66C3B"/>
    <w:rsid w:val="00E67817"/>
    <w:rsid w:val="00E67B3C"/>
    <w:rsid w:val="00E67FA0"/>
    <w:rsid w:val="00E74239"/>
    <w:rsid w:val="00E760C1"/>
    <w:rsid w:val="00E80244"/>
    <w:rsid w:val="00E82674"/>
    <w:rsid w:val="00E85216"/>
    <w:rsid w:val="00E85E6E"/>
    <w:rsid w:val="00E861DB"/>
    <w:rsid w:val="00E8733D"/>
    <w:rsid w:val="00E919EB"/>
    <w:rsid w:val="00E925B5"/>
    <w:rsid w:val="00E946CB"/>
    <w:rsid w:val="00E946EC"/>
    <w:rsid w:val="00E9520D"/>
    <w:rsid w:val="00E9580D"/>
    <w:rsid w:val="00E95960"/>
    <w:rsid w:val="00E9619B"/>
    <w:rsid w:val="00E9679F"/>
    <w:rsid w:val="00EA169C"/>
    <w:rsid w:val="00EA277F"/>
    <w:rsid w:val="00EA4F43"/>
    <w:rsid w:val="00EA5C3B"/>
    <w:rsid w:val="00EA6000"/>
    <w:rsid w:val="00EA7FF3"/>
    <w:rsid w:val="00EB0DCD"/>
    <w:rsid w:val="00EB5D3B"/>
    <w:rsid w:val="00EB6ACE"/>
    <w:rsid w:val="00EB6CA5"/>
    <w:rsid w:val="00EB76EA"/>
    <w:rsid w:val="00EB7B90"/>
    <w:rsid w:val="00EC1B58"/>
    <w:rsid w:val="00EC1F7D"/>
    <w:rsid w:val="00EC3B3F"/>
    <w:rsid w:val="00EC3ED0"/>
    <w:rsid w:val="00EC42B3"/>
    <w:rsid w:val="00EC572B"/>
    <w:rsid w:val="00ED0C16"/>
    <w:rsid w:val="00ED0CAA"/>
    <w:rsid w:val="00ED1BF9"/>
    <w:rsid w:val="00ED2A68"/>
    <w:rsid w:val="00ED34C7"/>
    <w:rsid w:val="00ED5E21"/>
    <w:rsid w:val="00ED6023"/>
    <w:rsid w:val="00ED6177"/>
    <w:rsid w:val="00ED6B80"/>
    <w:rsid w:val="00ED6E90"/>
    <w:rsid w:val="00ED7689"/>
    <w:rsid w:val="00EE0164"/>
    <w:rsid w:val="00EE127A"/>
    <w:rsid w:val="00EE1EBE"/>
    <w:rsid w:val="00EE2F20"/>
    <w:rsid w:val="00EE6BE4"/>
    <w:rsid w:val="00EE7C20"/>
    <w:rsid w:val="00EF0956"/>
    <w:rsid w:val="00EF1026"/>
    <w:rsid w:val="00EF1BC6"/>
    <w:rsid w:val="00EF2247"/>
    <w:rsid w:val="00EF3A1A"/>
    <w:rsid w:val="00EF4015"/>
    <w:rsid w:val="00EF4D50"/>
    <w:rsid w:val="00EF5859"/>
    <w:rsid w:val="00EF5B0B"/>
    <w:rsid w:val="00EF5CD6"/>
    <w:rsid w:val="00EF626D"/>
    <w:rsid w:val="00EF6C73"/>
    <w:rsid w:val="00F00459"/>
    <w:rsid w:val="00F00B42"/>
    <w:rsid w:val="00F02E7C"/>
    <w:rsid w:val="00F0476E"/>
    <w:rsid w:val="00F05B90"/>
    <w:rsid w:val="00F07280"/>
    <w:rsid w:val="00F07341"/>
    <w:rsid w:val="00F10B3B"/>
    <w:rsid w:val="00F12A43"/>
    <w:rsid w:val="00F13552"/>
    <w:rsid w:val="00F1403F"/>
    <w:rsid w:val="00F144DF"/>
    <w:rsid w:val="00F14ADD"/>
    <w:rsid w:val="00F16BF2"/>
    <w:rsid w:val="00F16D81"/>
    <w:rsid w:val="00F176DD"/>
    <w:rsid w:val="00F20584"/>
    <w:rsid w:val="00F23F77"/>
    <w:rsid w:val="00F247ED"/>
    <w:rsid w:val="00F24B2F"/>
    <w:rsid w:val="00F25F1D"/>
    <w:rsid w:val="00F274F8"/>
    <w:rsid w:val="00F27D33"/>
    <w:rsid w:val="00F300C0"/>
    <w:rsid w:val="00F30E5B"/>
    <w:rsid w:val="00F33B1A"/>
    <w:rsid w:val="00F33D4F"/>
    <w:rsid w:val="00F3441D"/>
    <w:rsid w:val="00F36F56"/>
    <w:rsid w:val="00F41C49"/>
    <w:rsid w:val="00F4280C"/>
    <w:rsid w:val="00F434F8"/>
    <w:rsid w:val="00F43667"/>
    <w:rsid w:val="00F45714"/>
    <w:rsid w:val="00F4779D"/>
    <w:rsid w:val="00F53220"/>
    <w:rsid w:val="00F53B35"/>
    <w:rsid w:val="00F547A5"/>
    <w:rsid w:val="00F5481A"/>
    <w:rsid w:val="00F54A6F"/>
    <w:rsid w:val="00F54AAA"/>
    <w:rsid w:val="00F557A2"/>
    <w:rsid w:val="00F56954"/>
    <w:rsid w:val="00F6195B"/>
    <w:rsid w:val="00F636D7"/>
    <w:rsid w:val="00F637E2"/>
    <w:rsid w:val="00F63FCA"/>
    <w:rsid w:val="00F6434B"/>
    <w:rsid w:val="00F6436B"/>
    <w:rsid w:val="00F64EDB"/>
    <w:rsid w:val="00F67F84"/>
    <w:rsid w:val="00F7206C"/>
    <w:rsid w:val="00F72CF1"/>
    <w:rsid w:val="00F732FB"/>
    <w:rsid w:val="00F733D5"/>
    <w:rsid w:val="00F73766"/>
    <w:rsid w:val="00F76EAA"/>
    <w:rsid w:val="00F77CCC"/>
    <w:rsid w:val="00F80B47"/>
    <w:rsid w:val="00F84FAD"/>
    <w:rsid w:val="00F85E1B"/>
    <w:rsid w:val="00F90163"/>
    <w:rsid w:val="00F908D7"/>
    <w:rsid w:val="00F930F4"/>
    <w:rsid w:val="00F934B5"/>
    <w:rsid w:val="00F93CED"/>
    <w:rsid w:val="00F93CFE"/>
    <w:rsid w:val="00F94BAA"/>
    <w:rsid w:val="00F94CCD"/>
    <w:rsid w:val="00F94E6E"/>
    <w:rsid w:val="00F976AF"/>
    <w:rsid w:val="00F97908"/>
    <w:rsid w:val="00F9798A"/>
    <w:rsid w:val="00FA001C"/>
    <w:rsid w:val="00FA57D0"/>
    <w:rsid w:val="00FA62EB"/>
    <w:rsid w:val="00FA7878"/>
    <w:rsid w:val="00FB16AE"/>
    <w:rsid w:val="00FB22D6"/>
    <w:rsid w:val="00FB2E4D"/>
    <w:rsid w:val="00FB4BD6"/>
    <w:rsid w:val="00FB6679"/>
    <w:rsid w:val="00FB7774"/>
    <w:rsid w:val="00FB7B32"/>
    <w:rsid w:val="00FC0609"/>
    <w:rsid w:val="00FC12E7"/>
    <w:rsid w:val="00FC32E7"/>
    <w:rsid w:val="00FC61E3"/>
    <w:rsid w:val="00FC6602"/>
    <w:rsid w:val="00FD13A5"/>
    <w:rsid w:val="00FD1455"/>
    <w:rsid w:val="00FD2768"/>
    <w:rsid w:val="00FD367B"/>
    <w:rsid w:val="00FD4363"/>
    <w:rsid w:val="00FD51D6"/>
    <w:rsid w:val="00FD528C"/>
    <w:rsid w:val="00FD5B48"/>
    <w:rsid w:val="00FD5F1D"/>
    <w:rsid w:val="00FD71BD"/>
    <w:rsid w:val="00FD7CA4"/>
    <w:rsid w:val="00FE02CB"/>
    <w:rsid w:val="00FE1808"/>
    <w:rsid w:val="00FE1AF9"/>
    <w:rsid w:val="00FE1F90"/>
    <w:rsid w:val="00FE3F21"/>
    <w:rsid w:val="00FE4B38"/>
    <w:rsid w:val="00FE51CF"/>
    <w:rsid w:val="00FE6474"/>
    <w:rsid w:val="00FE6DE5"/>
    <w:rsid w:val="00FF031A"/>
    <w:rsid w:val="00FF1905"/>
    <w:rsid w:val="00FF3AC5"/>
    <w:rsid w:val="00FF5840"/>
    <w:rsid w:val="00FF5DB4"/>
    <w:rsid w:val="00FF5E10"/>
    <w:rsid w:val="328B115F"/>
    <w:rsid w:val="3C98505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semiHidden="0" w:uiPriority="35" w:unhideWhenUsed="0" w:qFormat="1"/>
    <w:lsdException w:name="page number" w:semiHidden="0" w:uiPriority="0"/>
    <w:lsdException w:name="Title" w:semiHidden="0" w:uiPriority="10" w:unhideWhenUsed="0" w:qFormat="1"/>
    <w:lsdException w:name="Default Paragraph Font" w:semiHidden="0" w:uiPriority="1"/>
    <w:lsdException w:name="Body Text" w:semiHidden="0" w:uiPriority="0" w:unhideWhenUsed="0"/>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unhideWhenUsed/>
  </w:style>
  <w:style w:type="table" w:default="1" w:styleId="a1">
    <w:name w:val="Normal Table"/>
    <w:uiPriority w:val="99"/>
    <w:unhideWhenUsed/>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qFormat/>
    <w:rPr>
      <w:rFonts w:ascii="Cambria" w:eastAsia="黑体" w:hAnsi="Cambria"/>
      <w:sz w:val="20"/>
      <w:szCs w:val="20"/>
    </w:rPr>
  </w:style>
  <w:style w:type="paragraph" w:styleId="a4">
    <w:name w:val="Document Map"/>
    <w:basedOn w:val="a"/>
    <w:link w:val="Char"/>
    <w:uiPriority w:val="99"/>
    <w:unhideWhenUsed/>
    <w:rPr>
      <w:rFonts w:ascii="宋体"/>
      <w:kern w:val="0"/>
      <w:sz w:val="18"/>
      <w:szCs w:val="18"/>
    </w:rPr>
  </w:style>
  <w:style w:type="character" w:customStyle="1" w:styleId="Char">
    <w:name w:val="文档结构图 Char"/>
    <w:link w:val="a4"/>
    <w:uiPriority w:val="99"/>
    <w:semiHidden/>
    <w:rPr>
      <w:rFonts w:ascii="宋体" w:eastAsia="宋体" w:hAnsi="Times New Roman" w:cs="Times New Roman"/>
      <w:sz w:val="18"/>
      <w:szCs w:val="18"/>
    </w:rPr>
  </w:style>
  <w:style w:type="paragraph" w:styleId="a5">
    <w:name w:val="annotation text"/>
    <w:basedOn w:val="a"/>
    <w:link w:val="Char0"/>
    <w:uiPriority w:val="99"/>
    <w:unhideWhenUsed/>
    <w:pPr>
      <w:jc w:val="left"/>
    </w:pPr>
    <w:rPr>
      <w:kern w:val="0"/>
      <w:sz w:val="20"/>
    </w:rPr>
  </w:style>
  <w:style w:type="character" w:customStyle="1" w:styleId="Char0">
    <w:name w:val="批注文字 Char"/>
    <w:link w:val="a5"/>
    <w:uiPriority w:val="99"/>
    <w:semiHidden/>
    <w:rPr>
      <w:rFonts w:ascii="Times New Roman" w:eastAsia="宋体" w:hAnsi="Times New Roman" w:cs="Times New Roman"/>
      <w:szCs w:val="24"/>
    </w:rPr>
  </w:style>
  <w:style w:type="paragraph" w:styleId="a6">
    <w:name w:val="Body Text"/>
    <w:basedOn w:val="a"/>
    <w:link w:val="Char1"/>
    <w:pPr>
      <w:spacing w:after="120"/>
      <w:jc w:val="left"/>
    </w:pPr>
    <w:rPr>
      <w:rFonts w:eastAsia="PMingLiU"/>
      <w:kern w:val="0"/>
      <w:sz w:val="24"/>
      <w:lang w:eastAsia="zh-TW"/>
    </w:rPr>
  </w:style>
  <w:style w:type="character" w:customStyle="1" w:styleId="Char1">
    <w:name w:val="正文文本 Char"/>
    <w:link w:val="a6"/>
    <w:rPr>
      <w:rFonts w:ascii="Times New Roman" w:eastAsia="PMingLiU" w:hAnsi="Times New Roman"/>
      <w:sz w:val="24"/>
      <w:szCs w:val="24"/>
      <w:lang w:eastAsia="zh-TW"/>
    </w:rPr>
  </w:style>
  <w:style w:type="paragraph" w:styleId="a7">
    <w:name w:val="Balloon Text"/>
    <w:basedOn w:val="a"/>
    <w:link w:val="Char2"/>
    <w:uiPriority w:val="99"/>
    <w:unhideWhenUsed/>
    <w:rPr>
      <w:kern w:val="0"/>
      <w:sz w:val="18"/>
      <w:szCs w:val="18"/>
    </w:rPr>
  </w:style>
  <w:style w:type="character" w:customStyle="1" w:styleId="Char2">
    <w:name w:val="批注框文本 Char"/>
    <w:link w:val="a7"/>
    <w:uiPriority w:val="99"/>
    <w:semiHidden/>
    <w:rPr>
      <w:rFonts w:ascii="Times New Roman" w:eastAsia="宋体" w:hAnsi="Times New Roman" w:cs="Times New Roman"/>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character" w:customStyle="1" w:styleId="Char3">
    <w:name w:val="页脚 Char"/>
    <w:link w:val="a8"/>
    <w:uiPriority w:val="99"/>
    <w:rPr>
      <w:rFonts w:ascii="Times New Roman" w:eastAsia="宋体" w:hAnsi="Times New Roman" w:cs="Times New Roman"/>
      <w:sz w:val="18"/>
      <w:szCs w:val="18"/>
    </w:rPr>
  </w:style>
  <w:style w:type="paragraph" w:styleId="a9">
    <w:name w:val="header"/>
    <w:basedOn w:val="a"/>
    <w:link w:val="Char4"/>
    <w:uiPriority w:val="99"/>
    <w:unhideWhenUsed/>
    <w:pPr>
      <w:pBdr>
        <w:bottom w:val="single" w:sz="6" w:space="1" w:color="auto"/>
      </w:pBdr>
      <w:tabs>
        <w:tab w:val="center" w:pos="4153"/>
        <w:tab w:val="right" w:pos="8306"/>
      </w:tabs>
      <w:snapToGrid w:val="0"/>
      <w:jc w:val="center"/>
    </w:pPr>
    <w:rPr>
      <w:kern w:val="0"/>
      <w:sz w:val="18"/>
      <w:szCs w:val="18"/>
    </w:rPr>
  </w:style>
  <w:style w:type="character" w:customStyle="1" w:styleId="Char4">
    <w:name w:val="页眉 Char"/>
    <w:link w:val="a9"/>
    <w:uiPriority w:val="99"/>
    <w:rPr>
      <w:rFonts w:ascii="Times New Roman" w:eastAsia="宋体" w:hAnsi="Times New Roman" w:cs="Times New Roman"/>
      <w:sz w:val="18"/>
      <w:szCs w:val="18"/>
    </w:rPr>
  </w:style>
  <w:style w:type="paragraph" w:styleId="aa">
    <w:name w:val="annotation subject"/>
    <w:basedOn w:val="a5"/>
    <w:next w:val="a5"/>
    <w:link w:val="Char5"/>
    <w:uiPriority w:val="99"/>
    <w:unhideWhenUsed/>
    <w:rPr>
      <w:b/>
      <w:bCs/>
    </w:rPr>
  </w:style>
  <w:style w:type="character" w:customStyle="1" w:styleId="Char5">
    <w:name w:val="批注主题 Char"/>
    <w:link w:val="aa"/>
    <w:uiPriority w:val="99"/>
    <w:semiHidden/>
    <w:rPr>
      <w:rFonts w:ascii="Times New Roman" w:eastAsia="宋体" w:hAnsi="Times New Roman" w:cs="Times New Roman"/>
      <w:b/>
      <w:bCs/>
      <w:szCs w:val="24"/>
    </w:rPr>
  </w:style>
  <w:style w:type="character" w:styleId="ab">
    <w:name w:val="page number"/>
    <w:unhideWhenUsed/>
  </w:style>
  <w:style w:type="character" w:styleId="ac">
    <w:name w:val="访问过的超链接"/>
    <w:uiPriority w:val="99"/>
    <w:unhideWhenUsed/>
    <w:rPr>
      <w:color w:val="800080"/>
      <w:u w:val="single"/>
    </w:rPr>
  </w:style>
  <w:style w:type="character" w:styleId="ad">
    <w:name w:val="Hyperlink"/>
    <w:uiPriority w:val="99"/>
    <w:unhideWhenUsed/>
    <w:rPr>
      <w:color w:val="0000FF"/>
      <w:u w:val="single"/>
    </w:rPr>
  </w:style>
  <w:style w:type="character" w:styleId="ae">
    <w:name w:val="annotation reference"/>
    <w:uiPriority w:val="99"/>
    <w:unhideWhenUsed/>
    <w:rPr>
      <w:sz w:val="21"/>
      <w:szCs w:val="21"/>
    </w:rPr>
  </w:style>
  <w:style w:type="paragraph" w:styleId="af">
    <w:name w:val="Revision"/>
    <w:uiPriority w:val="99"/>
    <w:semiHidden/>
    <w:rPr>
      <w:kern w:val="2"/>
      <w:sz w:val="21"/>
      <w:szCs w:val="24"/>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styleId="af0">
    <w:name w:val="List Paragraph"/>
    <w:basedOn w:val="a"/>
    <w:uiPriority w:val="34"/>
    <w:qFormat/>
    <w:pPr>
      <w:ind w:firstLineChars="200" w:firstLine="420"/>
    </w:pPr>
  </w:style>
  <w:style w:type="character" w:customStyle="1" w:styleId="Char10">
    <w:name w:val="正文文本 Char1"/>
    <w:uiPriority w:val="99"/>
    <w:semiHidden/>
    <w:rPr>
      <w:rFonts w:ascii="Times New Roman" w:hAnsi="Times New Roman"/>
      <w:kern w:val="2"/>
      <w:sz w:val="21"/>
      <w:szCs w:val="24"/>
    </w:rPr>
  </w:style>
  <w:style w:type="paragraph" w:customStyle="1" w:styleId="2">
    <w:name w:val="样式2"/>
    <w:basedOn w:val="a"/>
    <w:link w:val="2Char"/>
    <w:qFormat/>
    <w:pPr>
      <w:widowControl/>
      <w:spacing w:line="360" w:lineRule="exact"/>
      <w:ind w:rightChars="-59" w:right="-142"/>
      <w:contextualSpacing/>
      <w:jc w:val="left"/>
      <w:outlineLvl w:val="1"/>
    </w:pPr>
    <w:rPr>
      <w:rFonts w:ascii="宋体" w:hAnsi="宋体" w:cs="宋体"/>
      <w:b/>
      <w:bCs/>
      <w:color w:val="0A3DB2"/>
      <w:kern w:val="0"/>
      <w:sz w:val="24"/>
    </w:rPr>
  </w:style>
  <w:style w:type="character" w:customStyle="1" w:styleId="2Char">
    <w:name w:val="样式2 Char"/>
    <w:link w:val="2"/>
    <w:rPr>
      <w:rFonts w:ascii="宋体" w:hAnsi="宋体" w:cs="宋体"/>
      <w:b/>
      <w:bCs/>
      <w:color w:val="0A3DB2"/>
      <w:sz w:val="24"/>
      <w:szCs w:val="24"/>
    </w:rPr>
  </w:style>
  <w:style w:type="paragraph" w:customStyle="1" w:styleId="3">
    <w:name w:val="样式3"/>
    <w:basedOn w:val="a"/>
    <w:link w:val="3Char"/>
    <w:qFormat/>
    <w:pPr>
      <w:widowControl/>
      <w:spacing w:line="360" w:lineRule="exact"/>
      <w:ind w:rightChars="-59" w:right="-142"/>
      <w:contextualSpacing/>
      <w:jc w:val="left"/>
    </w:pPr>
    <w:rPr>
      <w:rFonts w:ascii="宋体" w:hAnsi="宋体" w:cs="宋体"/>
      <w:b/>
      <w:bCs/>
      <w:color w:val="0A3DB2"/>
      <w:kern w:val="0"/>
      <w:szCs w:val="21"/>
    </w:rPr>
  </w:style>
  <w:style w:type="character" w:customStyle="1" w:styleId="3Char">
    <w:name w:val="样式3 Char"/>
    <w:link w:val="3"/>
    <w:rPr>
      <w:rFonts w:ascii="宋体" w:hAnsi="宋体" w:cs="宋体"/>
      <w:b/>
      <w:bCs/>
      <w:color w:val="0A3DB2"/>
      <w:sz w:val="21"/>
      <w:szCs w:val="21"/>
    </w:rPr>
  </w:style>
</w:styles>
</file>

<file path=word/webSettings.xml><?xml version="1.0" encoding="utf-8"?>
<w:webSettings xmlns:r="http://schemas.openxmlformats.org/officeDocument/2006/relationships" xmlns:w="http://schemas.openxmlformats.org/wordprocessingml/2006/main">
  <w:encoding w:val="x-cp20936"/>
  <w:optimizeForBrowser/>
  <w:allowPNG/>
  <w:pixelsPerInch w:val="144"/>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qhkyfund.com" TargetMode="External"/><Relationship Id="rId3" Type="http://schemas.openxmlformats.org/officeDocument/2006/relationships/webSettings" Target="webSettings.xml"/><Relationship Id="rId7" Type="http://schemas.openxmlformats.org/officeDocument/2006/relationships/hyperlink" Target="http://www.qhkyfund.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id.csrc.gov.cn/fund"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1604</Words>
  <Characters>9148</Characters>
  <Application>Microsoft Office Word</Application>
  <DocSecurity>4</DocSecurity>
  <Lines>76</Lines>
  <Paragraphs>21</Paragraphs>
  <ScaleCrop>false</ScaleCrop>
  <Company>Lenovo</Company>
  <LinksUpToDate>false</LinksUpToDate>
  <CharactersWithSpaces>10731</CharactersWithSpaces>
  <SharedDoc>false</SharedDoc>
  <HLinks>
    <vt:vector size="18" baseType="variant">
      <vt:variant>
        <vt:i4>5701726</vt:i4>
      </vt:variant>
      <vt:variant>
        <vt:i4>31</vt:i4>
      </vt:variant>
      <vt:variant>
        <vt:i4>0</vt:i4>
      </vt:variant>
      <vt:variant>
        <vt:i4>5</vt:i4>
      </vt:variant>
      <vt:variant>
        <vt:lpwstr>http://www.qhkyfund.com/</vt:lpwstr>
      </vt:variant>
      <vt:variant>
        <vt:lpwstr/>
      </vt:variant>
      <vt:variant>
        <vt:i4>5701726</vt:i4>
      </vt:variant>
      <vt:variant>
        <vt:i4>3</vt:i4>
      </vt:variant>
      <vt:variant>
        <vt:i4>0</vt:i4>
      </vt:variant>
      <vt:variant>
        <vt:i4>5</vt:i4>
      </vt:variant>
      <vt:variant>
        <vt:lpwstr>http://www.qhkyfund.com/</vt:lpwstr>
      </vt:variant>
      <vt:variant>
        <vt:lpwstr/>
      </vt:variant>
      <vt:variant>
        <vt:i4>3276918</vt:i4>
      </vt:variant>
      <vt:variant>
        <vt:i4>0</vt:i4>
      </vt:variant>
      <vt:variant>
        <vt:i4>0</vt:i4>
      </vt:variant>
      <vt:variant>
        <vt:i4>5</vt:i4>
      </vt:variant>
      <vt:variant>
        <vt:lpwstr>http://eid.csrc.gov.cn/fund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前海开源基金管理有限公司</dc:creator>
  <cp:keywords/>
  <cp:lastModifiedBy>ZHONGM</cp:lastModifiedBy>
  <cp:revision>2</cp:revision>
  <cp:lastPrinted>2017-01-19T13:10:00Z</cp:lastPrinted>
  <dcterms:created xsi:type="dcterms:W3CDTF">2026-04-07T16:03:00Z</dcterms:created>
  <dcterms:modified xsi:type="dcterms:W3CDTF">2026-04-07T16:03:00Z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eyJoZGlkIjoiZDZkMjgwMGY5OTU3OGI0ZDlmM2Q1OGRiZTFmYTdhMGMiLCJ1c2VySWQiOiIxNDUyODI2MTE1In0=</vt:lpwstr>
  </property>
  <property fmtid="{D5CDD505-2E9C-101B-9397-08002B2CF9AE}" pid="3" name="KSOProductBuildVer">
    <vt:lpwstr>2052-12.1.0.25225</vt:lpwstr>
  </property>
  <property fmtid="{D5CDD505-2E9C-101B-9397-08002B2CF9AE}" pid="4" name="ICV">
    <vt:lpwstr>F06B59F765C746BBA1C2158124E90099_12</vt:lpwstr>
  </property>
</Properties>
</file>