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D1" w:rsidRDefault="005B2ED1">
      <w:pPr>
        <w:spacing w:line="300" w:lineRule="auto"/>
        <w:jc w:val="center"/>
        <w:rPr>
          <w:rFonts w:ascii="宋体" w:hAnsi="宋体"/>
          <w:lang w:eastAsia="zh-CN"/>
        </w:rPr>
      </w:pPr>
      <w:r>
        <w:rPr>
          <w:rFonts w:ascii="宋体" w:hAnsi="宋体"/>
          <w:b/>
          <w:sz w:val="24"/>
          <w:szCs w:val="24"/>
          <w:lang w:eastAsia="zh-CN"/>
        </w:rPr>
        <w:t>永赢睿恒混合型证券投资基金暂停大额申购（含定期定额投资）、转换转入业务的公告</w:t>
      </w:r>
    </w:p>
    <w:p w:rsidR="005B2ED1" w:rsidRDefault="005B2ED1">
      <w:pPr>
        <w:spacing w:line="360" w:lineRule="auto"/>
        <w:ind w:firstLine="480"/>
        <w:jc w:val="center"/>
      </w:pPr>
      <w:r>
        <w:rPr>
          <w:rFonts w:ascii="宋体" w:hAnsi="宋体" w:hint="eastAsia"/>
          <w:sz w:val="24"/>
          <w:szCs w:val="24"/>
        </w:rPr>
        <w:t>公告送出日期：</w:t>
      </w:r>
      <w:r>
        <w:rPr>
          <w:rFonts w:ascii="宋体" w:hAnsi="宋体"/>
          <w:sz w:val="24"/>
          <w:szCs w:val="24"/>
        </w:rPr>
        <w:t>2026年</w:t>
      </w:r>
      <w:r w:rsidR="00734182">
        <w:rPr>
          <w:rFonts w:ascii="宋体" w:hAnsi="宋体" w:hint="default"/>
          <w:sz w:val="24"/>
          <w:szCs w:val="24"/>
        </w:rPr>
        <w:t>04</w:t>
      </w:r>
      <w:r>
        <w:rPr>
          <w:rFonts w:ascii="宋体" w:hAnsi="宋体"/>
          <w:sz w:val="24"/>
          <w:szCs w:val="24"/>
        </w:rPr>
        <w:t>月</w:t>
      </w:r>
      <w:r w:rsidR="00734182">
        <w:rPr>
          <w:rFonts w:ascii="宋体" w:hAnsi="宋体" w:hint="default"/>
          <w:sz w:val="24"/>
          <w:szCs w:val="24"/>
        </w:rPr>
        <w:t>07</w:t>
      </w:r>
      <w:r>
        <w:rPr>
          <w:rFonts w:ascii="宋体" w:hAnsi="宋体"/>
          <w:sz w:val="24"/>
          <w:szCs w:val="24"/>
        </w:rPr>
        <w:t>日</w:t>
      </w:r>
    </w:p>
    <w:p w:rsidR="005B2ED1" w:rsidRDefault="005B2ED1">
      <w:r>
        <w:rPr>
          <w:rFonts w:ascii="宋体" w:hAnsi="宋体" w:hint="eastAsia"/>
          <w:b/>
          <w:sz w:val="24"/>
          <w:szCs w:val="24"/>
        </w:rPr>
        <w:t xml:space="preserve">1 </w:t>
      </w:r>
      <w:proofErr w:type="spellStart"/>
      <w:r>
        <w:rPr>
          <w:rFonts w:ascii="宋体" w:hAnsi="宋体" w:hint="eastAsia"/>
          <w:b/>
          <w:sz w:val="24"/>
          <w:szCs w:val="24"/>
        </w:rPr>
        <w:t>公告基本信息</w:t>
      </w:r>
      <w:proofErr w:type="spellEnd"/>
    </w:p>
    <w:tbl>
      <w:tblPr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311"/>
        <w:gridCol w:w="3222"/>
        <w:gridCol w:w="2711"/>
        <w:gridCol w:w="2712"/>
      </w:tblGrid>
      <w:tr w:rsidR="005B2ED1" w:rsidTr="004F7D29">
        <w:trPr>
          <w:cnfStyle w:val="100000000000"/>
          <w:jc w:val="center"/>
        </w:trPr>
        <w:tc>
          <w:tcPr>
            <w:cnfStyle w:val="0010000001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基金名称</w:t>
            </w:r>
            <w:proofErr w:type="spellEnd"/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1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永赢睿恒混合型证券投资基金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基金简称</w:t>
            </w:r>
            <w:proofErr w:type="spellEnd"/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永赢睿恒混合</w:t>
            </w:r>
            <w:proofErr w:type="spellEnd"/>
          </w:p>
        </w:tc>
      </w:tr>
      <w:tr w:rsidR="005B2ED1" w:rsidTr="004F7D29">
        <w:trPr>
          <w:jc w:val="center"/>
        </w:trPr>
        <w:tc>
          <w:tcPr>
            <w:cnfStyle w:val="0010000000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基金主代码</w:t>
            </w:r>
            <w:proofErr w:type="spellEnd"/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017234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基金管理人名称</w:t>
            </w:r>
            <w:proofErr w:type="spellEnd"/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永赢基金管理有限公司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公告依据</w:t>
            </w:r>
            <w:proofErr w:type="spellEnd"/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Pr="004F7D29" w:rsidRDefault="005B2ED1" w:rsidP="004F7D29">
            <w:pPr>
              <w:cnfStyle w:val="00000000000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《公开募集证券投资基金信息披露管理办法》、《永赢睿恒混合型证券投资基金基金合同》、《永赢睿恒混合型证券投资基金招募说明书》等相关文件的规定。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13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暂停相关业务的起始日、金额及原因说明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申购（含定期定额投资）起始日</w:t>
            </w:r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 w:rsidP="00734182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2026年</w:t>
            </w:r>
            <w:r w:rsidR="00734182">
              <w:rPr>
                <w:rFonts w:ascii="宋体" w:hAnsi="宋体" w:hint="default"/>
                <w:sz w:val="24"/>
                <w:szCs w:val="24"/>
              </w:rPr>
              <w:t>04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 w:rsidR="00734182">
              <w:rPr>
                <w:rFonts w:ascii="宋体" w:hAnsi="宋体" w:hint="default"/>
                <w:sz w:val="24"/>
                <w:szCs w:val="24"/>
              </w:rPr>
              <w:t>07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13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转换转入起始日</w:t>
            </w:r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734182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2026年</w:t>
            </w:r>
            <w:r>
              <w:rPr>
                <w:rFonts w:ascii="宋体" w:hAnsi="宋体" w:hint="default"/>
                <w:sz w:val="24"/>
                <w:szCs w:val="24"/>
              </w:rPr>
              <w:t>04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 w:hint="default"/>
                <w:sz w:val="24"/>
                <w:szCs w:val="24"/>
              </w:rPr>
              <w:t>07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13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限制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申购（含定期定额投资）金额（单位：人民币元）</w:t>
            </w:r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734182">
              <w:rPr>
                <w:rFonts w:ascii="宋体" w:hAnsi="宋体" w:hint="default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 w:rsidR="00734182">
              <w:rPr>
                <w:rFonts w:ascii="宋体" w:hAnsi="宋体" w:hint="default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0,000.00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13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限制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转换转入金额（单位：人民币元）</w:t>
            </w:r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734182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default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default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0,000.00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13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暂停（大额）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申购（含定期定额投资）、转换转入的原因说明</w:t>
            </w:r>
          </w:p>
        </w:tc>
        <w:tc>
          <w:tcPr>
            <w:tcW w:w="5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Pr="004F7D29" w:rsidRDefault="005B2ED1" w:rsidP="004F7D29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 w:hint="eastAsia"/>
                <w:color w:val="000000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为保障基金平稳运作，根据《永赢睿恒混合型证券投资基金基金合同》的有关规定。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下属基金份额类别的基金简称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永赢睿恒混合A</w:t>
            </w:r>
            <w:proofErr w:type="spellEnd"/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永赢睿恒混合C</w:t>
            </w:r>
            <w:proofErr w:type="spellEnd"/>
          </w:p>
        </w:tc>
      </w:tr>
      <w:tr w:rsidR="005B2ED1" w:rsidTr="004F7D29">
        <w:trPr>
          <w:jc w:val="center"/>
        </w:trPr>
        <w:tc>
          <w:tcPr>
            <w:cnfStyle w:val="0010000000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下属基金份额类别的交易代码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017234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022368</w:t>
            </w:r>
          </w:p>
        </w:tc>
      </w:tr>
      <w:tr w:rsidR="005B2ED1" w:rsidTr="004F7D29">
        <w:trPr>
          <w:jc w:val="center"/>
        </w:trPr>
        <w:tc>
          <w:tcPr>
            <w:cnfStyle w:val="001000000000"/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该基金份额类别是否暂停（大额）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申购（含定期定额投资）、转换转入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2ED1" w:rsidRDefault="005B2ED1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</w:tr>
    </w:tbl>
    <w:p w:rsidR="005B2ED1" w:rsidRDefault="005B2ED1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注：上述限额如有变化，本基金管理人将另行公告。</w:t>
      </w:r>
    </w:p>
    <w:p w:rsidR="005B2ED1" w:rsidRDefault="005B2ED1">
      <w:pPr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/>
          <w:b/>
          <w:sz w:val="24"/>
          <w:szCs w:val="24"/>
          <w:lang w:eastAsia="zh-CN"/>
        </w:rPr>
        <w:t xml:space="preserve">2 </w:t>
      </w:r>
      <w:r>
        <w:rPr>
          <w:rFonts w:ascii="宋体" w:hAnsi="宋体" w:hint="eastAsia"/>
          <w:b/>
          <w:sz w:val="24"/>
          <w:szCs w:val="24"/>
          <w:lang w:eastAsia="zh-CN"/>
        </w:rPr>
        <w:t>其他需要提示的事项</w:t>
      </w:r>
    </w:p>
    <w:p w:rsidR="005B2ED1" w:rsidRDefault="005B2ED1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（1）自2026年</w:t>
      </w:r>
      <w:r w:rsidR="00180B0D">
        <w:rPr>
          <w:rFonts w:ascii="宋体" w:hAnsi="宋体" w:cs="宋体" w:hint="eastAsia"/>
          <w:color w:val="000000"/>
          <w:sz w:val="24"/>
          <w:lang w:eastAsia="zh-CN"/>
        </w:rPr>
        <w:t>0</w:t>
      </w:r>
      <w:r w:rsidR="00555825">
        <w:rPr>
          <w:rFonts w:ascii="宋体" w:hAnsi="宋体" w:cs="宋体" w:hint="eastAsia"/>
          <w:color w:val="000000"/>
          <w:sz w:val="24"/>
          <w:lang w:eastAsia="zh-CN"/>
        </w:rPr>
        <w:t>4</w:t>
      </w:r>
      <w:r>
        <w:rPr>
          <w:rFonts w:ascii="宋体" w:hAnsi="宋体" w:cs="宋体"/>
          <w:color w:val="000000"/>
          <w:sz w:val="24"/>
          <w:lang w:eastAsia="zh-CN"/>
        </w:rPr>
        <w:t>月</w:t>
      </w:r>
      <w:r w:rsidR="00180B0D">
        <w:rPr>
          <w:rFonts w:ascii="宋体" w:hAnsi="宋体" w:cs="宋体" w:hint="eastAsia"/>
          <w:color w:val="000000"/>
          <w:sz w:val="24"/>
          <w:lang w:eastAsia="zh-CN"/>
        </w:rPr>
        <w:t>0</w:t>
      </w:r>
      <w:r w:rsidR="00555825">
        <w:rPr>
          <w:rFonts w:ascii="宋体" w:hAnsi="宋体" w:cs="宋体" w:hint="eastAsia"/>
          <w:color w:val="000000"/>
          <w:sz w:val="24"/>
          <w:lang w:eastAsia="zh-CN"/>
        </w:rPr>
        <w:t>7</w:t>
      </w:r>
      <w:r>
        <w:rPr>
          <w:rFonts w:ascii="宋体" w:hAnsi="宋体" w:cs="宋体"/>
          <w:color w:val="000000"/>
          <w:sz w:val="24"/>
          <w:lang w:eastAsia="zh-CN"/>
        </w:rPr>
        <w:t>日起，投资者办理本基金（A类及C类份额合并计算）的申购（含定期定额投资）、转换转入业务时，如单日单个基金账户单笔申请金额高于</w:t>
      </w:r>
      <w:r w:rsidR="00734182">
        <w:rPr>
          <w:rFonts w:ascii="宋体" w:hAnsi="宋体"/>
          <w:sz w:val="24"/>
          <w:szCs w:val="24"/>
          <w:lang w:eastAsia="zh-CN"/>
        </w:rPr>
        <w:t>1</w:t>
      </w:r>
      <w:r w:rsidR="00734182">
        <w:rPr>
          <w:rFonts w:ascii="宋体" w:hAnsi="宋体" w:hint="default"/>
          <w:sz w:val="24"/>
          <w:szCs w:val="24"/>
          <w:lang w:eastAsia="zh-CN"/>
        </w:rPr>
        <w:t>,</w:t>
      </w:r>
      <w:r w:rsidR="00734182">
        <w:rPr>
          <w:rFonts w:ascii="宋体" w:hAnsi="宋体"/>
          <w:sz w:val="24"/>
          <w:szCs w:val="24"/>
          <w:lang w:eastAsia="zh-CN"/>
        </w:rPr>
        <w:t>0</w:t>
      </w:r>
      <w:r w:rsidR="00734182">
        <w:rPr>
          <w:rFonts w:ascii="宋体" w:hAnsi="宋体" w:hint="default"/>
          <w:sz w:val="24"/>
          <w:szCs w:val="24"/>
          <w:lang w:eastAsia="zh-CN"/>
        </w:rPr>
        <w:t>0</w:t>
      </w:r>
      <w:r w:rsidR="00734182">
        <w:rPr>
          <w:rFonts w:ascii="宋体" w:hAnsi="宋体"/>
          <w:sz w:val="24"/>
          <w:szCs w:val="24"/>
          <w:lang w:eastAsia="zh-CN"/>
        </w:rPr>
        <w:t>0,000.00</w:t>
      </w:r>
      <w:r>
        <w:rPr>
          <w:rFonts w:ascii="宋体" w:hAnsi="宋体" w:cs="宋体"/>
          <w:color w:val="000000"/>
          <w:sz w:val="24"/>
          <w:lang w:eastAsia="zh-CN"/>
        </w:rPr>
        <w:t>元（不含），本基金管理人有权全部或部分确认该笔申请失败；如单日单个基金账户多笔累计申请金额高于</w:t>
      </w:r>
      <w:r w:rsidR="00734182">
        <w:rPr>
          <w:rFonts w:ascii="宋体" w:hAnsi="宋体"/>
          <w:sz w:val="24"/>
          <w:szCs w:val="24"/>
          <w:lang w:eastAsia="zh-CN"/>
        </w:rPr>
        <w:t>1</w:t>
      </w:r>
      <w:r w:rsidR="00734182">
        <w:rPr>
          <w:rFonts w:ascii="宋体" w:hAnsi="宋体" w:hint="default"/>
          <w:sz w:val="24"/>
          <w:szCs w:val="24"/>
          <w:lang w:eastAsia="zh-CN"/>
        </w:rPr>
        <w:t>,</w:t>
      </w:r>
      <w:r w:rsidR="00734182">
        <w:rPr>
          <w:rFonts w:ascii="宋体" w:hAnsi="宋体"/>
          <w:sz w:val="24"/>
          <w:szCs w:val="24"/>
          <w:lang w:eastAsia="zh-CN"/>
        </w:rPr>
        <w:t>0</w:t>
      </w:r>
      <w:r w:rsidR="00734182">
        <w:rPr>
          <w:rFonts w:ascii="宋体" w:hAnsi="宋体" w:hint="default"/>
          <w:sz w:val="24"/>
          <w:szCs w:val="24"/>
          <w:lang w:eastAsia="zh-CN"/>
        </w:rPr>
        <w:t>0</w:t>
      </w:r>
      <w:r w:rsidR="00734182">
        <w:rPr>
          <w:rFonts w:ascii="宋体" w:hAnsi="宋体"/>
          <w:sz w:val="24"/>
          <w:szCs w:val="24"/>
          <w:lang w:eastAsia="zh-CN"/>
        </w:rPr>
        <w:t>0,000.00</w:t>
      </w:r>
      <w:r>
        <w:rPr>
          <w:rFonts w:ascii="宋体" w:hAnsi="宋体" w:cs="宋体"/>
          <w:color w:val="000000"/>
          <w:sz w:val="24"/>
          <w:lang w:eastAsia="zh-CN"/>
        </w:rPr>
        <w:t>元（不含），则对申请按照申请金额从大到小排序，逐笔累加至符合不超过</w:t>
      </w:r>
      <w:r w:rsidR="00734182">
        <w:rPr>
          <w:rFonts w:ascii="宋体" w:hAnsi="宋体"/>
          <w:sz w:val="24"/>
          <w:szCs w:val="24"/>
          <w:lang w:eastAsia="zh-CN"/>
        </w:rPr>
        <w:t>1</w:t>
      </w:r>
      <w:r w:rsidR="00734182">
        <w:rPr>
          <w:rFonts w:ascii="宋体" w:hAnsi="宋体" w:hint="default"/>
          <w:sz w:val="24"/>
          <w:szCs w:val="24"/>
          <w:lang w:eastAsia="zh-CN"/>
        </w:rPr>
        <w:t>,</w:t>
      </w:r>
      <w:r w:rsidR="00734182">
        <w:rPr>
          <w:rFonts w:ascii="宋体" w:hAnsi="宋体"/>
          <w:sz w:val="24"/>
          <w:szCs w:val="24"/>
          <w:lang w:eastAsia="zh-CN"/>
        </w:rPr>
        <w:t>0</w:t>
      </w:r>
      <w:r w:rsidR="00734182">
        <w:rPr>
          <w:rFonts w:ascii="宋体" w:hAnsi="宋体" w:hint="default"/>
          <w:sz w:val="24"/>
          <w:szCs w:val="24"/>
          <w:lang w:eastAsia="zh-CN"/>
        </w:rPr>
        <w:t>0</w:t>
      </w:r>
      <w:r w:rsidR="00734182">
        <w:rPr>
          <w:rFonts w:ascii="宋体" w:hAnsi="宋体"/>
          <w:sz w:val="24"/>
          <w:szCs w:val="24"/>
          <w:lang w:eastAsia="zh-CN"/>
        </w:rPr>
        <w:t>0,000.00</w:t>
      </w:r>
      <w:r>
        <w:rPr>
          <w:rFonts w:ascii="宋体" w:hAnsi="宋体" w:cs="宋体"/>
          <w:color w:val="000000"/>
          <w:sz w:val="24"/>
          <w:lang w:eastAsia="zh-CN"/>
        </w:rPr>
        <w:t>元限额的申请确认成功，其余笔数本基金管理人有权全部或部分确认失败。</w:t>
      </w:r>
    </w:p>
    <w:p w:rsidR="005B2ED1" w:rsidRDefault="005B2ED1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（2）在上述期间的交易日，本基金赎回、转换转出业务仍照常办理。本基金恢复正常</w:t>
      </w:r>
      <w:r>
        <w:rPr>
          <w:rFonts w:ascii="宋体" w:hAnsi="宋体" w:cs="宋体"/>
          <w:color w:val="000000"/>
          <w:sz w:val="24"/>
          <w:lang w:eastAsia="zh-CN"/>
        </w:rPr>
        <w:lastRenderedPageBreak/>
        <w:t>申购（含定期定额投资）、转换转入业务的具体时间将另行公告。</w:t>
      </w:r>
    </w:p>
    <w:p w:rsidR="005B2ED1" w:rsidRDefault="005B2ED1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（3）如有疑问，请拨打本公司客户服务电话400-805-8888，或登录本公司网站www.maxwealthfund.com获取相关信息。</w:t>
      </w:r>
    </w:p>
    <w:p w:rsidR="005B2ED1" w:rsidRDefault="005B2ED1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风险揭示：本基金管理人承诺以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5B2ED1" w:rsidRDefault="005B2ED1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特此公告。</w:t>
      </w:r>
    </w:p>
    <w:p w:rsidR="005B2ED1" w:rsidRDefault="005B2ED1">
      <w:pPr>
        <w:rPr>
          <w:lang w:eastAsia="zh-CN"/>
        </w:rPr>
      </w:pPr>
    </w:p>
    <w:p w:rsidR="005B2ED1" w:rsidRDefault="005B2ED1">
      <w:pPr>
        <w:spacing w:line="360" w:lineRule="auto"/>
        <w:ind w:firstLine="480"/>
        <w:jc w:val="right"/>
        <w:rPr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永赢基金管理有限公司</w:t>
      </w:r>
    </w:p>
    <w:p w:rsidR="005B2ED1" w:rsidRDefault="005B2ED1">
      <w:pPr>
        <w:spacing w:line="360" w:lineRule="auto"/>
        <w:ind w:firstLine="480"/>
        <w:jc w:val="right"/>
      </w:pPr>
      <w:r>
        <w:rPr>
          <w:rFonts w:ascii="宋体" w:hAnsi="宋体"/>
          <w:sz w:val="24"/>
          <w:szCs w:val="24"/>
        </w:rPr>
        <w:t>2026年0</w:t>
      </w:r>
      <w:r w:rsidR="00734182">
        <w:rPr>
          <w:rFonts w:ascii="宋体" w:hAnsi="宋体" w:hint="default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月</w:t>
      </w:r>
      <w:r w:rsidR="00734182">
        <w:rPr>
          <w:rFonts w:ascii="宋体" w:hAnsi="宋体" w:hint="default"/>
          <w:sz w:val="24"/>
          <w:szCs w:val="24"/>
        </w:rPr>
        <w:t>07</w:t>
      </w:r>
      <w:r>
        <w:rPr>
          <w:rFonts w:ascii="宋体" w:hAnsi="宋体"/>
          <w:sz w:val="24"/>
          <w:szCs w:val="24"/>
        </w:rPr>
        <w:t>日</w:t>
      </w:r>
      <w:bookmarkStart w:id="0" w:name="_PictureBullets"/>
      <w:bookmarkEnd w:id="0"/>
    </w:p>
    <w:sectPr w:rsidR="005B2ED1">
      <w:headerReference w:type="default" r:id="rId6"/>
      <w:footerReference w:type="default" r:id="rId7"/>
      <w:pgSz w:w="11907" w:h="16839"/>
      <w:pgMar w:top="897" w:right="1046" w:bottom="852" w:left="11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E14" w:rsidRDefault="008C0E14">
      <w:r>
        <w:separator/>
      </w:r>
    </w:p>
  </w:endnote>
  <w:endnote w:type="continuationSeparator" w:id="0">
    <w:p w:rsidR="008C0E14" w:rsidRDefault="008C0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D1" w:rsidRDefault="005B2ED1">
    <w:pPr>
      <w:jc w:val="left"/>
      <w:rPr>
        <w:rFonts w:asci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E14" w:rsidRDefault="008C0E14">
      <w:r>
        <w:separator/>
      </w:r>
    </w:p>
  </w:footnote>
  <w:footnote w:type="continuationSeparator" w:id="0">
    <w:p w:rsidR="008C0E14" w:rsidRDefault="008C0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D1" w:rsidRDefault="005B2ED1">
    <w:pPr>
      <w:jc w:val="left"/>
      <w:rPr>
        <w:rFonts w:ascii="宋体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SortMethod w:val="00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D29"/>
    <w:rsid w:val="00180B0D"/>
    <w:rsid w:val="003A4901"/>
    <w:rsid w:val="004B50A5"/>
    <w:rsid w:val="004F7D29"/>
    <w:rsid w:val="00555825"/>
    <w:rsid w:val="005B2ED1"/>
    <w:rsid w:val="00734182"/>
    <w:rsid w:val="008111B3"/>
    <w:rsid w:val="008C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 w:hint="default"/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3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nnotationtext">
    <w:name w:val="annotation text"/>
    <w:basedOn w:val="a"/>
    <w:link w:val="Char"/>
    <w:uiPriority w:val="99"/>
    <w:semiHidden/>
    <w:unhideWhenUsed/>
    <w:pPr>
      <w:jc w:val="left"/>
    </w:pPr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annotationsubject">
    <w:name w:val="annotation subject"/>
    <w:basedOn w:val="annotationtext"/>
    <w:next w:val="annotationtext"/>
    <w:link w:val="Char0"/>
    <w:uiPriority w:val="99"/>
    <w:semiHidden/>
    <w:unhideWhenUsed/>
    <w:rPr>
      <w:b/>
      <w:bCs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000FF"/>
      <w:u w:val="single"/>
    </w:rPr>
  </w:style>
  <w:style w:type="character" w:customStyle="1" w:styleId="annotationreference">
    <w:name w:val="annotation reference"/>
    <w:uiPriority w:val="99"/>
    <w:semiHidden/>
    <w:unhideWhenUsed/>
    <w:rPr>
      <w:sz w:val="21"/>
      <w:szCs w:val="21"/>
    </w:rPr>
  </w:style>
  <w:style w:type="character" w:styleId="af6">
    <w:name w:val="footnote reference"/>
    <w:uiPriority w:val="99"/>
    <w:unhideWhenUsed/>
    <w:rPr>
      <w:vertAlign w:val="superscript"/>
    </w:rPr>
  </w:style>
  <w:style w:type="character" w:customStyle="1" w:styleId="CaptionChar">
    <w:name w:val="Caption Char"/>
    <w:uiPriority w:val="99"/>
  </w:style>
  <w:style w:type="character" w:customStyle="1" w:styleId="a5">
    <w:name w:val="尾注文本 字符"/>
    <w:link w:val="a4"/>
    <w:uiPriority w:val="99"/>
    <w:rPr>
      <w:sz w:val="20"/>
    </w:rPr>
  </w:style>
  <w:style w:type="character" w:customStyle="1" w:styleId="10">
    <w:name w:val="标题 1 字符"/>
    <w:link w:val="1"/>
    <w:uiPriority w:val="9"/>
    <w:rPr>
      <w:rFonts w:ascii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rPr>
      <w:rFonts w:ascii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rFonts w:ascii="Calibri" w:hAnsi="Calibri" w:cs="Times New Roman"/>
      <w:sz w:val="22"/>
      <w:szCs w:val="22"/>
    </w:rPr>
  </w:style>
  <w:style w:type="character" w:customStyle="1" w:styleId="af2">
    <w:name w:val="标题 字符"/>
    <w:link w:val="af1"/>
    <w:uiPriority w:val="10"/>
    <w:rPr>
      <w:sz w:val="48"/>
      <w:szCs w:val="48"/>
    </w:rPr>
  </w:style>
  <w:style w:type="character" w:customStyle="1" w:styleId="ad">
    <w:name w:val="副标题 字符"/>
    <w:link w:val="ac"/>
    <w:uiPriority w:val="11"/>
    <w:rPr>
      <w:sz w:val="24"/>
      <w:szCs w:val="24"/>
    </w:rPr>
  </w:style>
  <w:style w:type="paragraph" w:styleId="af9">
    <w:name w:val="Quote"/>
    <w:basedOn w:val="a"/>
    <w:next w:val="a"/>
    <w:link w:val="afa"/>
    <w:uiPriority w:val="29"/>
    <w:qFormat/>
    <w:pPr>
      <w:ind w:left="720" w:right="720"/>
    </w:pPr>
    <w:rPr>
      <w:i/>
    </w:rPr>
  </w:style>
  <w:style w:type="character" w:customStyle="1" w:styleId="afa">
    <w:name w:val="引用 字符"/>
    <w:link w:val="af9"/>
    <w:uiPriority w:val="29"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c">
    <w:name w:val="明显引用 字符"/>
    <w:link w:val="af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tblPr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  <w:tblPr/>
      <w:tcPr>
        <w:tcBorders>
          <w:left w:val="single" w:sz="4" w:space="0" w:color="000000"/>
        </w:tcBorders>
      </w:tcPr>
    </w:tblStylePr>
    <w:tblStylePr w:type="band1Horz">
      <w:pPr>
        <w:snapToGrid/>
      </w:p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single" w:sz="4" w:space="0" w:color="40404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B6B6B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9B6D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A9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5D89F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5A5C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CFDE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294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tblPr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B6B6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B6B6B"/>
          <w:left w:val="none" w:sz="0" w:space="0" w:color="000000"/>
          <w:bottom w:val="none" w:sz="0" w:space="0" w:color="000000"/>
          <w:right w:val="single" w:sz="4" w:space="0" w:color="6B6B6B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tblPr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BC2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left w:val="none" w:sz="0" w:space="0" w:color="000000"/>
          <w:bottom w:val="none" w:sz="0" w:space="0" w:color="000000"/>
          <w:right w:val="single" w:sz="4" w:space="0" w:color="5D8BC2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tblPr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tblPr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tblPr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tblPr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tblPr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tblPr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tblPr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tblPr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tblPr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tblPr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tblPr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tblPr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707070"/>
        <w:left w:val="single" w:sz="4" w:space="0" w:color="707070"/>
        <w:bottom w:val="single" w:sz="4" w:space="0" w:color="707070"/>
        <w:right w:val="single" w:sz="4" w:space="0" w:color="707070"/>
        <w:insideH w:val="single" w:sz="4" w:space="0" w:color="707070"/>
        <w:insideV w:val="single" w:sz="4" w:space="0" w:color="7070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single" w:sz="4" w:space="0" w:color="9CB8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BC2"/>
          <w:left w:val="single" w:sz="4" w:space="0" w:color="5D8BC2"/>
          <w:bottom w:val="single" w:sz="4" w:space="0" w:color="5D8BC2"/>
          <w:right w:val="single" w:sz="4" w:space="0" w:color="5D8BC2"/>
        </w:tcBorders>
        <w:shd w:val="clear" w:color="5D8BC2" w:fill="5D8BC2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right w:val="single" w:sz="4" w:space="0" w:color="5D8BC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single" w:sz="4" w:space="0" w:color="DC9D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A9896"/>
          <w:left w:val="single" w:sz="4" w:space="0" w:color="DA9896"/>
          <w:bottom w:val="single" w:sz="4" w:space="0" w:color="DA9896"/>
          <w:right w:val="single" w:sz="4" w:space="0" w:color="DA9896"/>
        </w:tcBorders>
        <w:shd w:val="clear" w:color="D99795" w:fill="D9979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single" w:sz="4" w:space="0" w:color="C7D9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9BBB59" w:fill="9BBB59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single" w:sz="4" w:space="0" w:color="B8A8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3A2C7"/>
          <w:left w:val="single" w:sz="4" w:space="0" w:color="B3A2C7"/>
          <w:bottom w:val="single" w:sz="4" w:space="0" w:color="B3A2C7"/>
          <w:right w:val="single" w:sz="4" w:space="0" w:color="B3A2C7"/>
        </w:tcBorders>
        <w:shd w:val="clear" w:color="B2A1C6" w:fill="B2A1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000000" w:fill="000000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pPr>
        <w:snapToGrid/>
      </w:pPr>
      <w:tblPr/>
      <w:tcPr>
        <w:shd w:val="clear" w:color="898989" w:fill="898989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9898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4F81BD" w:fill="4F81B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pPr>
        <w:snapToGrid/>
      </w:pPr>
      <w:tblPr/>
      <w:tcPr>
        <w:shd w:val="clear" w:color="AEC5E0" w:fill="AEC5E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EC5E0" w:fill="AEC5E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C0504D" w:fill="C0504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pPr>
        <w:snapToGrid/>
      </w:pPr>
      <w:tblPr/>
      <w:tcPr>
        <w:shd w:val="clear" w:color="E2AEAD" w:fill="E2AEA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2AEAD" w:fill="E2AEA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9BBB59" w:fill="9BBB59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pPr>
        <w:snapToGrid/>
      </w:pPr>
      <w:tblPr/>
      <w:tcPr>
        <w:shd w:val="clear" w:color="D1DFB2" w:fill="D1DFB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DFB2" w:fill="D1DFB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8064A2" w:fill="8064A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pPr>
        <w:snapToGrid/>
      </w:pPr>
      <w:tblPr/>
      <w:tcPr>
        <w:shd w:val="clear" w:color="C4B7D4" w:fill="C4B7D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C4B7D4" w:fill="C4B7D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4BACC6" w:fill="4BACC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pPr>
        <w:snapToGrid/>
      </w:pPr>
      <w:tblPr/>
      <w:tcPr>
        <w:shd w:val="clear" w:color="ACD8E4" w:fill="ACD8E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CD8E4" w:fill="ACD8E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79646" w:fill="F7964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pPr>
        <w:snapToGrid/>
      </w:pPr>
      <w:tblPr/>
      <w:tcPr>
        <w:shd w:val="clear" w:color="FBCEAA" w:fill="FBCEA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BCEAA" w:fill="FBCEA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b/>
        <w:color w:val="000000"/>
      </w:r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CACACA" w:fill="CACACA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7C0DE"/>
        <w:left w:val="single" w:sz="4" w:space="0" w:color="A7C0DE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12" w:space="0" w:color="A7C0DE"/>
        </w:tcBorders>
      </w:tcPr>
    </w:tblStylePr>
    <w:tblStylePr w:type="lastRow">
      <w:pPr>
        <w:snapToGrid/>
      </w:pPr>
      <w:rPr>
        <w:b/>
        <w:color w:val="2E4B6E"/>
      </w:r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BE5F1" w:fill="DBE5F1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b/>
        <w:color w:val="702E2C"/>
      </w:r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12" w:space="0" w:color="9BBB59"/>
        </w:tcBorders>
      </w:tcPr>
    </w:tblStylePr>
    <w:tblStylePr w:type="lastRow">
      <w:pPr>
        <w:snapToGrid/>
      </w:pPr>
      <w:rPr>
        <w:b/>
        <w:color w:val="5A6D34"/>
      </w:r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AF1DD" w:fill="EAF1DD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b/>
        <w:color w:val="4A3A5E"/>
      </w:r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4BACC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F7964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DE9D9" w:fill="FDE9D9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tblPr>
      <w:tblBorders>
        <w:top w:val="nil"/>
        <w:left w:val="nil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1F1F1" w:fill="F1F1F1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top w:val="nil"/>
        <w:left w:val="nil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7C0DE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single" w:sz="4" w:space="0" w:color="A7C0DE"/>
          <w:left w:val="none" w:sz="0" w:space="0" w:color="000000"/>
          <w:bottom w:val="none" w:sz="0" w:space="0" w:color="000000"/>
          <w:right w:val="single" w:sz="4" w:space="0" w:color="A7C0DE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A7C0D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BE5F1" w:fill="DBE5F1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top w:val="nil"/>
        <w:left w:val="nil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top w:val="nil"/>
        <w:left w:val="nil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9BBB59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AF1DD" w:fill="EAF1DD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top w:val="nil"/>
        <w:left w:val="nil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top w:val="nil"/>
        <w:left w:val="nil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D1DF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single" w:sz="4" w:space="0" w:color="9AD1DF"/>
          <w:left w:val="none" w:sz="0" w:space="0" w:color="000000"/>
          <w:bottom w:val="none" w:sz="0" w:space="0" w:color="000000"/>
          <w:right w:val="single" w:sz="4" w:space="0" w:color="9AD1DF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AD1D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top w:val="nil"/>
        <w:left w:val="nil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BC49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single" w:sz="4" w:space="0" w:color="FBC497"/>
          <w:left w:val="none" w:sz="0" w:space="0" w:color="000000"/>
          <w:bottom w:val="none" w:sz="0" w:space="0" w:color="000000"/>
          <w:right w:val="single" w:sz="4" w:space="0" w:color="FBC49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BC4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DE9D9" w:fill="FDE9D9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EBEB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single" w:sz="4" w:space="0" w:color="C0504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FD3D2" w:fill="EFD3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5EDD5" w:fill="E5ED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single" w:sz="4" w:space="0" w:color="8064A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CE4D0" w:fill="FC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707070"/>
        <w:left w:val="nil"/>
        <w:bottom w:val="single" w:sz="4" w:space="0" w:color="707070"/>
        <w:right w:val="nil"/>
        <w:insideH w:val="single" w:sz="4" w:space="0" w:color="70707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CB8DA"/>
        <w:left w:val="nil"/>
        <w:bottom w:val="single" w:sz="4" w:space="0" w:color="9CB8DA"/>
        <w:right w:val="nil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C9D9B"/>
        <w:left w:val="nil"/>
        <w:bottom w:val="single" w:sz="4" w:space="0" w:color="DC9D9B"/>
        <w:right w:val="nil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7D9A2"/>
        <w:left w:val="nil"/>
        <w:bottom w:val="single" w:sz="4" w:space="0" w:color="C7D9A2"/>
        <w:right w:val="nil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8A8CB"/>
        <w:left w:val="nil"/>
        <w:bottom w:val="single" w:sz="4" w:space="0" w:color="B8A8CB"/>
        <w:right w:val="nil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AD1DF"/>
        <w:left w:val="nil"/>
        <w:bottom w:val="single" w:sz="4" w:space="0" w:color="9AD1DF"/>
        <w:right w:val="nil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BC497"/>
        <w:left w:val="nil"/>
        <w:bottom w:val="single" w:sz="4" w:space="0" w:color="FBC497"/>
        <w:right w:val="nil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  <w:right w:val="single" w:sz="4" w:space="0" w:color="4F81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D99795" w:fill="D9979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A9896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9896"/>
          <w:bottom w:val="single" w:sz="4" w:space="0" w:color="DA9896"/>
          <w:right w:val="single" w:sz="4" w:space="0" w:color="DA989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3D69C" w:fill="C3D69C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  <w:right w:val="single" w:sz="4" w:space="0" w:color="C3D69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3A2C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A2C7"/>
          <w:bottom w:val="single" w:sz="4" w:space="0" w:color="B3A2C7"/>
          <w:right w:val="single" w:sz="4" w:space="0" w:color="B3A2C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3CDDD"/>
        <w:left w:val="single" w:sz="4" w:space="0" w:color="93CDDD"/>
        <w:bottom w:val="single" w:sz="4" w:space="0" w:color="93CDDD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3CDD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3CDDD"/>
          <w:bottom w:val="single" w:sz="4" w:space="0" w:color="93CDDD"/>
          <w:right w:val="single" w:sz="4" w:space="0" w:color="93CDD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  <w:right w:val="single" w:sz="4" w:space="0" w:color="FAC09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808080"/>
        <w:left w:val="single" w:sz="32" w:space="0" w:color="808080"/>
        <w:bottom w:val="single" w:sz="32" w:space="0" w:color="808080"/>
        <w:right w:val="single" w:sz="32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808080"/>
          <w:bottom w:val="single" w:sz="12" w:space="0" w:color="FFFFFF"/>
          <w:right w:val="single" w:sz="32" w:space="0" w:color="808080"/>
        </w:tcBorders>
        <w:shd w:val="clear" w:color="7E7E7E" w:fill="7E7E7E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80808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7E7E7E" w:fill="7E7E7E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7E7E7E" w:fill="7E7E7E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7E7E7E" w:fill="7E7E7E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  <w:right w:val="single" w:sz="32" w:space="0" w:color="4F81BD"/>
        </w:tcBorders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4F81BD" w:fill="4F81BD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4F81BD" w:fill="4F81B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A9896"/>
        <w:left w:val="single" w:sz="32" w:space="0" w:color="DA9896"/>
        <w:bottom w:val="single" w:sz="32" w:space="0" w:color="DA9896"/>
        <w:right w:val="single" w:sz="32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A9896"/>
          <w:bottom w:val="single" w:sz="12" w:space="0" w:color="FFFFFF"/>
          <w:right w:val="single" w:sz="32" w:space="0" w:color="DA9896"/>
        </w:tcBorders>
        <w:shd w:val="clear" w:color="D99795" w:fill="D9979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A9896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D99795" w:fill="D99795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D99795" w:fill="D99795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D99795" w:fill="D99795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  <w:right w:val="single" w:sz="32" w:space="0" w:color="C3D69B"/>
        </w:tcBorders>
        <w:shd w:val="clear" w:color="C3D69C" w:fill="C3D69C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C3D69C" w:fill="C3D69C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C3D69C" w:fill="C3D69C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C3D69C" w:fill="C3D69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3A2C7"/>
        <w:left w:val="single" w:sz="32" w:space="0" w:color="B3A2C7"/>
        <w:bottom w:val="single" w:sz="32" w:space="0" w:color="B3A2C7"/>
        <w:right w:val="single" w:sz="32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3A2C7"/>
          <w:bottom w:val="single" w:sz="12" w:space="0" w:color="FFFFFF"/>
          <w:right w:val="single" w:sz="32" w:space="0" w:color="B3A2C7"/>
        </w:tcBorders>
        <w:shd w:val="clear" w:color="B2A1C6" w:fill="B2A1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3A2C7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B2A1C6" w:fill="B2A1C6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B2A1C6" w:fill="B2A1C6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3CDDD"/>
        <w:left w:val="single" w:sz="32" w:space="0" w:color="93CDDD"/>
        <w:bottom w:val="single" w:sz="32" w:space="0" w:color="93CDDD"/>
        <w:right w:val="single" w:sz="32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3CDDD"/>
          <w:bottom w:val="single" w:sz="12" w:space="0" w:color="FFFFFF"/>
          <w:right w:val="single" w:sz="32" w:space="0" w:color="93CDDD"/>
        </w:tcBorders>
        <w:shd w:val="clear" w:color="92CCDC" w:fill="92CCDC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3CDD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92CCDC" w:fill="92CCDC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92CCDC" w:fill="92C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  <w:right w:val="single" w:sz="32" w:space="0" w:color="FAC090"/>
        </w:tcBorders>
        <w:shd w:val="clear" w:color="FAC090" w:fill="FAC09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AC090" w:fill="FAC090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AC090" w:fill="FAC09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808080"/>
        <w:left w:val="nil"/>
        <w:bottom w:val="single" w:sz="4" w:space="0" w:color="80808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4" w:space="0" w:color="808080"/>
        </w:tcBorders>
      </w:tcPr>
    </w:tblStylePr>
    <w:tblStylePr w:type="lastRow">
      <w:pPr>
        <w:snapToGrid/>
      </w:pPr>
      <w:rPr>
        <w:b/>
        <w:color w:val="000000"/>
      </w:rPr>
      <w:tblPr/>
      <w:tcPr>
        <w:tcBorders>
          <w:top w:val="single" w:sz="4" w:space="0" w:color="808080"/>
          <w:right w:val="single" w:sz="4" w:space="0" w:color="808080"/>
        </w:tcBorders>
      </w:tc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BEBEBE" w:fill="BEBEBE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/>
        <w:left w:val="nil"/>
        <w:bottom w:val="single" w:sz="4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4" w:space="0" w:color="4F81BD"/>
        </w:tcBorders>
      </w:tcPr>
    </w:tblStylePr>
    <w:tblStylePr w:type="lastRow">
      <w:pPr>
        <w:snapToGrid/>
      </w:pPr>
      <w:rPr>
        <w:b/>
        <w:color w:val="2E4B6E"/>
      </w:rPr>
      <w:tblPr/>
      <w:tcPr>
        <w:tcBorders>
          <w:top w:val="single" w:sz="4" w:space="0" w:color="4F81BD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A9896"/>
        <w:left w:val="nil"/>
        <w:bottom w:val="single" w:sz="4" w:space="0" w:color="DA989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4" w:space="0" w:color="DA9896"/>
        </w:tcBorders>
      </w:tcPr>
    </w:tblStylePr>
    <w:tblStylePr w:type="lastRow">
      <w:pPr>
        <w:snapToGrid/>
      </w:pPr>
      <w:rPr>
        <w:b/>
        <w:color w:val="702E2C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EFD3D2" w:fill="EFD3D2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/>
        <w:left w:val="nil"/>
        <w:bottom w:val="single" w:sz="4" w:space="0" w:color="C3D69B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4" w:space="0" w:color="C3D69B"/>
        </w:tcBorders>
      </w:tcPr>
    </w:tblStylePr>
    <w:tblStylePr w:type="lastRow">
      <w:pPr>
        <w:snapToGrid/>
      </w:pPr>
      <w:rPr>
        <w:b/>
        <w:color w:val="5A6D34"/>
      </w:rPr>
      <w:tblPr/>
      <w:tcPr>
        <w:tcBorders>
          <w:top w:val="single" w:sz="4" w:space="0" w:color="C3D69B"/>
          <w:right w:val="single" w:sz="4" w:space="0" w:color="C3D69B"/>
        </w:tcBorders>
      </w:tc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5EDD5" w:fill="E5EDD5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3A2C7"/>
        <w:left w:val="nil"/>
        <w:bottom w:val="single" w:sz="4" w:space="0" w:color="B3A2C7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4" w:space="0" w:color="B3A2C7"/>
        </w:tcBorders>
      </w:tcPr>
    </w:tblStylePr>
    <w:tblStylePr w:type="lastRow">
      <w:pPr>
        <w:snapToGrid/>
      </w:pPr>
      <w:rPr>
        <w:b/>
        <w:color w:val="4A3A5E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3CDDD"/>
        <w:left w:val="nil"/>
        <w:bottom w:val="single" w:sz="4" w:space="0" w:color="93CDD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4" w:space="0" w:color="93CDDD"/>
        </w:tcBorders>
      </w:tcPr>
    </w:tblStylePr>
    <w:tblStylePr w:type="lastRow">
      <w:pPr>
        <w:snapToGrid/>
      </w:pPr>
      <w:rPr>
        <w:b/>
        <w:color w:val="2B6473"/>
      </w:rPr>
      <w:tblPr/>
      <w:tcPr>
        <w:tcBorders>
          <w:top w:val="single" w:sz="4" w:space="0" w:color="93CDDD"/>
          <w:right w:val="single" w:sz="4" w:space="0" w:color="93CDDD"/>
        </w:tcBorders>
      </w:tc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/>
        <w:left w:val="nil"/>
        <w:bottom w:val="single" w:sz="4" w:space="0" w:color="FAC09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05728"/>
      </w:rPr>
      <w:tblPr/>
      <w:tcPr>
        <w:tcBorders>
          <w:bottom w:val="single" w:sz="4" w:space="0" w:color="FAC090"/>
        </w:tcBorders>
      </w:tcPr>
    </w:tblStylePr>
    <w:tblStylePr w:type="lastRow">
      <w:pPr>
        <w:snapToGrid/>
      </w:pPr>
      <w:rPr>
        <w:b/>
        <w:color w:val="905728"/>
      </w:rPr>
      <w:tblPr/>
      <w:tcPr>
        <w:tcBorders>
          <w:top w:val="single" w:sz="4" w:space="0" w:color="FAC090"/>
          <w:right w:val="single" w:sz="4" w:space="0" w:color="FAC090"/>
        </w:tcBorders>
      </w:tcPr>
    </w:tblStylePr>
    <w:tblStylePr w:type="firstCol">
      <w:pPr>
        <w:snapToGrid/>
      </w:pPr>
      <w:rPr>
        <w:b/>
        <w:color w:val="905728"/>
      </w:rPr>
    </w:tblStylePr>
    <w:tblStylePr w:type="lastCol">
      <w:pPr>
        <w:snapToGrid/>
      </w:pPr>
      <w:rPr>
        <w:b/>
        <w:color w:val="905728"/>
      </w:rPr>
    </w:tblStylePr>
    <w:tblStylePr w:type="band1Vert">
      <w:pPr>
        <w:snapToGrid/>
      </w:p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CE4D0" w:fill="FCE4D0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tblPr>
      <w:tblBorders>
        <w:top w:val="nil"/>
        <w:left w:val="nil"/>
        <w:bottom w:val="nil"/>
        <w:right w:val="single" w:sz="4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BEBEBE" w:fill="BEBEBE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top w:val="nil"/>
        <w:left w:val="nil"/>
        <w:bottom w:val="nil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top w:val="nil"/>
        <w:left w:val="nil"/>
        <w:bottom w:val="nil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EFD3D2" w:fill="EFD3D2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top w:val="nil"/>
        <w:left w:val="nil"/>
        <w:bottom w:val="nil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5EDD5" w:fill="E5EDD5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top w:val="nil"/>
        <w:left w:val="nil"/>
        <w:bottom w:val="nil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top w:val="nil"/>
        <w:left w:val="nil"/>
        <w:bottom w:val="nil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3CDD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single" w:sz="4" w:space="0" w:color="93CDDD"/>
          <w:left w:val="none" w:sz="0" w:space="0" w:color="000000"/>
          <w:bottom w:val="none" w:sz="0" w:space="0" w:color="000000"/>
          <w:right w:val="single" w:sz="4" w:space="0" w:color="93CDD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3CDD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top w:val="nil"/>
        <w:left w:val="nil"/>
        <w:bottom w:val="nil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CE4D0" w:fill="FCE4D0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B71"/>
        <w:left w:val="single" w:sz="4" w:space="0" w:color="2A4B71"/>
        <w:bottom w:val="single" w:sz="4" w:space="0" w:color="2A4B71"/>
        <w:right w:val="single" w:sz="4" w:space="0" w:color="2A4B71"/>
        <w:insideH w:val="single" w:sz="4" w:space="0" w:color="2A4B71"/>
        <w:insideV w:val="single" w:sz="4" w:space="0" w:color="2A4B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B29"/>
        <w:left w:val="single" w:sz="4" w:space="0" w:color="732B29"/>
        <w:bottom w:val="single" w:sz="4" w:space="0" w:color="732B29"/>
        <w:right w:val="single" w:sz="4" w:space="0" w:color="732B29"/>
        <w:insideH w:val="single" w:sz="4" w:space="0" w:color="732B29"/>
        <w:insideV w:val="single" w:sz="4" w:space="0" w:color="732B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C722F"/>
        <w:left w:val="single" w:sz="4" w:space="0" w:color="5C722F"/>
        <w:bottom w:val="single" w:sz="4" w:space="0" w:color="5C722F"/>
        <w:right w:val="single" w:sz="4" w:space="0" w:color="5C722F"/>
        <w:insideH w:val="single" w:sz="4" w:space="0" w:color="5C722F"/>
        <w:insideV w:val="single" w:sz="4" w:space="0" w:color="5C722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8"/>
        <w:left w:val="single" w:sz="4" w:space="0" w:color="266778"/>
        <w:bottom w:val="single" w:sz="4" w:space="0" w:color="266778"/>
        <w:right w:val="single" w:sz="4" w:space="0" w:color="266778"/>
        <w:insideH w:val="single" w:sz="4" w:space="0" w:color="266778"/>
        <w:insideV w:val="single" w:sz="4" w:space="0" w:color="2667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05408"/>
        <w:left w:val="single" w:sz="4" w:space="0" w:color="B05408"/>
        <w:bottom w:val="single" w:sz="4" w:space="0" w:color="B05408"/>
        <w:right w:val="single" w:sz="4" w:space="0" w:color="B05408"/>
        <w:insideH w:val="single" w:sz="4" w:space="0" w:color="B05408"/>
        <w:insideV w:val="single" w:sz="4" w:space="0" w:color="B0540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08080"/>
          <w:right w:val="single" w:sz="12" w:space="0" w:color="8080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080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  <w:right w:val="single" w:sz="12" w:space="0" w:color="4F81B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A9896"/>
          <w:right w:val="single" w:sz="12" w:space="0" w:color="DA9896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A9896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  <w:right w:val="single" w:sz="12" w:space="0" w:color="C3D69B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3A2C7"/>
          <w:right w:val="single" w:sz="12" w:space="0" w:color="B3A2C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3A2C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3CDD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3CDDD"/>
          <w:right w:val="single" w:sz="12" w:space="0" w:color="93CDD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3CDD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  <w:right w:val="single" w:sz="12" w:space="0" w:color="FAC09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af">
    <w:name w:val="脚注文本 字符"/>
    <w:link w:val="ae"/>
    <w:uiPriority w:val="99"/>
    <w:rPr>
      <w:sz w:val="18"/>
    </w:rPr>
  </w:style>
  <w:style w:type="paragraph" w:styleId="TOC">
    <w:name w:val="TOC Heading"/>
    <w:basedOn w:val="a"/>
    <w:uiPriority w:val="39"/>
    <w:qFormat/>
    <w:rPr>
      <w:sz w:val="22"/>
    </w:rPr>
  </w:style>
  <w:style w:type="character" w:customStyle="1" w:styleId="ab">
    <w:name w:val="页眉 字符"/>
    <w:link w:val="aa"/>
    <w:uiPriority w:val="99"/>
    <w:rPr>
      <w:rFonts w:cs="Times New Roman"/>
      <w:sz w:val="18"/>
      <w:szCs w:val="18"/>
    </w:rPr>
  </w:style>
  <w:style w:type="character" w:customStyle="1" w:styleId="a9">
    <w:name w:val="页脚 字符"/>
    <w:link w:val="a8"/>
    <w:uiPriority w:val="99"/>
    <w:rPr>
      <w:rFonts w:cs="Times New Roman"/>
      <w:sz w:val="18"/>
      <w:szCs w:val="18"/>
    </w:rPr>
  </w:style>
  <w:style w:type="character" w:customStyle="1" w:styleId="a7">
    <w:name w:val="批注框文本 字符"/>
    <w:link w:val="a6"/>
    <w:uiPriority w:val="99"/>
    <w:semiHidden/>
    <w:rPr>
      <w:rFonts w:cs="Times New Roman"/>
      <w:sz w:val="18"/>
      <w:szCs w:val="18"/>
    </w:rPr>
  </w:style>
  <w:style w:type="character" w:customStyle="1" w:styleId="Char">
    <w:name w:val="批注文字 Char"/>
    <w:link w:val="annotationtext"/>
    <w:uiPriority w:val="99"/>
    <w:semiHidden/>
    <w:rPr>
      <w:rFonts w:cs="Times New Roman"/>
      <w:sz w:val="22"/>
      <w:szCs w:val="22"/>
    </w:rPr>
  </w:style>
  <w:style w:type="character" w:customStyle="1" w:styleId="Char0">
    <w:name w:val="批注主题 Char"/>
    <w:link w:val="annotationsubject"/>
    <w:uiPriority w:val="99"/>
    <w:semiHidden/>
    <w:rPr>
      <w:rFonts w:cs="Times New Roman"/>
      <w:b/>
      <w:bCs/>
      <w:sz w:val="22"/>
      <w:szCs w:val="22"/>
    </w:rPr>
  </w:style>
  <w:style w:type="paragraph" w:styleId="afd">
    <w:name w:val="Revision"/>
    <w:basedOn w:val="a"/>
    <w:hidden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4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dcterms:created xsi:type="dcterms:W3CDTF">2026-04-03T16:01:00Z</dcterms:created>
  <dcterms:modified xsi:type="dcterms:W3CDTF">2026-04-03T16:01:00Z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17929CAEFA4F4F0C932F1D9C28BC1A9D_12</vt:lpwstr>
  </property>
</Properties>
</file>