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2C" w:rsidRDefault="00962A2C" w:rsidP="005B6E4B">
      <w:pPr>
        <w:spacing w:line="360" w:lineRule="auto"/>
        <w:ind w:leftChars="86" w:left="181" w:firstLineChars="200" w:firstLine="482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华安基金管理有限公司</w:t>
      </w:r>
    </w:p>
    <w:p w:rsidR="005B6E4B" w:rsidRPr="005B6E4B" w:rsidRDefault="005B6E4B" w:rsidP="005B6E4B">
      <w:pPr>
        <w:spacing w:line="360" w:lineRule="auto"/>
        <w:ind w:leftChars="86" w:left="181" w:firstLineChars="200" w:firstLine="482"/>
        <w:jc w:val="center"/>
        <w:rPr>
          <w:b/>
          <w:sz w:val="24"/>
        </w:rPr>
      </w:pPr>
      <w:r w:rsidRPr="005B6E4B">
        <w:rPr>
          <w:b/>
          <w:sz w:val="24"/>
        </w:rPr>
        <w:t>关于旗下基金</w:t>
      </w:r>
      <w:r w:rsidR="00897514" w:rsidRPr="00862D68">
        <w:rPr>
          <w:rFonts w:hint="eastAsia"/>
          <w:b/>
          <w:sz w:val="24"/>
        </w:rPr>
        <w:t>所持股票</w:t>
      </w:r>
      <w:r w:rsidR="00FF1773">
        <w:rPr>
          <w:rFonts w:hint="eastAsia"/>
          <w:b/>
          <w:sz w:val="24"/>
        </w:rPr>
        <w:t>长源东谷</w:t>
      </w:r>
      <w:r w:rsidR="00897514" w:rsidRPr="00862D68">
        <w:rPr>
          <w:rFonts w:hint="eastAsia"/>
          <w:b/>
          <w:sz w:val="24"/>
        </w:rPr>
        <w:t>（</w:t>
      </w:r>
      <w:r w:rsidR="00095F67">
        <w:rPr>
          <w:b/>
          <w:sz w:val="24"/>
        </w:rPr>
        <w:t>6</w:t>
      </w:r>
      <w:r w:rsidR="00FF1773">
        <w:rPr>
          <w:rFonts w:hint="eastAsia"/>
          <w:b/>
          <w:sz w:val="24"/>
        </w:rPr>
        <w:t>03950</w:t>
      </w:r>
      <w:r w:rsidR="00897514" w:rsidRPr="00862D68">
        <w:rPr>
          <w:rFonts w:hint="eastAsia"/>
          <w:b/>
          <w:sz w:val="24"/>
        </w:rPr>
        <w:t>）</w:t>
      </w:r>
      <w:r w:rsidRPr="005B6E4B">
        <w:rPr>
          <w:b/>
          <w:sz w:val="24"/>
        </w:rPr>
        <w:t>估值</w:t>
      </w:r>
      <w:r w:rsidR="00897514">
        <w:rPr>
          <w:rFonts w:hint="eastAsia"/>
          <w:b/>
          <w:sz w:val="24"/>
        </w:rPr>
        <w:t>调整</w:t>
      </w:r>
      <w:r w:rsidRPr="005B6E4B">
        <w:rPr>
          <w:b/>
          <w:sz w:val="24"/>
        </w:rPr>
        <w:t>的公告</w:t>
      </w:r>
    </w:p>
    <w:p w:rsidR="006E21CE" w:rsidRDefault="006E21CE" w:rsidP="005B6E4B">
      <w:pPr>
        <w:spacing w:line="360" w:lineRule="auto"/>
        <w:ind w:leftChars="86" w:left="181" w:firstLineChars="200" w:firstLine="480"/>
        <w:rPr>
          <w:rFonts w:hint="eastAsia"/>
          <w:sz w:val="24"/>
        </w:rPr>
      </w:pPr>
    </w:p>
    <w:p w:rsidR="0066473E" w:rsidRPr="00897514" w:rsidRDefault="0066473E" w:rsidP="005B6E4B">
      <w:pPr>
        <w:spacing w:line="360" w:lineRule="auto"/>
        <w:ind w:leftChars="86" w:left="181" w:firstLineChars="200" w:firstLine="480"/>
        <w:rPr>
          <w:rFonts w:hint="eastAsia"/>
          <w:sz w:val="24"/>
        </w:rPr>
      </w:pPr>
    </w:p>
    <w:p w:rsidR="005B6E4B" w:rsidRPr="005B6E4B" w:rsidRDefault="009347FE" w:rsidP="00E23DC4">
      <w:pPr>
        <w:spacing w:line="360" w:lineRule="auto"/>
        <w:ind w:leftChars="86" w:left="181" w:firstLineChars="200" w:firstLine="480"/>
        <w:rPr>
          <w:sz w:val="24"/>
        </w:rPr>
      </w:pPr>
      <w:r w:rsidRPr="009347FE">
        <w:rPr>
          <w:rFonts w:hint="eastAsia"/>
          <w:sz w:val="24"/>
        </w:rPr>
        <w:t>根据《中国证监会关于证券投资基金估值业务的指导意见》（中国证券监督管理委员会公告</w:t>
      </w:r>
      <w:r w:rsidRPr="009347FE">
        <w:rPr>
          <w:rFonts w:hint="eastAsia"/>
          <w:sz w:val="24"/>
        </w:rPr>
        <w:t>[2017]13</w:t>
      </w:r>
      <w:r w:rsidRPr="009347FE">
        <w:rPr>
          <w:rFonts w:hint="eastAsia"/>
          <w:sz w:val="24"/>
        </w:rPr>
        <w:t>号）等有关规定</w:t>
      </w:r>
      <w:r w:rsidR="005B6E4B" w:rsidRPr="005B6E4B">
        <w:rPr>
          <w:sz w:val="24"/>
        </w:rPr>
        <w:t>，为使持有长期停牌股票的基金估值更加公平、合理，更好的维护持有人利益，经与托管银行协商一致，本公司决定自</w:t>
      </w:r>
      <w:r w:rsidR="00867EFB" w:rsidRPr="0028303B">
        <w:rPr>
          <w:rFonts w:hint="eastAsia"/>
          <w:sz w:val="24"/>
        </w:rPr>
        <w:t>20</w:t>
      </w:r>
      <w:r w:rsidR="0083125E" w:rsidRPr="0028303B">
        <w:rPr>
          <w:sz w:val="24"/>
        </w:rPr>
        <w:t>2</w:t>
      </w:r>
      <w:r w:rsidR="0028303B" w:rsidRPr="0028303B">
        <w:rPr>
          <w:rFonts w:hint="eastAsia"/>
          <w:sz w:val="24"/>
        </w:rPr>
        <w:t>6</w:t>
      </w:r>
      <w:r w:rsidR="00867EFB" w:rsidRPr="0028303B">
        <w:rPr>
          <w:sz w:val="24"/>
        </w:rPr>
        <w:t>年</w:t>
      </w:r>
      <w:r w:rsidR="0028303B" w:rsidRPr="0028303B">
        <w:rPr>
          <w:rFonts w:hint="eastAsia"/>
          <w:sz w:val="24"/>
        </w:rPr>
        <w:t>4</w:t>
      </w:r>
      <w:r w:rsidR="000D785E" w:rsidRPr="0028303B">
        <w:rPr>
          <w:sz w:val="24"/>
        </w:rPr>
        <w:t>月</w:t>
      </w:r>
      <w:r w:rsidR="00442FA3">
        <w:rPr>
          <w:rFonts w:hint="eastAsia"/>
          <w:sz w:val="24"/>
        </w:rPr>
        <w:t>2</w:t>
      </w:r>
      <w:r w:rsidR="005B6E4B" w:rsidRPr="0028303B">
        <w:rPr>
          <w:sz w:val="24"/>
        </w:rPr>
        <w:t>日</w:t>
      </w:r>
      <w:r w:rsidR="005B6E4B" w:rsidRPr="005B6E4B">
        <w:rPr>
          <w:sz w:val="24"/>
        </w:rPr>
        <w:t>起对旗下基</w:t>
      </w:r>
      <w:r w:rsidR="005B6E4B" w:rsidRPr="0061710B">
        <w:rPr>
          <w:sz w:val="24"/>
        </w:rPr>
        <w:t>金</w:t>
      </w:r>
      <w:r w:rsidR="00E71983">
        <w:rPr>
          <w:rFonts w:hint="eastAsia"/>
          <w:sz w:val="24"/>
        </w:rPr>
        <w:t>（</w:t>
      </w:r>
      <w:r w:rsidR="00E71983">
        <w:rPr>
          <w:rFonts w:hint="eastAsia"/>
          <w:sz w:val="24"/>
        </w:rPr>
        <w:t>ETF</w:t>
      </w:r>
      <w:r w:rsidR="00E71983">
        <w:rPr>
          <w:rFonts w:hint="eastAsia"/>
          <w:sz w:val="24"/>
        </w:rPr>
        <w:t>基金除外）</w:t>
      </w:r>
      <w:r w:rsidR="005B6E4B" w:rsidRPr="0061710B">
        <w:rPr>
          <w:sz w:val="24"/>
        </w:rPr>
        <w:t>所持有的</w:t>
      </w:r>
      <w:r w:rsidR="00FF1773" w:rsidRPr="00FF1773">
        <w:rPr>
          <w:rFonts w:hint="eastAsia"/>
          <w:sz w:val="24"/>
        </w:rPr>
        <w:t>长源东谷（</w:t>
      </w:r>
      <w:r w:rsidR="00FF1773" w:rsidRPr="00FF1773">
        <w:rPr>
          <w:sz w:val="24"/>
        </w:rPr>
        <w:t>6</w:t>
      </w:r>
      <w:r w:rsidR="00FF1773" w:rsidRPr="00FF1773">
        <w:rPr>
          <w:rFonts w:hint="eastAsia"/>
          <w:sz w:val="24"/>
        </w:rPr>
        <w:t>03950</w:t>
      </w:r>
      <w:r w:rsidR="00FF1773" w:rsidRPr="00FF1773">
        <w:rPr>
          <w:rFonts w:hint="eastAsia"/>
          <w:sz w:val="24"/>
        </w:rPr>
        <w:t>）</w:t>
      </w:r>
      <w:r w:rsidR="005B6E4B" w:rsidRPr="0061710B">
        <w:rPr>
          <w:sz w:val="24"/>
        </w:rPr>
        <w:t>采用</w:t>
      </w:r>
      <w:r w:rsidR="005B6E4B" w:rsidRPr="0061710B">
        <w:rPr>
          <w:sz w:val="24"/>
        </w:rPr>
        <w:t>“</w:t>
      </w:r>
      <w:r w:rsidR="005B6E4B" w:rsidRPr="0061710B">
        <w:rPr>
          <w:sz w:val="24"/>
        </w:rPr>
        <w:t>指数收益法</w:t>
      </w:r>
      <w:r w:rsidR="005B6E4B" w:rsidRPr="0061710B">
        <w:rPr>
          <w:sz w:val="24"/>
        </w:rPr>
        <w:t>”</w:t>
      </w:r>
      <w:r w:rsidR="005B6E4B" w:rsidRPr="0061710B">
        <w:rPr>
          <w:sz w:val="24"/>
        </w:rPr>
        <w:t>予以估值。</w:t>
      </w:r>
      <w:r w:rsidR="005B6E4B">
        <w:rPr>
          <w:sz w:val="24"/>
        </w:rPr>
        <w:t>在</w:t>
      </w:r>
      <w:r w:rsidR="007B7498">
        <w:rPr>
          <w:rFonts w:hint="eastAsia"/>
          <w:sz w:val="24"/>
        </w:rPr>
        <w:t>该</w:t>
      </w:r>
      <w:r w:rsidR="005B6E4B" w:rsidRPr="005B6E4B">
        <w:rPr>
          <w:sz w:val="24"/>
        </w:rPr>
        <w:t>股票复牌且其交易体现了活跃市场交易特征后，按市场价格进行估值，届时不再另行公告。敬请投资者予以关注。</w:t>
      </w:r>
    </w:p>
    <w:p w:rsidR="00071378" w:rsidRDefault="00071378" w:rsidP="00D2015D">
      <w:pPr>
        <w:spacing w:line="360" w:lineRule="auto"/>
        <w:ind w:leftChars="86" w:left="181" w:firstLineChars="200" w:firstLine="480"/>
        <w:rPr>
          <w:rFonts w:hint="eastAsia"/>
          <w:sz w:val="24"/>
        </w:rPr>
      </w:pPr>
    </w:p>
    <w:p w:rsidR="005B6E4B" w:rsidRPr="005B6E4B" w:rsidRDefault="005B6E4B" w:rsidP="00D2015D">
      <w:pPr>
        <w:spacing w:line="360" w:lineRule="auto"/>
        <w:ind w:leftChars="86" w:left="181" w:firstLineChars="200" w:firstLine="480"/>
        <w:rPr>
          <w:sz w:val="24"/>
        </w:rPr>
      </w:pPr>
      <w:r w:rsidRPr="005B6E4B">
        <w:rPr>
          <w:sz w:val="24"/>
        </w:rPr>
        <w:t>特此公告</w:t>
      </w:r>
      <w:r w:rsidR="001455C4">
        <w:rPr>
          <w:rFonts w:hint="eastAsia"/>
          <w:sz w:val="24"/>
        </w:rPr>
        <w:t>。</w:t>
      </w:r>
    </w:p>
    <w:p w:rsidR="005B6E4B" w:rsidRDefault="005B6E4B" w:rsidP="005B6E4B">
      <w:pPr>
        <w:spacing w:line="360" w:lineRule="auto"/>
        <w:ind w:leftChars="86" w:left="181" w:firstLineChars="200" w:firstLine="480"/>
        <w:rPr>
          <w:rFonts w:hint="eastAsia"/>
          <w:sz w:val="24"/>
        </w:rPr>
      </w:pPr>
      <w:r w:rsidRPr="005B6E4B">
        <w:rPr>
          <w:sz w:val="24"/>
        </w:rPr>
        <w:t xml:space="preserve">　　</w:t>
      </w:r>
    </w:p>
    <w:p w:rsidR="005B6E4B" w:rsidRPr="005B6E4B" w:rsidRDefault="005B6E4B" w:rsidP="005B6E4B">
      <w:pPr>
        <w:spacing w:line="360" w:lineRule="auto"/>
        <w:ind w:leftChars="86" w:left="181" w:firstLineChars="200" w:firstLine="480"/>
        <w:jc w:val="right"/>
        <w:rPr>
          <w:sz w:val="24"/>
        </w:rPr>
      </w:pPr>
      <w:r w:rsidRPr="005B6E4B">
        <w:rPr>
          <w:sz w:val="24"/>
        </w:rPr>
        <w:t>华安基金管理有限公司</w:t>
      </w:r>
    </w:p>
    <w:p w:rsidR="005B6E4B" w:rsidRPr="005B6E4B" w:rsidRDefault="005B6E4B" w:rsidP="00A11870">
      <w:pPr>
        <w:spacing w:line="360" w:lineRule="auto"/>
        <w:ind w:leftChars="86" w:left="181" w:firstLineChars="200" w:firstLine="480"/>
        <w:jc w:val="right"/>
        <w:rPr>
          <w:sz w:val="24"/>
        </w:rPr>
      </w:pPr>
      <w:r w:rsidRPr="005B6E4B">
        <w:rPr>
          <w:sz w:val="24"/>
        </w:rPr>
        <w:t xml:space="preserve">　　</w:t>
      </w:r>
      <w:r w:rsidR="00867EFB">
        <w:rPr>
          <w:rFonts w:hint="eastAsia"/>
          <w:sz w:val="24"/>
        </w:rPr>
        <w:t>20</w:t>
      </w:r>
      <w:r w:rsidR="0083125E">
        <w:rPr>
          <w:sz w:val="24"/>
        </w:rPr>
        <w:t>2</w:t>
      </w:r>
      <w:r w:rsidR="002152FE">
        <w:rPr>
          <w:rFonts w:hint="eastAsia"/>
          <w:sz w:val="24"/>
        </w:rPr>
        <w:t>6</w:t>
      </w:r>
      <w:r w:rsidR="00867EFB" w:rsidRPr="005B6E4B">
        <w:rPr>
          <w:sz w:val="24"/>
        </w:rPr>
        <w:t>年</w:t>
      </w:r>
      <w:r w:rsidR="0028303B">
        <w:rPr>
          <w:rFonts w:hint="eastAsia"/>
          <w:sz w:val="24"/>
        </w:rPr>
        <w:t>4</w:t>
      </w:r>
      <w:r w:rsidR="000D785E" w:rsidRPr="005B6E4B">
        <w:rPr>
          <w:sz w:val="24"/>
        </w:rPr>
        <w:t>月</w:t>
      </w:r>
      <w:r w:rsidR="0028303B">
        <w:rPr>
          <w:rFonts w:hint="eastAsia"/>
          <w:sz w:val="24"/>
        </w:rPr>
        <w:t>7</w:t>
      </w:r>
      <w:r w:rsidRPr="005B6E4B">
        <w:rPr>
          <w:sz w:val="24"/>
        </w:rPr>
        <w:t>日</w:t>
      </w:r>
    </w:p>
    <w:p w:rsidR="009E2919" w:rsidRPr="005B6E4B" w:rsidRDefault="009E2919" w:rsidP="005B6E4B">
      <w:pPr>
        <w:spacing w:line="360" w:lineRule="auto"/>
        <w:ind w:leftChars="86" w:left="181" w:firstLineChars="200" w:firstLine="480"/>
        <w:rPr>
          <w:sz w:val="24"/>
        </w:rPr>
      </w:pPr>
    </w:p>
    <w:sectPr w:rsidR="009E2919" w:rsidRPr="005B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94" w:rsidRDefault="006A6194" w:rsidP="008D0B33">
      <w:r>
        <w:separator/>
      </w:r>
    </w:p>
  </w:endnote>
  <w:endnote w:type="continuationSeparator" w:id="0">
    <w:p w:rsidR="006A6194" w:rsidRDefault="006A6194" w:rsidP="008D0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94" w:rsidRDefault="006A6194" w:rsidP="008D0B33">
      <w:r>
        <w:separator/>
      </w:r>
    </w:p>
  </w:footnote>
  <w:footnote w:type="continuationSeparator" w:id="0">
    <w:p w:rsidR="006A6194" w:rsidRDefault="006A6194" w:rsidP="008D0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E4B"/>
    <w:rsid w:val="00005290"/>
    <w:rsid w:val="00017166"/>
    <w:rsid w:val="00020E91"/>
    <w:rsid w:val="00022906"/>
    <w:rsid w:val="00032ADE"/>
    <w:rsid w:val="000503E7"/>
    <w:rsid w:val="00056B73"/>
    <w:rsid w:val="000624BE"/>
    <w:rsid w:val="00063266"/>
    <w:rsid w:val="00071378"/>
    <w:rsid w:val="0007792D"/>
    <w:rsid w:val="00077A53"/>
    <w:rsid w:val="0008027B"/>
    <w:rsid w:val="000910F1"/>
    <w:rsid w:val="000911B6"/>
    <w:rsid w:val="000936DF"/>
    <w:rsid w:val="00094C6A"/>
    <w:rsid w:val="0009575C"/>
    <w:rsid w:val="00095F67"/>
    <w:rsid w:val="000A045A"/>
    <w:rsid w:val="000A0A0D"/>
    <w:rsid w:val="000B4B84"/>
    <w:rsid w:val="000C52C0"/>
    <w:rsid w:val="000D22F2"/>
    <w:rsid w:val="000D3147"/>
    <w:rsid w:val="000D4201"/>
    <w:rsid w:val="000D579C"/>
    <w:rsid w:val="000D785E"/>
    <w:rsid w:val="000E38B5"/>
    <w:rsid w:val="000E5241"/>
    <w:rsid w:val="000E5781"/>
    <w:rsid w:val="000F092B"/>
    <w:rsid w:val="000F34CB"/>
    <w:rsid w:val="000F4C37"/>
    <w:rsid w:val="000F5B42"/>
    <w:rsid w:val="00110FF7"/>
    <w:rsid w:val="001131F3"/>
    <w:rsid w:val="0012019A"/>
    <w:rsid w:val="0013705F"/>
    <w:rsid w:val="001375B8"/>
    <w:rsid w:val="001440DA"/>
    <w:rsid w:val="001455C4"/>
    <w:rsid w:val="00146D45"/>
    <w:rsid w:val="00164174"/>
    <w:rsid w:val="00165230"/>
    <w:rsid w:val="00174A12"/>
    <w:rsid w:val="001779C6"/>
    <w:rsid w:val="00184F26"/>
    <w:rsid w:val="00187E73"/>
    <w:rsid w:val="00195333"/>
    <w:rsid w:val="0019750C"/>
    <w:rsid w:val="00197DAE"/>
    <w:rsid w:val="001A26B2"/>
    <w:rsid w:val="001C6269"/>
    <w:rsid w:val="001D7971"/>
    <w:rsid w:val="001F100C"/>
    <w:rsid w:val="001F4FD0"/>
    <w:rsid w:val="002013EC"/>
    <w:rsid w:val="00205E61"/>
    <w:rsid w:val="00211510"/>
    <w:rsid w:val="002152FE"/>
    <w:rsid w:val="00220A2F"/>
    <w:rsid w:val="002344F8"/>
    <w:rsid w:val="00242051"/>
    <w:rsid w:val="00242DB7"/>
    <w:rsid w:val="00244DD1"/>
    <w:rsid w:val="00260F4E"/>
    <w:rsid w:val="00263391"/>
    <w:rsid w:val="002642A7"/>
    <w:rsid w:val="00264C11"/>
    <w:rsid w:val="00267E18"/>
    <w:rsid w:val="0027111B"/>
    <w:rsid w:val="002776AE"/>
    <w:rsid w:val="0028303B"/>
    <w:rsid w:val="0029142A"/>
    <w:rsid w:val="002A0920"/>
    <w:rsid w:val="002A10DA"/>
    <w:rsid w:val="002B6583"/>
    <w:rsid w:val="002C3783"/>
    <w:rsid w:val="002D6315"/>
    <w:rsid w:val="002F2CB1"/>
    <w:rsid w:val="003023C8"/>
    <w:rsid w:val="00317C4C"/>
    <w:rsid w:val="00342E24"/>
    <w:rsid w:val="0034334A"/>
    <w:rsid w:val="0035533F"/>
    <w:rsid w:val="003560AE"/>
    <w:rsid w:val="003679DD"/>
    <w:rsid w:val="00371E80"/>
    <w:rsid w:val="0037594E"/>
    <w:rsid w:val="0037721D"/>
    <w:rsid w:val="00380359"/>
    <w:rsid w:val="003851EF"/>
    <w:rsid w:val="00387A74"/>
    <w:rsid w:val="00394570"/>
    <w:rsid w:val="003A0652"/>
    <w:rsid w:val="003B296F"/>
    <w:rsid w:val="003C1610"/>
    <w:rsid w:val="003C5B74"/>
    <w:rsid w:val="003C5F54"/>
    <w:rsid w:val="003C7EEF"/>
    <w:rsid w:val="003D2E8A"/>
    <w:rsid w:val="003E22B3"/>
    <w:rsid w:val="003E3B28"/>
    <w:rsid w:val="003E5B6F"/>
    <w:rsid w:val="00403A07"/>
    <w:rsid w:val="004041BB"/>
    <w:rsid w:val="0040762D"/>
    <w:rsid w:val="0041252E"/>
    <w:rsid w:val="00436AF2"/>
    <w:rsid w:val="00436F85"/>
    <w:rsid w:val="00442FA3"/>
    <w:rsid w:val="004432D6"/>
    <w:rsid w:val="004437A0"/>
    <w:rsid w:val="00453A9F"/>
    <w:rsid w:val="00493D48"/>
    <w:rsid w:val="004948BE"/>
    <w:rsid w:val="00495346"/>
    <w:rsid w:val="004974F5"/>
    <w:rsid w:val="004A2BD0"/>
    <w:rsid w:val="004A2DBB"/>
    <w:rsid w:val="004A5FD4"/>
    <w:rsid w:val="004B1226"/>
    <w:rsid w:val="004C59E5"/>
    <w:rsid w:val="004E0D32"/>
    <w:rsid w:val="004E264A"/>
    <w:rsid w:val="004F10A3"/>
    <w:rsid w:val="004F4807"/>
    <w:rsid w:val="004F495D"/>
    <w:rsid w:val="004F6DE0"/>
    <w:rsid w:val="00502ACB"/>
    <w:rsid w:val="00506C2E"/>
    <w:rsid w:val="00507ABA"/>
    <w:rsid w:val="0051329B"/>
    <w:rsid w:val="005164F8"/>
    <w:rsid w:val="00527BBD"/>
    <w:rsid w:val="00537BF7"/>
    <w:rsid w:val="0055416E"/>
    <w:rsid w:val="00562BE5"/>
    <w:rsid w:val="005633AF"/>
    <w:rsid w:val="00566553"/>
    <w:rsid w:val="00574026"/>
    <w:rsid w:val="00574DF7"/>
    <w:rsid w:val="00587A2B"/>
    <w:rsid w:val="00597DBC"/>
    <w:rsid w:val="005A07F0"/>
    <w:rsid w:val="005A404B"/>
    <w:rsid w:val="005A502F"/>
    <w:rsid w:val="005B68A9"/>
    <w:rsid w:val="005B6E4B"/>
    <w:rsid w:val="005C2D4F"/>
    <w:rsid w:val="005C43BD"/>
    <w:rsid w:val="005D28F2"/>
    <w:rsid w:val="005D32BC"/>
    <w:rsid w:val="005D3EC0"/>
    <w:rsid w:val="005E270C"/>
    <w:rsid w:val="005E39F7"/>
    <w:rsid w:val="005E3D32"/>
    <w:rsid w:val="005F23D6"/>
    <w:rsid w:val="0060492B"/>
    <w:rsid w:val="00606ED3"/>
    <w:rsid w:val="00612B2E"/>
    <w:rsid w:val="0061710B"/>
    <w:rsid w:val="00630B66"/>
    <w:rsid w:val="006340E3"/>
    <w:rsid w:val="006361C1"/>
    <w:rsid w:val="00661A12"/>
    <w:rsid w:val="006631C0"/>
    <w:rsid w:val="0066473E"/>
    <w:rsid w:val="00666212"/>
    <w:rsid w:val="0067055C"/>
    <w:rsid w:val="006776A5"/>
    <w:rsid w:val="006779B1"/>
    <w:rsid w:val="00684BB9"/>
    <w:rsid w:val="00685F4C"/>
    <w:rsid w:val="00686AAE"/>
    <w:rsid w:val="00687251"/>
    <w:rsid w:val="00690E32"/>
    <w:rsid w:val="006922CF"/>
    <w:rsid w:val="006A3BCC"/>
    <w:rsid w:val="006A6194"/>
    <w:rsid w:val="006B1606"/>
    <w:rsid w:val="006B2459"/>
    <w:rsid w:val="006B349D"/>
    <w:rsid w:val="006C0E9A"/>
    <w:rsid w:val="006C186C"/>
    <w:rsid w:val="006D475D"/>
    <w:rsid w:val="006D571E"/>
    <w:rsid w:val="006E037B"/>
    <w:rsid w:val="006E21CE"/>
    <w:rsid w:val="006E382B"/>
    <w:rsid w:val="006E7A46"/>
    <w:rsid w:val="006F493D"/>
    <w:rsid w:val="00707A5D"/>
    <w:rsid w:val="00711A0E"/>
    <w:rsid w:val="00715A9E"/>
    <w:rsid w:val="00715ABB"/>
    <w:rsid w:val="00726CB1"/>
    <w:rsid w:val="00731940"/>
    <w:rsid w:val="00733798"/>
    <w:rsid w:val="00735E00"/>
    <w:rsid w:val="007406D2"/>
    <w:rsid w:val="00744914"/>
    <w:rsid w:val="00747FA9"/>
    <w:rsid w:val="0075032E"/>
    <w:rsid w:val="00752243"/>
    <w:rsid w:val="00752496"/>
    <w:rsid w:val="00755512"/>
    <w:rsid w:val="007669CE"/>
    <w:rsid w:val="00770E8A"/>
    <w:rsid w:val="00780147"/>
    <w:rsid w:val="00781946"/>
    <w:rsid w:val="00790A0F"/>
    <w:rsid w:val="00790F77"/>
    <w:rsid w:val="007952FA"/>
    <w:rsid w:val="00795D49"/>
    <w:rsid w:val="007B5045"/>
    <w:rsid w:val="007B7498"/>
    <w:rsid w:val="007C059F"/>
    <w:rsid w:val="007C1B68"/>
    <w:rsid w:val="007C24B0"/>
    <w:rsid w:val="007C3AB7"/>
    <w:rsid w:val="007C6909"/>
    <w:rsid w:val="007D7F45"/>
    <w:rsid w:val="007E1A4D"/>
    <w:rsid w:val="007E4158"/>
    <w:rsid w:val="00803834"/>
    <w:rsid w:val="00810402"/>
    <w:rsid w:val="00827066"/>
    <w:rsid w:val="0083125E"/>
    <w:rsid w:val="008410E1"/>
    <w:rsid w:val="00846695"/>
    <w:rsid w:val="00866A62"/>
    <w:rsid w:val="00867EFB"/>
    <w:rsid w:val="008812FA"/>
    <w:rsid w:val="0088235D"/>
    <w:rsid w:val="008835B4"/>
    <w:rsid w:val="00884E78"/>
    <w:rsid w:val="00886D8B"/>
    <w:rsid w:val="00886D9D"/>
    <w:rsid w:val="008952B3"/>
    <w:rsid w:val="00895ABD"/>
    <w:rsid w:val="00897514"/>
    <w:rsid w:val="008A28D1"/>
    <w:rsid w:val="008B484C"/>
    <w:rsid w:val="008D0B33"/>
    <w:rsid w:val="008D159A"/>
    <w:rsid w:val="008D5F03"/>
    <w:rsid w:val="008E41A7"/>
    <w:rsid w:val="008E575C"/>
    <w:rsid w:val="008F0596"/>
    <w:rsid w:val="008F1599"/>
    <w:rsid w:val="008F2FCE"/>
    <w:rsid w:val="008F686D"/>
    <w:rsid w:val="00912380"/>
    <w:rsid w:val="00912D3D"/>
    <w:rsid w:val="00913A2F"/>
    <w:rsid w:val="009276C0"/>
    <w:rsid w:val="009347FE"/>
    <w:rsid w:val="00936198"/>
    <w:rsid w:val="00941C67"/>
    <w:rsid w:val="00954B5F"/>
    <w:rsid w:val="00955AA4"/>
    <w:rsid w:val="00957255"/>
    <w:rsid w:val="00961EEC"/>
    <w:rsid w:val="00962A2C"/>
    <w:rsid w:val="00967CF8"/>
    <w:rsid w:val="0097437E"/>
    <w:rsid w:val="00980F26"/>
    <w:rsid w:val="009A2FD1"/>
    <w:rsid w:val="009B5963"/>
    <w:rsid w:val="009C1AF8"/>
    <w:rsid w:val="009C39F9"/>
    <w:rsid w:val="009E2919"/>
    <w:rsid w:val="009E3513"/>
    <w:rsid w:val="009E4703"/>
    <w:rsid w:val="009F40E3"/>
    <w:rsid w:val="00A04BBB"/>
    <w:rsid w:val="00A0796B"/>
    <w:rsid w:val="00A1148F"/>
    <w:rsid w:val="00A11870"/>
    <w:rsid w:val="00A11E75"/>
    <w:rsid w:val="00A17890"/>
    <w:rsid w:val="00A24290"/>
    <w:rsid w:val="00A302C9"/>
    <w:rsid w:val="00A36425"/>
    <w:rsid w:val="00A3756D"/>
    <w:rsid w:val="00A40BCA"/>
    <w:rsid w:val="00A42AE5"/>
    <w:rsid w:val="00A6069F"/>
    <w:rsid w:val="00A61FCE"/>
    <w:rsid w:val="00A70254"/>
    <w:rsid w:val="00A9798B"/>
    <w:rsid w:val="00AB0A6B"/>
    <w:rsid w:val="00AC0E18"/>
    <w:rsid w:val="00AC459D"/>
    <w:rsid w:val="00AC4CAF"/>
    <w:rsid w:val="00AE0B02"/>
    <w:rsid w:val="00AE7F6B"/>
    <w:rsid w:val="00AF071F"/>
    <w:rsid w:val="00AF5F59"/>
    <w:rsid w:val="00AF760D"/>
    <w:rsid w:val="00AF7EDC"/>
    <w:rsid w:val="00B04DB5"/>
    <w:rsid w:val="00B06BE1"/>
    <w:rsid w:val="00B07678"/>
    <w:rsid w:val="00B178C3"/>
    <w:rsid w:val="00B214DF"/>
    <w:rsid w:val="00B270BF"/>
    <w:rsid w:val="00B37525"/>
    <w:rsid w:val="00B52EA5"/>
    <w:rsid w:val="00B574A1"/>
    <w:rsid w:val="00B6413A"/>
    <w:rsid w:val="00B82C4D"/>
    <w:rsid w:val="00B82DF6"/>
    <w:rsid w:val="00B83C96"/>
    <w:rsid w:val="00B87424"/>
    <w:rsid w:val="00B93240"/>
    <w:rsid w:val="00BA5F70"/>
    <w:rsid w:val="00BB1488"/>
    <w:rsid w:val="00BD3595"/>
    <w:rsid w:val="00BD3863"/>
    <w:rsid w:val="00BE4C17"/>
    <w:rsid w:val="00BE5CFA"/>
    <w:rsid w:val="00BF19FE"/>
    <w:rsid w:val="00BF1E15"/>
    <w:rsid w:val="00BF6F99"/>
    <w:rsid w:val="00C05789"/>
    <w:rsid w:val="00C10753"/>
    <w:rsid w:val="00C10F2A"/>
    <w:rsid w:val="00C131EF"/>
    <w:rsid w:val="00C16031"/>
    <w:rsid w:val="00C30B39"/>
    <w:rsid w:val="00C36BE3"/>
    <w:rsid w:val="00C36FF8"/>
    <w:rsid w:val="00C4551A"/>
    <w:rsid w:val="00C47AB1"/>
    <w:rsid w:val="00C51487"/>
    <w:rsid w:val="00C6250F"/>
    <w:rsid w:val="00C66F1E"/>
    <w:rsid w:val="00C757B7"/>
    <w:rsid w:val="00C81187"/>
    <w:rsid w:val="00C81F1F"/>
    <w:rsid w:val="00C8408B"/>
    <w:rsid w:val="00C90E71"/>
    <w:rsid w:val="00C91023"/>
    <w:rsid w:val="00C91851"/>
    <w:rsid w:val="00C922BE"/>
    <w:rsid w:val="00C93637"/>
    <w:rsid w:val="00C94300"/>
    <w:rsid w:val="00CA0567"/>
    <w:rsid w:val="00CC01B8"/>
    <w:rsid w:val="00CC2C4E"/>
    <w:rsid w:val="00CC5710"/>
    <w:rsid w:val="00CD6472"/>
    <w:rsid w:val="00CD65CB"/>
    <w:rsid w:val="00CF3D3E"/>
    <w:rsid w:val="00D04CBD"/>
    <w:rsid w:val="00D153C3"/>
    <w:rsid w:val="00D2015D"/>
    <w:rsid w:val="00D25C72"/>
    <w:rsid w:val="00D32F36"/>
    <w:rsid w:val="00D413FA"/>
    <w:rsid w:val="00D43613"/>
    <w:rsid w:val="00D615E3"/>
    <w:rsid w:val="00D707DB"/>
    <w:rsid w:val="00D802E1"/>
    <w:rsid w:val="00DA3409"/>
    <w:rsid w:val="00DA47E8"/>
    <w:rsid w:val="00DC1805"/>
    <w:rsid w:val="00DC3762"/>
    <w:rsid w:val="00DC56C1"/>
    <w:rsid w:val="00DC5869"/>
    <w:rsid w:val="00DD19AF"/>
    <w:rsid w:val="00DD48CC"/>
    <w:rsid w:val="00DE1CEF"/>
    <w:rsid w:val="00DF4B5E"/>
    <w:rsid w:val="00E16842"/>
    <w:rsid w:val="00E20FC0"/>
    <w:rsid w:val="00E22818"/>
    <w:rsid w:val="00E23D6B"/>
    <w:rsid w:val="00E23DC4"/>
    <w:rsid w:val="00E24910"/>
    <w:rsid w:val="00E31E48"/>
    <w:rsid w:val="00E345B5"/>
    <w:rsid w:val="00E4350E"/>
    <w:rsid w:val="00E435E1"/>
    <w:rsid w:val="00E510B7"/>
    <w:rsid w:val="00E557A1"/>
    <w:rsid w:val="00E67F57"/>
    <w:rsid w:val="00E71983"/>
    <w:rsid w:val="00E806D5"/>
    <w:rsid w:val="00E81B36"/>
    <w:rsid w:val="00E86251"/>
    <w:rsid w:val="00E87435"/>
    <w:rsid w:val="00EA4493"/>
    <w:rsid w:val="00EA562B"/>
    <w:rsid w:val="00EB02AD"/>
    <w:rsid w:val="00EC0968"/>
    <w:rsid w:val="00EC61AA"/>
    <w:rsid w:val="00EE16BF"/>
    <w:rsid w:val="00EE714B"/>
    <w:rsid w:val="00EF337B"/>
    <w:rsid w:val="00EF3513"/>
    <w:rsid w:val="00EF4547"/>
    <w:rsid w:val="00F05A0A"/>
    <w:rsid w:val="00F07D38"/>
    <w:rsid w:val="00F1376B"/>
    <w:rsid w:val="00F168D0"/>
    <w:rsid w:val="00F16E8B"/>
    <w:rsid w:val="00F21F4F"/>
    <w:rsid w:val="00F262BA"/>
    <w:rsid w:val="00F27061"/>
    <w:rsid w:val="00F31D04"/>
    <w:rsid w:val="00F42009"/>
    <w:rsid w:val="00F53F1A"/>
    <w:rsid w:val="00F70629"/>
    <w:rsid w:val="00F7714F"/>
    <w:rsid w:val="00F921C6"/>
    <w:rsid w:val="00F937C6"/>
    <w:rsid w:val="00FA5DA7"/>
    <w:rsid w:val="00FB3887"/>
    <w:rsid w:val="00FB45F6"/>
    <w:rsid w:val="00FC6FAA"/>
    <w:rsid w:val="00FE14DE"/>
    <w:rsid w:val="00FF1773"/>
    <w:rsid w:val="00FF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D0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D0B33"/>
    <w:rPr>
      <w:kern w:val="2"/>
      <w:sz w:val="18"/>
      <w:szCs w:val="18"/>
    </w:rPr>
  </w:style>
  <w:style w:type="paragraph" w:styleId="a4">
    <w:name w:val="footer"/>
    <w:basedOn w:val="a"/>
    <w:link w:val="Char0"/>
    <w:rsid w:val="008D0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D0B33"/>
    <w:rPr>
      <w:kern w:val="2"/>
      <w:sz w:val="18"/>
      <w:szCs w:val="18"/>
    </w:rPr>
  </w:style>
  <w:style w:type="paragraph" w:styleId="a5">
    <w:name w:val="Balloon Text"/>
    <w:basedOn w:val="a"/>
    <w:semiHidden/>
    <w:rsid w:val="0037594E"/>
    <w:rPr>
      <w:sz w:val="18"/>
      <w:szCs w:val="18"/>
    </w:rPr>
  </w:style>
  <w:style w:type="paragraph" w:styleId="a6">
    <w:name w:val="Date"/>
    <w:basedOn w:val="a"/>
    <w:next w:val="a"/>
    <w:link w:val="Char1"/>
    <w:rsid w:val="005D32BC"/>
    <w:pPr>
      <w:ind w:leftChars="2500" w:left="100"/>
    </w:pPr>
  </w:style>
  <w:style w:type="character" w:customStyle="1" w:styleId="Char1">
    <w:name w:val="日期 Char"/>
    <w:link w:val="a6"/>
    <w:rsid w:val="005D32BC"/>
    <w:rPr>
      <w:kern w:val="2"/>
      <w:sz w:val="21"/>
      <w:szCs w:val="24"/>
    </w:rPr>
  </w:style>
  <w:style w:type="character" w:styleId="a7">
    <w:name w:val="annotation reference"/>
    <w:rsid w:val="009347FE"/>
    <w:rPr>
      <w:sz w:val="21"/>
      <w:szCs w:val="21"/>
    </w:rPr>
  </w:style>
  <w:style w:type="paragraph" w:styleId="a8">
    <w:name w:val="annotation text"/>
    <w:basedOn w:val="a"/>
    <w:link w:val="Char2"/>
    <w:rsid w:val="009347FE"/>
    <w:pPr>
      <w:jc w:val="left"/>
    </w:pPr>
  </w:style>
  <w:style w:type="character" w:customStyle="1" w:styleId="Char2">
    <w:name w:val="批注文字 Char"/>
    <w:link w:val="a8"/>
    <w:rsid w:val="009347FE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9347FE"/>
    <w:rPr>
      <w:b/>
      <w:bCs/>
    </w:rPr>
  </w:style>
  <w:style w:type="character" w:customStyle="1" w:styleId="Char3">
    <w:name w:val="批注主题 Char"/>
    <w:link w:val="a9"/>
    <w:rsid w:val="009347F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686">
          <w:marLeft w:val="345"/>
          <w:marRight w:val="0"/>
          <w:marTop w:val="0"/>
          <w:marBottom w:val="0"/>
          <w:divBdr>
            <w:top w:val="single" w:sz="6" w:space="19" w:color="D6D6D6"/>
            <w:left w:val="single" w:sz="6" w:space="19" w:color="D6D6D6"/>
            <w:bottom w:val="single" w:sz="6" w:space="19" w:color="D6D6D6"/>
            <w:right w:val="single" w:sz="6" w:space="19" w:color="D6D6D6"/>
          </w:divBdr>
        </w:div>
      </w:divsChild>
    </w:div>
    <w:div w:id="542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070">
          <w:marLeft w:val="345"/>
          <w:marRight w:val="0"/>
          <w:marTop w:val="0"/>
          <w:marBottom w:val="0"/>
          <w:divBdr>
            <w:top w:val="single" w:sz="6" w:space="19" w:color="D6D6D6"/>
            <w:left w:val="single" w:sz="6" w:space="19" w:color="D6D6D6"/>
            <w:bottom w:val="single" w:sz="6" w:space="19" w:color="D6D6D6"/>
            <w:right w:val="single" w:sz="6" w:space="19" w:color="D6D6D6"/>
          </w:divBdr>
          <w:divsChild>
            <w:div w:id="185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关于旗下基金调整长期停牌股票估值方法的公告</dc:title>
  <dc:subject/>
  <dc:creator>李剑</dc:creator>
  <cp:keywords/>
  <cp:lastModifiedBy>ZHONGM</cp:lastModifiedBy>
  <cp:revision>2</cp:revision>
  <dcterms:created xsi:type="dcterms:W3CDTF">2026-04-03T16:00:00Z</dcterms:created>
  <dcterms:modified xsi:type="dcterms:W3CDTF">2026-04-03T16:00:00Z</dcterms:modified>
</cp:coreProperties>
</file>