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CA4" w:rsidRPr="001F12D1" w:rsidRDefault="000806BF" w:rsidP="00141CA4">
      <w:pPr>
        <w:pStyle w:val="font14"/>
        <w:jc w:val="center"/>
        <w:rPr>
          <w:rFonts w:asciiTheme="majorEastAsia" w:eastAsiaTheme="majorEastAsia" w:hAnsiTheme="majorEastAsia"/>
        </w:rPr>
      </w:pPr>
      <w:r w:rsidRPr="001F12D1">
        <w:rPr>
          <w:rStyle w:val="a8"/>
          <w:rFonts w:asciiTheme="majorEastAsia" w:eastAsiaTheme="majorEastAsia" w:hAnsiTheme="majorEastAsia" w:hint="eastAsia"/>
          <w:sz w:val="24"/>
          <w:szCs w:val="24"/>
        </w:rPr>
        <w:t>易方达基金管理有限公司</w:t>
      </w:r>
      <w:r w:rsidRPr="00C251FE">
        <w:rPr>
          <w:rStyle w:val="a8"/>
          <w:rFonts w:asciiTheme="majorEastAsia" w:eastAsiaTheme="majorEastAsia" w:hAnsiTheme="majorEastAsia" w:hint="eastAsia"/>
          <w:sz w:val="24"/>
          <w:szCs w:val="24"/>
        </w:rPr>
        <w:t>关于旗下基金关联交易事项的公告</w:t>
      </w:r>
    </w:p>
    <w:p w:rsidR="00C40BE1" w:rsidRDefault="000806BF" w:rsidP="00C40BE1">
      <w:pPr>
        <w:pStyle w:val="Default"/>
        <w:spacing w:line="360" w:lineRule="auto"/>
        <w:ind w:firstLineChars="210" w:firstLine="504"/>
        <w:rPr>
          <w:rFonts w:asciiTheme="majorEastAsia" w:eastAsiaTheme="majorEastAsia" w:hAnsiTheme="majorEastAsia"/>
        </w:rPr>
      </w:pPr>
      <w:r w:rsidRPr="006B6352">
        <w:rPr>
          <w:rFonts w:asciiTheme="majorEastAsia" w:eastAsiaTheme="majorEastAsia" w:hAnsiTheme="majorEastAsia" w:hint="eastAsia"/>
        </w:rPr>
        <w:t>根据《公开募集证券投资基金运作管理办法》《公开募集证券投资基金信息披露管理办法》及相关法律法规、基金合同及招募说明书等规定，在履行规定审批程序并经基金托管人同意后，</w:t>
      </w:r>
      <w:r>
        <w:rPr>
          <w:rFonts w:asciiTheme="majorEastAsia" w:eastAsiaTheme="majorEastAsia" w:hAnsiTheme="majorEastAsia" w:hint="eastAsia"/>
        </w:rPr>
        <w:t>易方达基金管理有限公司</w:t>
      </w:r>
      <w:r w:rsidRPr="00A54315">
        <w:rPr>
          <w:rFonts w:asciiTheme="majorEastAsia" w:eastAsiaTheme="majorEastAsia" w:hAnsiTheme="majorEastAsia" w:hint="eastAsia"/>
        </w:rPr>
        <w:t>（以下简称“本公司”）</w:t>
      </w:r>
      <w:r>
        <w:rPr>
          <w:rFonts w:asciiTheme="majorEastAsia" w:eastAsiaTheme="majorEastAsia" w:hAnsiTheme="majorEastAsia" w:hint="eastAsia"/>
        </w:rPr>
        <w:t>旗下部分</w:t>
      </w:r>
      <w:r w:rsidR="003B4F45">
        <w:rPr>
          <w:rFonts w:asciiTheme="majorEastAsia" w:eastAsiaTheme="majorEastAsia" w:hAnsiTheme="majorEastAsia" w:hint="eastAsia"/>
        </w:rPr>
        <w:t>公募</w:t>
      </w:r>
      <w:r>
        <w:rPr>
          <w:rFonts w:asciiTheme="majorEastAsia" w:eastAsiaTheme="majorEastAsia" w:hAnsiTheme="majorEastAsia" w:hint="eastAsia"/>
        </w:rPr>
        <w:t>基金</w:t>
      </w:r>
      <w:r w:rsidRPr="001F12D1">
        <w:rPr>
          <w:rFonts w:asciiTheme="majorEastAsia" w:eastAsiaTheme="majorEastAsia" w:hAnsiTheme="majorEastAsia" w:hint="eastAsia"/>
        </w:rPr>
        <w:t>参</w:t>
      </w:r>
      <w:r w:rsidRPr="00923081">
        <w:rPr>
          <w:rFonts w:asciiTheme="majorEastAsia" w:eastAsiaTheme="majorEastAsia" w:hAnsiTheme="majorEastAsia" w:hint="eastAsia"/>
        </w:rPr>
        <w:t>与</w:t>
      </w:r>
      <w:r w:rsidRPr="001F12D1">
        <w:rPr>
          <w:rFonts w:asciiTheme="majorEastAsia" w:eastAsiaTheme="majorEastAsia" w:hAnsiTheme="majorEastAsia" w:hint="eastAsia"/>
        </w:rPr>
        <w:t>了</w:t>
      </w:r>
      <w:r w:rsidR="00134F94" w:rsidRPr="00134F94">
        <w:rPr>
          <w:rFonts w:asciiTheme="majorEastAsia" w:eastAsiaTheme="majorEastAsia" w:hAnsiTheme="majorEastAsia" w:hint="eastAsia"/>
          <w:bCs/>
        </w:rPr>
        <w:t>江西红板科技股份有限公司</w:t>
      </w:r>
      <w:r w:rsidR="002163CE">
        <w:rPr>
          <w:rFonts w:asciiTheme="majorEastAsia" w:eastAsiaTheme="majorEastAsia" w:hAnsiTheme="majorEastAsia" w:hint="eastAsia"/>
          <w:bCs/>
        </w:rPr>
        <w:t>（以下简称“</w:t>
      </w:r>
      <w:r w:rsidR="00134F94" w:rsidRPr="00134F94">
        <w:rPr>
          <w:rFonts w:asciiTheme="majorEastAsia" w:eastAsiaTheme="majorEastAsia" w:hAnsiTheme="majorEastAsia" w:hint="eastAsia"/>
          <w:bCs/>
        </w:rPr>
        <w:t>红板科技</w:t>
      </w:r>
      <w:r w:rsidR="002163CE">
        <w:rPr>
          <w:rFonts w:asciiTheme="majorEastAsia" w:eastAsiaTheme="majorEastAsia" w:hAnsiTheme="majorEastAsia" w:hint="eastAsia"/>
          <w:bCs/>
        </w:rPr>
        <w:t>”）</w:t>
      </w:r>
      <w:r w:rsidR="00CD308B">
        <w:rPr>
          <w:rFonts w:asciiTheme="majorEastAsia" w:eastAsiaTheme="majorEastAsia" w:hAnsiTheme="majorEastAsia" w:hint="eastAsia"/>
          <w:bCs/>
        </w:rPr>
        <w:t>和</w:t>
      </w:r>
      <w:r w:rsidR="00360C05" w:rsidRPr="00360C05">
        <w:rPr>
          <w:rFonts w:asciiTheme="majorEastAsia" w:eastAsiaTheme="majorEastAsia" w:hAnsiTheme="majorEastAsia" w:hint="eastAsia"/>
          <w:bCs/>
        </w:rPr>
        <w:t>南昌三瑞智能科技股份有限公司</w:t>
      </w:r>
      <w:r w:rsidR="00CD308B" w:rsidRPr="00A54315">
        <w:rPr>
          <w:rFonts w:asciiTheme="majorEastAsia" w:eastAsiaTheme="majorEastAsia" w:hAnsiTheme="majorEastAsia" w:hint="eastAsia"/>
          <w:bCs/>
        </w:rPr>
        <w:t>（以下简称“</w:t>
      </w:r>
      <w:r w:rsidR="00360C05" w:rsidRPr="00360C05">
        <w:rPr>
          <w:rFonts w:asciiTheme="majorEastAsia" w:eastAsiaTheme="majorEastAsia" w:hAnsiTheme="majorEastAsia" w:hint="eastAsia"/>
          <w:bCs/>
        </w:rPr>
        <w:t>三瑞智能</w:t>
      </w:r>
      <w:r w:rsidR="00CD308B" w:rsidRPr="00A54315">
        <w:rPr>
          <w:rFonts w:asciiTheme="majorEastAsia" w:eastAsiaTheme="majorEastAsia" w:hAnsiTheme="majorEastAsia" w:hint="eastAsia"/>
          <w:bCs/>
        </w:rPr>
        <w:t>”）</w:t>
      </w:r>
      <w:r w:rsidRPr="001F12D1">
        <w:rPr>
          <w:rFonts w:asciiTheme="majorEastAsia" w:eastAsiaTheme="majorEastAsia" w:hAnsiTheme="majorEastAsia" w:hint="eastAsia"/>
        </w:rPr>
        <w:t>首次公开发行股票的</w:t>
      </w:r>
      <w:r w:rsidR="003B4F45">
        <w:rPr>
          <w:rFonts w:asciiTheme="majorEastAsia" w:eastAsiaTheme="majorEastAsia" w:hAnsiTheme="majorEastAsia" w:hint="eastAsia"/>
        </w:rPr>
        <w:t>网下</w:t>
      </w:r>
      <w:r w:rsidRPr="001F12D1">
        <w:rPr>
          <w:rFonts w:asciiTheme="majorEastAsia" w:eastAsiaTheme="majorEastAsia" w:hAnsiTheme="majorEastAsia" w:hint="eastAsia"/>
        </w:rPr>
        <w:t>申购</w:t>
      </w:r>
      <w:r>
        <w:rPr>
          <w:rFonts w:asciiTheme="majorEastAsia" w:eastAsiaTheme="majorEastAsia" w:hAnsiTheme="majorEastAsia" w:hint="eastAsia"/>
        </w:rPr>
        <w:t>。</w:t>
      </w:r>
      <w:r w:rsidR="00134F94" w:rsidRPr="00134F94">
        <w:rPr>
          <w:rFonts w:asciiTheme="majorEastAsia" w:eastAsiaTheme="majorEastAsia" w:hAnsiTheme="majorEastAsia" w:hint="eastAsia"/>
          <w:bCs/>
        </w:rPr>
        <w:t>红板科技</w:t>
      </w:r>
      <w:r w:rsidR="000B7039" w:rsidRPr="000B7039">
        <w:rPr>
          <w:rFonts w:asciiTheme="majorEastAsia" w:eastAsiaTheme="majorEastAsia" w:hAnsiTheme="majorEastAsia" w:hint="eastAsia"/>
        </w:rPr>
        <w:t>本次发行的</w:t>
      </w:r>
      <w:r w:rsidR="00134F94">
        <w:rPr>
          <w:rFonts w:asciiTheme="majorEastAsia" w:eastAsiaTheme="majorEastAsia" w:hAnsiTheme="majorEastAsia" w:hint="eastAsia"/>
        </w:rPr>
        <w:t>副</w:t>
      </w:r>
      <w:r w:rsidR="00CD308B">
        <w:t>主承销商</w:t>
      </w:r>
      <w:r w:rsidR="00134F94">
        <w:rPr>
          <w:rFonts w:hint="eastAsia"/>
        </w:rPr>
        <w:t>招商</w:t>
      </w:r>
      <w:r w:rsidR="00500520" w:rsidRPr="00500520">
        <w:rPr>
          <w:rFonts w:hint="eastAsia"/>
        </w:rPr>
        <w:t>证券股份有限公司</w:t>
      </w:r>
      <w:r w:rsidR="00500520">
        <w:t>（以下简称</w:t>
      </w:r>
      <w:r w:rsidR="00500520">
        <w:t>“</w:t>
      </w:r>
      <w:r w:rsidR="00134F94">
        <w:rPr>
          <w:rFonts w:hint="eastAsia"/>
        </w:rPr>
        <w:t>招商</w:t>
      </w:r>
      <w:r w:rsidR="00500520" w:rsidRPr="00500520">
        <w:rPr>
          <w:rFonts w:hint="eastAsia"/>
        </w:rPr>
        <w:t>证券</w:t>
      </w:r>
      <w:r w:rsidR="00500520">
        <w:t>”</w:t>
      </w:r>
      <w:r w:rsidR="00500520">
        <w:t>）</w:t>
      </w:r>
      <w:r w:rsidR="00CD308B">
        <w:t>为本公司旗下部分公募基金的托管人</w:t>
      </w:r>
      <w:r w:rsidR="000B7039" w:rsidRPr="000B7039">
        <w:rPr>
          <w:rFonts w:asciiTheme="majorEastAsia" w:eastAsiaTheme="majorEastAsia" w:hAnsiTheme="majorEastAsia" w:hint="eastAsia"/>
        </w:rPr>
        <w:t>。</w:t>
      </w:r>
      <w:r w:rsidR="00360C05" w:rsidRPr="00360C05">
        <w:rPr>
          <w:rFonts w:asciiTheme="majorEastAsia" w:eastAsiaTheme="majorEastAsia" w:hAnsiTheme="majorEastAsia" w:hint="eastAsia"/>
          <w:bCs/>
        </w:rPr>
        <w:t>三瑞智能</w:t>
      </w:r>
      <w:r w:rsidR="00360C05">
        <w:t>本次发行的主承销商国泰海通证券股份有限公司（以下简称</w:t>
      </w:r>
      <w:r w:rsidR="00360C05">
        <w:t>“</w:t>
      </w:r>
      <w:r w:rsidR="00360C05">
        <w:t>国泰海通证券</w:t>
      </w:r>
      <w:r w:rsidR="00360C05">
        <w:t>”</w:t>
      </w:r>
      <w:r w:rsidR="00360C05">
        <w:t>）为本公司旗下部分公募基金的托管人，同时，国泰海通证券为本公司旗下部分公募基金的托管人上海浦东发展银行股份有限公司（以下简称</w:t>
      </w:r>
      <w:r w:rsidR="00360C05">
        <w:t>“</w:t>
      </w:r>
      <w:r w:rsidR="00360C05">
        <w:t>浦发银行</w:t>
      </w:r>
      <w:r w:rsidR="00360C05">
        <w:t>”</w:t>
      </w:r>
      <w:r w:rsidR="00360C05">
        <w:t>）的关联方，国泰海通证券的实际控制人上海国际集团有限公司系浦发银行的主要股东。</w:t>
      </w:r>
    </w:p>
    <w:p w:rsidR="008328C4" w:rsidRDefault="000806BF" w:rsidP="008328C4">
      <w:pPr>
        <w:pStyle w:val="Default"/>
        <w:spacing w:line="360" w:lineRule="auto"/>
        <w:ind w:firstLineChars="210" w:firstLine="504"/>
        <w:rPr>
          <w:rFonts w:asciiTheme="majorEastAsia" w:eastAsiaTheme="majorEastAsia" w:hAnsiTheme="majorEastAsia"/>
        </w:rPr>
      </w:pPr>
      <w:r w:rsidRPr="00923081">
        <w:rPr>
          <w:rFonts w:asciiTheme="majorEastAsia" w:eastAsiaTheme="majorEastAsia" w:hAnsiTheme="majorEastAsia" w:hint="eastAsia"/>
        </w:rPr>
        <w:t>现将有关情况公告如下：</w:t>
      </w:r>
    </w:p>
    <w:p w:rsidR="00141CA4" w:rsidRPr="00923081" w:rsidRDefault="000806BF" w:rsidP="00141CA4">
      <w:pPr>
        <w:pStyle w:val="Default"/>
        <w:spacing w:line="360" w:lineRule="auto"/>
        <w:ind w:firstLineChars="210" w:firstLine="504"/>
        <w:rPr>
          <w:rFonts w:asciiTheme="majorEastAsia" w:eastAsiaTheme="majorEastAsia" w:hAnsiTheme="majorEastAsia"/>
        </w:rPr>
      </w:pPr>
      <w:r w:rsidRPr="00923081">
        <w:rPr>
          <w:rFonts w:asciiTheme="majorEastAsia" w:eastAsiaTheme="majorEastAsia" w:hAnsiTheme="majorEastAsia" w:hint="eastAsia"/>
        </w:rPr>
        <w:t>一、参与</w:t>
      </w:r>
      <w:r w:rsidR="00134F94" w:rsidRPr="00134F94">
        <w:rPr>
          <w:rFonts w:asciiTheme="majorEastAsia" w:eastAsiaTheme="majorEastAsia" w:hAnsiTheme="majorEastAsia" w:hint="eastAsia"/>
          <w:bCs/>
        </w:rPr>
        <w:t>红板科技</w:t>
      </w:r>
      <w:r w:rsidRPr="001F12D1">
        <w:rPr>
          <w:rFonts w:asciiTheme="majorEastAsia" w:eastAsiaTheme="majorEastAsia" w:hAnsiTheme="majorEastAsia" w:hint="eastAsia"/>
        </w:rPr>
        <w:t>首次公开发行股票</w:t>
      </w:r>
      <w:r>
        <w:rPr>
          <w:rFonts w:asciiTheme="majorEastAsia" w:eastAsiaTheme="majorEastAsia" w:hAnsiTheme="majorEastAsia" w:hint="eastAsia"/>
        </w:rPr>
        <w:t>的</w:t>
      </w:r>
      <w:r w:rsidRPr="00923081">
        <w:rPr>
          <w:rFonts w:asciiTheme="majorEastAsia" w:eastAsiaTheme="majorEastAsia" w:hAnsiTheme="majorEastAsia" w:hint="eastAsia"/>
        </w:rPr>
        <w:t>申购情况</w:t>
      </w:r>
    </w:p>
    <w:p w:rsidR="002163CE" w:rsidRDefault="000806BF" w:rsidP="002163CE">
      <w:pPr>
        <w:pStyle w:val="Default"/>
        <w:spacing w:line="360" w:lineRule="auto"/>
        <w:ind w:firstLineChars="210" w:firstLine="504"/>
        <w:rPr>
          <w:rFonts w:asciiTheme="majorEastAsia" w:eastAsiaTheme="majorEastAsia" w:hAnsiTheme="majorEastAsia"/>
        </w:rPr>
      </w:pPr>
      <w:r w:rsidRPr="00134F94">
        <w:rPr>
          <w:rFonts w:asciiTheme="majorEastAsia" w:eastAsiaTheme="majorEastAsia" w:hAnsiTheme="majorEastAsia" w:hint="eastAsia"/>
          <w:bCs/>
        </w:rPr>
        <w:t>红板科技</w:t>
      </w:r>
      <w:r>
        <w:rPr>
          <w:rFonts w:asciiTheme="majorEastAsia" w:eastAsiaTheme="majorEastAsia" w:hAnsiTheme="majorEastAsia" w:hint="eastAsia"/>
        </w:rPr>
        <w:t>本次发行价格为</w:t>
      </w:r>
      <w:r w:rsidRPr="00134F94">
        <w:rPr>
          <w:rFonts w:asciiTheme="majorEastAsia" w:eastAsiaTheme="majorEastAsia" w:hAnsiTheme="majorEastAsia"/>
        </w:rPr>
        <w:t>17.70</w:t>
      </w:r>
      <w:r>
        <w:rPr>
          <w:rFonts w:asciiTheme="majorEastAsia" w:eastAsiaTheme="majorEastAsia" w:hAnsiTheme="majorEastAsia" w:hint="eastAsia"/>
        </w:rPr>
        <w:t>元</w:t>
      </w:r>
      <w:r>
        <w:rPr>
          <w:rFonts w:asciiTheme="majorEastAsia" w:eastAsiaTheme="majorEastAsia" w:hAnsiTheme="majorEastAsia" w:hint="eastAsia"/>
        </w:rPr>
        <w:t>/</w:t>
      </w:r>
      <w:r>
        <w:rPr>
          <w:rFonts w:asciiTheme="majorEastAsia" w:eastAsiaTheme="majorEastAsia" w:hAnsiTheme="majorEastAsia" w:hint="eastAsia"/>
        </w:rPr>
        <w:t>股，由</w:t>
      </w:r>
      <w:r w:rsidRPr="00134F94">
        <w:rPr>
          <w:rFonts w:asciiTheme="majorEastAsia" w:eastAsiaTheme="majorEastAsia" w:hAnsiTheme="majorEastAsia" w:hint="eastAsia"/>
        </w:rPr>
        <w:t>发行人与保荐人（主承销商）根据网下发行询价报价情况，综合评估</w:t>
      </w:r>
      <w:r>
        <w:rPr>
          <w:rFonts w:asciiTheme="majorEastAsia" w:eastAsiaTheme="majorEastAsia" w:hAnsiTheme="majorEastAsia" w:hint="eastAsia"/>
        </w:rPr>
        <w:t>发行人</w:t>
      </w:r>
      <w:r w:rsidRPr="00134F94">
        <w:rPr>
          <w:rFonts w:asciiTheme="majorEastAsia" w:eastAsiaTheme="majorEastAsia" w:hAnsiTheme="majorEastAsia" w:hint="eastAsia"/>
        </w:rPr>
        <w:t>合理投资价值、可比公司二级市场估值水平、所属行业二级市场估值水平等方面，充分考虑网下投资者有效申购倍数、市场情况、募集资金需求及承销风险等因素</w:t>
      </w:r>
      <w:r>
        <w:rPr>
          <w:rFonts w:asciiTheme="majorEastAsia" w:eastAsiaTheme="majorEastAsia" w:hAnsiTheme="majorEastAsia" w:hint="eastAsia"/>
        </w:rPr>
        <w:t>协商确定。</w:t>
      </w:r>
      <w:r w:rsidR="00141CA4" w:rsidRPr="00923081">
        <w:rPr>
          <w:rFonts w:asciiTheme="majorEastAsia" w:eastAsiaTheme="majorEastAsia" w:hAnsiTheme="majorEastAsia" w:hint="eastAsia"/>
        </w:rPr>
        <w:t>本公司旗下</w:t>
      </w:r>
      <w:r w:rsidR="005A69BF">
        <w:rPr>
          <w:rFonts w:asciiTheme="majorEastAsia" w:eastAsiaTheme="majorEastAsia" w:hAnsiTheme="majorEastAsia" w:hint="eastAsia"/>
        </w:rPr>
        <w:t>由</w:t>
      </w:r>
      <w:r>
        <w:rPr>
          <w:rFonts w:asciiTheme="majorEastAsia" w:eastAsiaTheme="majorEastAsia" w:hAnsiTheme="majorEastAsia" w:hint="eastAsia"/>
        </w:rPr>
        <w:t>招商</w:t>
      </w:r>
      <w:r w:rsidR="008B0912">
        <w:t>证券</w:t>
      </w:r>
      <w:r w:rsidR="00141CA4">
        <w:rPr>
          <w:rFonts w:asciiTheme="majorEastAsia" w:eastAsiaTheme="majorEastAsia" w:hAnsiTheme="majorEastAsia" w:hint="eastAsia"/>
        </w:rPr>
        <w:t>托管的</w:t>
      </w:r>
      <w:r w:rsidR="003177A3">
        <w:rPr>
          <w:rFonts w:asciiTheme="majorEastAsia" w:eastAsiaTheme="majorEastAsia" w:hAnsiTheme="majorEastAsia" w:hint="eastAsia"/>
        </w:rPr>
        <w:t>公募</w:t>
      </w:r>
      <w:r w:rsidR="00141CA4" w:rsidRPr="00923081">
        <w:rPr>
          <w:rFonts w:asciiTheme="majorEastAsia" w:eastAsiaTheme="majorEastAsia" w:hAnsiTheme="majorEastAsia" w:hint="eastAsia"/>
        </w:rPr>
        <w:t>基金参与</w:t>
      </w:r>
      <w:r w:rsidRPr="00134F94">
        <w:rPr>
          <w:rFonts w:asciiTheme="majorEastAsia" w:eastAsiaTheme="majorEastAsia" w:hAnsiTheme="majorEastAsia" w:hint="eastAsia"/>
          <w:bCs/>
        </w:rPr>
        <w:t>红板科技</w:t>
      </w:r>
      <w:r w:rsidR="00141CA4" w:rsidRPr="00923081">
        <w:rPr>
          <w:rFonts w:asciiTheme="majorEastAsia" w:eastAsiaTheme="majorEastAsia" w:hAnsiTheme="majorEastAsia" w:hint="eastAsia"/>
        </w:rPr>
        <w:t>本次发行申购的获配信息如下</w:t>
      </w:r>
      <w:r w:rsidR="00141CA4" w:rsidRPr="001F12D1">
        <w:rPr>
          <w:rFonts w:asciiTheme="majorEastAsia" w:eastAsiaTheme="majorEastAsia" w:hAnsiTheme="majorEastAsia"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36"/>
        <w:gridCol w:w="1500"/>
        <w:gridCol w:w="1500"/>
      </w:tblGrid>
      <w:tr w:rsidR="005A2375" w:rsidTr="00552942">
        <w:trPr>
          <w:trHeight w:val="270"/>
        </w:trPr>
        <w:tc>
          <w:tcPr>
            <w:tcW w:w="320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2163CE" w:rsidRDefault="000806BF">
            <w:pPr>
              <w:widowControl/>
              <w:jc w:val="center"/>
              <w:rPr>
                <w:rFonts w:asciiTheme="majorEastAsia" w:eastAsiaTheme="majorEastAsia" w:hAnsiTheme="majorEastAsia" w:cs="Arial"/>
                <w:kern w:val="0"/>
                <w:szCs w:val="21"/>
              </w:rPr>
            </w:pPr>
            <w:r>
              <w:rPr>
                <w:rFonts w:asciiTheme="majorEastAsia" w:eastAsiaTheme="majorEastAsia" w:hAnsiTheme="majorEastAsia" w:cs="Arial" w:hint="eastAsia"/>
                <w:szCs w:val="21"/>
              </w:rPr>
              <w:t>基金名称</w:t>
            </w:r>
          </w:p>
        </w:tc>
        <w:tc>
          <w:tcPr>
            <w:tcW w:w="9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2163CE" w:rsidRDefault="000806BF">
            <w:pPr>
              <w:widowControl/>
              <w:jc w:val="center"/>
              <w:rPr>
                <w:rFonts w:asciiTheme="majorEastAsia" w:eastAsiaTheme="majorEastAsia" w:hAnsiTheme="majorEastAsia" w:cs="Arial"/>
                <w:kern w:val="0"/>
                <w:szCs w:val="21"/>
              </w:rPr>
            </w:pPr>
            <w:r>
              <w:rPr>
                <w:rFonts w:asciiTheme="majorEastAsia" w:eastAsiaTheme="majorEastAsia" w:hAnsiTheme="majorEastAsia" w:cs="Arial" w:hint="eastAsia"/>
                <w:szCs w:val="21"/>
              </w:rPr>
              <w:t>获配数量（股）</w:t>
            </w:r>
          </w:p>
        </w:tc>
        <w:tc>
          <w:tcPr>
            <w:tcW w:w="9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2163CE" w:rsidRDefault="000806BF">
            <w:pPr>
              <w:jc w:val="center"/>
              <w:rPr>
                <w:rFonts w:asciiTheme="majorEastAsia" w:eastAsiaTheme="majorEastAsia" w:hAnsiTheme="majorEastAsia" w:cs="Arial"/>
                <w:szCs w:val="21"/>
              </w:rPr>
            </w:pPr>
            <w:r>
              <w:rPr>
                <w:rFonts w:asciiTheme="majorEastAsia" w:eastAsiaTheme="majorEastAsia" w:hAnsiTheme="majorEastAsia" w:cs="Arial" w:hint="eastAsia"/>
                <w:szCs w:val="21"/>
              </w:rPr>
              <w:t>获配金额（元）</w:t>
            </w:r>
          </w:p>
        </w:tc>
      </w:tr>
      <w:tr w:rsidR="005A2375" w:rsidTr="00552942">
        <w:trPr>
          <w:trHeight w:val="285"/>
        </w:trPr>
        <w:tc>
          <w:tcPr>
            <w:tcW w:w="3201"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2163CE" w:rsidRDefault="000806BF" w:rsidP="00EF68F1">
            <w:pPr>
              <w:jc w:val="center"/>
              <w:rPr>
                <w:rFonts w:asciiTheme="majorEastAsia" w:eastAsiaTheme="majorEastAsia" w:hAnsiTheme="majorEastAsia" w:cs="Arial"/>
              </w:rPr>
            </w:pPr>
            <w:r w:rsidRPr="00134F94">
              <w:rPr>
                <w:rFonts w:asciiTheme="majorEastAsia" w:eastAsiaTheme="majorEastAsia" w:hAnsiTheme="majorEastAsia" w:cs="Arial" w:hint="eastAsia"/>
              </w:rPr>
              <w:t>易方达中证</w:t>
            </w:r>
            <w:r w:rsidRPr="00134F94">
              <w:rPr>
                <w:rFonts w:asciiTheme="majorEastAsia" w:eastAsiaTheme="majorEastAsia" w:hAnsiTheme="majorEastAsia" w:cs="Arial" w:hint="eastAsia"/>
              </w:rPr>
              <w:t>500</w:t>
            </w:r>
            <w:r w:rsidRPr="00134F94">
              <w:rPr>
                <w:rFonts w:asciiTheme="majorEastAsia" w:eastAsiaTheme="majorEastAsia" w:hAnsiTheme="majorEastAsia" w:cs="Arial" w:hint="eastAsia"/>
              </w:rPr>
              <w:t>增强策略交易型开放式指数证券投资基金</w:t>
            </w:r>
          </w:p>
        </w:tc>
        <w:tc>
          <w:tcPr>
            <w:tcW w:w="900"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2163CE" w:rsidRDefault="000806BF">
            <w:pPr>
              <w:jc w:val="right"/>
              <w:rPr>
                <w:rFonts w:asciiTheme="majorEastAsia" w:eastAsiaTheme="majorEastAsia" w:hAnsiTheme="majorEastAsia" w:cs="Arial"/>
                <w:szCs w:val="21"/>
              </w:rPr>
            </w:pPr>
            <w:r w:rsidRPr="00134F94">
              <w:rPr>
                <w:rFonts w:asciiTheme="majorEastAsia" w:eastAsiaTheme="majorEastAsia" w:hAnsiTheme="majorEastAsia" w:cs="Arial"/>
                <w:szCs w:val="21"/>
              </w:rPr>
              <w:t>950</w:t>
            </w:r>
          </w:p>
        </w:tc>
        <w:tc>
          <w:tcPr>
            <w:tcW w:w="900"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2163CE" w:rsidRDefault="000806BF">
            <w:pPr>
              <w:jc w:val="right"/>
              <w:rPr>
                <w:rFonts w:asciiTheme="majorEastAsia" w:eastAsiaTheme="majorEastAsia" w:hAnsiTheme="majorEastAsia" w:cs="Arial"/>
                <w:szCs w:val="21"/>
              </w:rPr>
            </w:pPr>
            <w:r w:rsidRPr="00134F94">
              <w:rPr>
                <w:rFonts w:asciiTheme="majorEastAsia" w:eastAsiaTheme="majorEastAsia" w:hAnsiTheme="majorEastAsia" w:cs="Arial"/>
                <w:szCs w:val="21"/>
              </w:rPr>
              <w:t>16,815.00</w:t>
            </w:r>
          </w:p>
        </w:tc>
      </w:tr>
    </w:tbl>
    <w:p w:rsidR="009A5B04" w:rsidRDefault="009A5B04" w:rsidP="002163CE">
      <w:pPr>
        <w:pStyle w:val="Default"/>
        <w:spacing w:line="360" w:lineRule="auto"/>
        <w:rPr>
          <w:rFonts w:asciiTheme="majorEastAsia" w:eastAsiaTheme="majorEastAsia" w:hAnsiTheme="majorEastAsia"/>
        </w:rPr>
      </w:pPr>
      <w:bookmarkStart w:id="0" w:name="_GoBack"/>
      <w:bookmarkEnd w:id="0"/>
    </w:p>
    <w:p w:rsidR="00141CA4" w:rsidRDefault="000806BF" w:rsidP="00141CA4">
      <w:pPr>
        <w:pStyle w:val="Default"/>
        <w:spacing w:line="360" w:lineRule="auto"/>
        <w:ind w:firstLineChars="210" w:firstLine="504"/>
        <w:rPr>
          <w:rFonts w:asciiTheme="majorEastAsia" w:eastAsiaTheme="majorEastAsia" w:hAnsiTheme="majorEastAsia"/>
        </w:rPr>
      </w:pPr>
      <w:r>
        <w:rPr>
          <w:rFonts w:asciiTheme="majorEastAsia" w:eastAsiaTheme="majorEastAsia" w:hAnsiTheme="majorEastAsia" w:hint="eastAsia"/>
        </w:rPr>
        <w:t>二</w:t>
      </w:r>
      <w:r w:rsidRPr="00923081">
        <w:rPr>
          <w:rFonts w:asciiTheme="majorEastAsia" w:eastAsiaTheme="majorEastAsia" w:hAnsiTheme="majorEastAsia" w:hint="eastAsia"/>
        </w:rPr>
        <w:t>、参与</w:t>
      </w:r>
      <w:r w:rsidR="00360C05" w:rsidRPr="00360C05">
        <w:rPr>
          <w:rFonts w:asciiTheme="majorEastAsia" w:eastAsiaTheme="majorEastAsia" w:hAnsiTheme="majorEastAsia" w:hint="eastAsia"/>
          <w:bCs/>
        </w:rPr>
        <w:t>三瑞智能</w:t>
      </w:r>
      <w:r w:rsidR="008B0912" w:rsidRPr="001F12D1">
        <w:rPr>
          <w:rFonts w:asciiTheme="majorEastAsia" w:eastAsiaTheme="majorEastAsia" w:hAnsiTheme="majorEastAsia" w:hint="eastAsia"/>
        </w:rPr>
        <w:t>首次公开发行股票</w:t>
      </w:r>
      <w:r w:rsidR="008B0912">
        <w:rPr>
          <w:rFonts w:asciiTheme="majorEastAsia" w:eastAsiaTheme="majorEastAsia" w:hAnsiTheme="majorEastAsia" w:hint="eastAsia"/>
        </w:rPr>
        <w:t>的</w:t>
      </w:r>
      <w:r w:rsidR="008B0912" w:rsidRPr="00923081">
        <w:rPr>
          <w:rFonts w:asciiTheme="majorEastAsia" w:eastAsiaTheme="majorEastAsia" w:hAnsiTheme="majorEastAsia" w:hint="eastAsia"/>
        </w:rPr>
        <w:t>申购情况</w:t>
      </w:r>
    </w:p>
    <w:p w:rsidR="008328C4" w:rsidRPr="00C72EF5" w:rsidRDefault="000806BF" w:rsidP="008B0912">
      <w:pPr>
        <w:pStyle w:val="Default"/>
        <w:spacing w:line="360" w:lineRule="auto"/>
        <w:ind w:firstLineChars="210" w:firstLine="504"/>
        <w:rPr>
          <w:rFonts w:asciiTheme="majorEastAsia" w:eastAsiaTheme="majorEastAsia" w:hAnsiTheme="majorEastAsia"/>
        </w:rPr>
      </w:pPr>
      <w:r w:rsidRPr="00360C05">
        <w:rPr>
          <w:rFonts w:asciiTheme="majorEastAsia" w:eastAsiaTheme="majorEastAsia" w:hAnsiTheme="majorEastAsia" w:hint="eastAsia"/>
          <w:bCs/>
        </w:rPr>
        <w:t>三瑞智能</w:t>
      </w:r>
      <w:r w:rsidR="00141CA4" w:rsidRPr="00C251FE">
        <w:rPr>
          <w:rFonts w:asciiTheme="majorEastAsia" w:eastAsiaTheme="majorEastAsia" w:hAnsiTheme="majorEastAsia" w:hint="eastAsia"/>
        </w:rPr>
        <w:t>本次发行价格为</w:t>
      </w:r>
      <w:r w:rsidRPr="00360C05">
        <w:rPr>
          <w:rFonts w:asciiTheme="majorEastAsia" w:eastAsiaTheme="majorEastAsia" w:hAnsiTheme="majorEastAsia"/>
        </w:rPr>
        <w:t>24.68</w:t>
      </w:r>
      <w:r w:rsidR="00630D17">
        <w:rPr>
          <w:rFonts w:asciiTheme="majorEastAsia" w:eastAsiaTheme="majorEastAsia" w:hAnsiTheme="majorEastAsia" w:hint="eastAsia"/>
        </w:rPr>
        <w:t>元</w:t>
      </w:r>
      <w:r w:rsidR="00141CA4" w:rsidRPr="00C251FE">
        <w:rPr>
          <w:rFonts w:asciiTheme="majorEastAsia" w:eastAsiaTheme="majorEastAsia" w:hAnsiTheme="majorEastAsia" w:hint="eastAsia"/>
        </w:rPr>
        <w:t>/股，</w:t>
      </w:r>
      <w:r w:rsidR="005A69BF">
        <w:rPr>
          <w:rFonts w:asciiTheme="majorEastAsia" w:eastAsiaTheme="majorEastAsia" w:hAnsiTheme="majorEastAsia" w:hint="eastAsia"/>
        </w:rPr>
        <w:t>由</w:t>
      </w:r>
      <w:r w:rsidRPr="00360C05">
        <w:rPr>
          <w:rFonts w:asciiTheme="majorEastAsia" w:eastAsiaTheme="majorEastAsia" w:hAnsiTheme="majorEastAsia" w:hint="eastAsia"/>
        </w:rPr>
        <w:t>发行人与保荐人（主承销商）根据初步询价结果情况并综合考虑剩余报价及拟申购数量、有效认购倍数、发行人所处行业、市场情况、同行业上市公司估值水平、募集资金需求及承销风险等因素</w:t>
      </w:r>
      <w:r w:rsidR="008B0912">
        <w:rPr>
          <w:rFonts w:asciiTheme="majorEastAsia" w:eastAsiaTheme="majorEastAsia" w:hAnsiTheme="majorEastAsia" w:hint="eastAsia"/>
        </w:rPr>
        <w:t>协商确定</w:t>
      </w:r>
      <w:r w:rsidR="003177A3">
        <w:rPr>
          <w:rFonts w:asciiTheme="majorEastAsia" w:eastAsiaTheme="majorEastAsia" w:hAnsiTheme="majorEastAsia" w:hint="eastAsia"/>
        </w:rPr>
        <w:t>。</w:t>
      </w:r>
      <w:r w:rsidR="00141CA4" w:rsidRPr="00923081">
        <w:rPr>
          <w:rFonts w:asciiTheme="majorEastAsia" w:eastAsiaTheme="majorEastAsia" w:hAnsiTheme="majorEastAsia" w:hint="eastAsia"/>
        </w:rPr>
        <w:t>本公司旗下</w:t>
      </w:r>
      <w:r w:rsidR="00B47AB1">
        <w:rPr>
          <w:rFonts w:asciiTheme="majorEastAsia" w:eastAsiaTheme="majorEastAsia" w:hAnsiTheme="majorEastAsia" w:hint="eastAsia"/>
        </w:rPr>
        <w:t>由</w:t>
      </w:r>
      <w:r w:rsidR="00134F94">
        <w:t>国泰海通证券或浦发银行</w:t>
      </w:r>
      <w:r w:rsidR="00B47AB1">
        <w:rPr>
          <w:rFonts w:asciiTheme="majorEastAsia" w:eastAsiaTheme="majorEastAsia" w:hAnsiTheme="majorEastAsia" w:hint="eastAsia"/>
        </w:rPr>
        <w:t>托管的</w:t>
      </w:r>
      <w:r w:rsidR="00C72EF5">
        <w:rPr>
          <w:rFonts w:asciiTheme="majorEastAsia" w:eastAsiaTheme="majorEastAsia" w:hAnsiTheme="majorEastAsia" w:hint="eastAsia"/>
        </w:rPr>
        <w:t>公募</w:t>
      </w:r>
      <w:r w:rsidR="00141CA4" w:rsidRPr="00923081">
        <w:rPr>
          <w:rFonts w:asciiTheme="majorEastAsia" w:eastAsiaTheme="majorEastAsia" w:hAnsiTheme="majorEastAsia" w:hint="eastAsia"/>
        </w:rPr>
        <w:t>基金参与</w:t>
      </w:r>
      <w:r w:rsidRPr="00360C05">
        <w:rPr>
          <w:rFonts w:asciiTheme="majorEastAsia" w:eastAsiaTheme="majorEastAsia" w:hAnsiTheme="majorEastAsia" w:hint="eastAsia"/>
          <w:bCs/>
        </w:rPr>
        <w:t>三瑞智能</w:t>
      </w:r>
      <w:r w:rsidR="00141CA4" w:rsidRPr="00923081">
        <w:rPr>
          <w:rFonts w:asciiTheme="majorEastAsia" w:eastAsiaTheme="majorEastAsia" w:hAnsiTheme="majorEastAsia" w:hint="eastAsia"/>
        </w:rPr>
        <w:t>本次发行</w:t>
      </w:r>
      <w:r w:rsidR="00500520">
        <w:rPr>
          <w:rFonts w:asciiTheme="majorEastAsia" w:eastAsiaTheme="majorEastAsia" w:hAnsiTheme="majorEastAsia" w:hint="eastAsia"/>
        </w:rPr>
        <w:t>申购</w:t>
      </w:r>
      <w:r w:rsidR="00141CA4" w:rsidRPr="00923081">
        <w:rPr>
          <w:rFonts w:asciiTheme="majorEastAsia" w:eastAsiaTheme="majorEastAsia" w:hAnsiTheme="majorEastAsia" w:hint="eastAsia"/>
        </w:rPr>
        <w:t>的获配信息如下</w:t>
      </w:r>
      <w:r w:rsidR="00141CA4" w:rsidRPr="001F12D1">
        <w:rPr>
          <w:rFonts w:asciiTheme="majorEastAsia" w:eastAsiaTheme="majorEastAsia" w:hAnsiTheme="majorEastAsia" w:hint="eastAsia"/>
        </w:rPr>
        <w:t>：</w:t>
      </w:r>
    </w:p>
    <w:tbl>
      <w:tblPr>
        <w:tblW w:w="4931" w:type="pct"/>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59"/>
        <w:gridCol w:w="1419"/>
        <w:gridCol w:w="1417"/>
        <w:gridCol w:w="1609"/>
      </w:tblGrid>
      <w:tr w:rsidR="005A2375" w:rsidTr="00360C05">
        <w:trPr>
          <w:trHeight w:val="283"/>
        </w:trPr>
        <w:tc>
          <w:tcPr>
            <w:tcW w:w="2355" w:type="pct"/>
            <w:shd w:val="clear" w:color="auto" w:fill="auto"/>
            <w:noWrap/>
            <w:vAlign w:val="center"/>
            <w:hideMark/>
          </w:tcPr>
          <w:p w:rsidR="00360C05" w:rsidRPr="00630D17" w:rsidRDefault="000806BF" w:rsidP="008328C4">
            <w:pPr>
              <w:widowControl/>
              <w:jc w:val="center"/>
              <w:rPr>
                <w:rFonts w:ascii="宋体" w:hAnsi="宋体" w:cs="宋体"/>
                <w:color w:val="000000"/>
                <w:kern w:val="0"/>
                <w:szCs w:val="21"/>
              </w:rPr>
            </w:pPr>
            <w:r w:rsidRPr="00630D17">
              <w:rPr>
                <w:rFonts w:ascii="宋体" w:hAnsi="宋体" w:cs="宋体" w:hint="eastAsia"/>
                <w:color w:val="000000"/>
                <w:kern w:val="0"/>
                <w:szCs w:val="21"/>
              </w:rPr>
              <w:t>基金名称</w:t>
            </w:r>
          </w:p>
        </w:tc>
        <w:tc>
          <w:tcPr>
            <w:tcW w:w="844" w:type="pct"/>
            <w:shd w:val="clear" w:color="auto" w:fill="auto"/>
            <w:noWrap/>
            <w:vAlign w:val="center"/>
            <w:hideMark/>
          </w:tcPr>
          <w:p w:rsidR="00360C05" w:rsidRPr="00630D17" w:rsidRDefault="000806BF" w:rsidP="008328C4">
            <w:pPr>
              <w:widowControl/>
              <w:jc w:val="center"/>
              <w:rPr>
                <w:rFonts w:ascii="宋体" w:hAnsi="宋体" w:cs="宋体"/>
                <w:color w:val="000000"/>
                <w:kern w:val="0"/>
                <w:szCs w:val="21"/>
              </w:rPr>
            </w:pPr>
            <w:r w:rsidRPr="00630D17">
              <w:rPr>
                <w:rFonts w:ascii="宋体" w:hAnsi="宋体" w:cs="宋体" w:hint="eastAsia"/>
                <w:color w:val="000000"/>
                <w:kern w:val="0"/>
                <w:szCs w:val="21"/>
              </w:rPr>
              <w:t>获配数量（股）</w:t>
            </w:r>
          </w:p>
        </w:tc>
        <w:tc>
          <w:tcPr>
            <w:tcW w:w="843" w:type="pct"/>
            <w:shd w:val="clear" w:color="auto" w:fill="auto"/>
            <w:noWrap/>
            <w:vAlign w:val="center"/>
            <w:hideMark/>
          </w:tcPr>
          <w:p w:rsidR="00360C05" w:rsidRPr="00630D17" w:rsidRDefault="000806BF" w:rsidP="008328C4">
            <w:pPr>
              <w:widowControl/>
              <w:jc w:val="center"/>
              <w:rPr>
                <w:rFonts w:ascii="宋体" w:hAnsi="宋体" w:cs="宋体"/>
                <w:color w:val="000000"/>
                <w:kern w:val="0"/>
                <w:szCs w:val="21"/>
              </w:rPr>
            </w:pPr>
            <w:r>
              <w:rPr>
                <w:rFonts w:ascii="宋体" w:hAnsi="宋体" w:cs="宋体" w:hint="eastAsia"/>
                <w:color w:val="000000"/>
                <w:kern w:val="0"/>
                <w:szCs w:val="21"/>
              </w:rPr>
              <w:t>获配金额（</w:t>
            </w:r>
            <w:r w:rsidRPr="00630D17">
              <w:rPr>
                <w:rFonts w:ascii="宋体" w:hAnsi="宋体" w:cs="宋体" w:hint="eastAsia"/>
                <w:color w:val="000000"/>
                <w:kern w:val="0"/>
                <w:szCs w:val="21"/>
              </w:rPr>
              <w:t>元）</w:t>
            </w:r>
          </w:p>
        </w:tc>
        <w:tc>
          <w:tcPr>
            <w:tcW w:w="957" w:type="pct"/>
            <w:vAlign w:val="center"/>
          </w:tcPr>
          <w:p w:rsidR="00360C05" w:rsidRDefault="000806BF" w:rsidP="00360C05">
            <w:pPr>
              <w:widowControl/>
              <w:jc w:val="center"/>
              <w:rPr>
                <w:rFonts w:ascii="宋体" w:hAnsi="宋体" w:cs="宋体"/>
                <w:color w:val="000000"/>
                <w:kern w:val="0"/>
                <w:szCs w:val="21"/>
              </w:rPr>
            </w:pPr>
            <w:r>
              <w:rPr>
                <w:rFonts w:ascii="宋体" w:hAnsi="宋体" w:cs="宋体" w:hint="eastAsia"/>
                <w:color w:val="000000"/>
                <w:kern w:val="0"/>
                <w:szCs w:val="21"/>
              </w:rPr>
              <w:t>基金托管人</w:t>
            </w:r>
          </w:p>
        </w:tc>
      </w:tr>
      <w:tr w:rsidR="005A2375" w:rsidTr="00360C05">
        <w:trPr>
          <w:trHeight w:val="290"/>
        </w:trPr>
        <w:tc>
          <w:tcPr>
            <w:tcW w:w="2355" w:type="pct"/>
            <w:shd w:val="clear" w:color="auto" w:fill="auto"/>
            <w:noWrap/>
            <w:vAlign w:val="center"/>
            <w:hideMark/>
          </w:tcPr>
          <w:p w:rsidR="00360C05" w:rsidRPr="00630D17" w:rsidRDefault="000806BF" w:rsidP="00360C05">
            <w:pPr>
              <w:widowControl/>
              <w:jc w:val="center"/>
              <w:rPr>
                <w:rFonts w:ascii="宋体" w:hAnsi="宋体" w:cs="宋体"/>
                <w:color w:val="000000"/>
                <w:kern w:val="0"/>
                <w:szCs w:val="21"/>
              </w:rPr>
            </w:pPr>
            <w:r>
              <w:lastRenderedPageBreak/>
              <w:t>易方达中证</w:t>
            </w:r>
            <w:r w:rsidRPr="00360C05">
              <w:rPr>
                <w:rFonts w:asciiTheme="minorEastAsia" w:eastAsiaTheme="minorEastAsia" w:hAnsiTheme="minorEastAsia"/>
              </w:rPr>
              <w:t>1000</w:t>
            </w:r>
            <w:r>
              <w:t>交易型开放式指数证券投资基金</w:t>
            </w:r>
          </w:p>
        </w:tc>
        <w:tc>
          <w:tcPr>
            <w:tcW w:w="844" w:type="pct"/>
            <w:shd w:val="clear" w:color="000000" w:fill="FFFFFF"/>
            <w:noWrap/>
            <w:vAlign w:val="center"/>
            <w:hideMark/>
          </w:tcPr>
          <w:p w:rsidR="00360C05" w:rsidRPr="00630D17" w:rsidRDefault="000806BF" w:rsidP="00630D17">
            <w:pPr>
              <w:widowControl/>
              <w:jc w:val="right"/>
              <w:rPr>
                <w:rFonts w:ascii="宋体" w:hAnsi="宋体" w:cs="宋体"/>
                <w:color w:val="000000"/>
                <w:kern w:val="0"/>
                <w:szCs w:val="21"/>
              </w:rPr>
            </w:pPr>
            <w:r w:rsidRPr="00360C05">
              <w:rPr>
                <w:rFonts w:ascii="宋体" w:hAnsi="宋体" w:cs="宋体"/>
                <w:color w:val="000000"/>
                <w:kern w:val="0"/>
                <w:szCs w:val="21"/>
              </w:rPr>
              <w:t>2,157</w:t>
            </w:r>
          </w:p>
        </w:tc>
        <w:tc>
          <w:tcPr>
            <w:tcW w:w="843" w:type="pct"/>
            <w:shd w:val="clear" w:color="000000" w:fill="FFFFFF"/>
            <w:noWrap/>
            <w:vAlign w:val="center"/>
            <w:hideMark/>
          </w:tcPr>
          <w:p w:rsidR="00360C05" w:rsidRPr="00630D17" w:rsidRDefault="000806BF" w:rsidP="00DC4AD4">
            <w:pPr>
              <w:widowControl/>
              <w:jc w:val="right"/>
              <w:rPr>
                <w:rFonts w:ascii="宋体" w:hAnsi="宋体" w:cs="宋体"/>
                <w:color w:val="000000"/>
                <w:kern w:val="0"/>
                <w:szCs w:val="21"/>
              </w:rPr>
            </w:pPr>
            <w:r w:rsidRPr="00360C05">
              <w:rPr>
                <w:rFonts w:ascii="宋体" w:hAnsi="宋体" w:cs="宋体"/>
                <w:color w:val="000000"/>
                <w:kern w:val="0"/>
                <w:szCs w:val="21"/>
              </w:rPr>
              <w:t>53,234.76</w:t>
            </w:r>
          </w:p>
        </w:tc>
        <w:tc>
          <w:tcPr>
            <w:tcW w:w="957" w:type="pct"/>
            <w:shd w:val="clear" w:color="000000" w:fill="FFFFFF"/>
            <w:vAlign w:val="center"/>
          </w:tcPr>
          <w:p w:rsidR="00360C05" w:rsidRPr="00552942" w:rsidRDefault="000806BF" w:rsidP="00360C05">
            <w:pPr>
              <w:widowControl/>
              <w:jc w:val="center"/>
              <w:rPr>
                <w:rFonts w:ascii="宋体" w:hAnsi="宋体" w:cs="宋体"/>
                <w:color w:val="000000"/>
                <w:kern w:val="0"/>
                <w:szCs w:val="21"/>
              </w:rPr>
            </w:pPr>
            <w:r>
              <w:rPr>
                <w:rFonts w:ascii="宋体" w:hAnsi="宋体" w:cs="宋体" w:hint="eastAsia"/>
                <w:color w:val="000000"/>
                <w:kern w:val="0"/>
                <w:szCs w:val="21"/>
              </w:rPr>
              <w:t>国泰海通证券</w:t>
            </w:r>
          </w:p>
        </w:tc>
      </w:tr>
      <w:tr w:rsidR="005A2375" w:rsidTr="00360C05">
        <w:trPr>
          <w:trHeight w:val="290"/>
        </w:trPr>
        <w:tc>
          <w:tcPr>
            <w:tcW w:w="2355" w:type="pct"/>
            <w:shd w:val="clear" w:color="auto" w:fill="auto"/>
            <w:noWrap/>
            <w:vAlign w:val="center"/>
          </w:tcPr>
          <w:p w:rsidR="00360C05" w:rsidRPr="00552942" w:rsidRDefault="000806BF" w:rsidP="00360C05">
            <w:pPr>
              <w:widowControl/>
              <w:jc w:val="center"/>
              <w:rPr>
                <w:rFonts w:ascii="宋体" w:hAnsi="宋体" w:cs="宋体"/>
                <w:color w:val="000000"/>
                <w:kern w:val="0"/>
                <w:szCs w:val="21"/>
              </w:rPr>
            </w:pPr>
            <w:r w:rsidRPr="00360C05">
              <w:rPr>
                <w:rFonts w:ascii="宋体" w:hAnsi="宋体" w:cs="宋体" w:hint="eastAsia"/>
                <w:color w:val="000000"/>
                <w:kern w:val="0"/>
                <w:szCs w:val="21"/>
              </w:rPr>
              <w:t>易方达中证</w:t>
            </w:r>
            <w:r w:rsidRPr="00360C05">
              <w:rPr>
                <w:rFonts w:ascii="宋体" w:hAnsi="宋体" w:cs="宋体" w:hint="eastAsia"/>
                <w:color w:val="000000"/>
                <w:kern w:val="0"/>
                <w:szCs w:val="21"/>
              </w:rPr>
              <w:t>2000</w:t>
            </w:r>
            <w:r w:rsidRPr="00360C05">
              <w:rPr>
                <w:rFonts w:ascii="宋体" w:hAnsi="宋体" w:cs="宋体" w:hint="eastAsia"/>
                <w:color w:val="000000"/>
                <w:kern w:val="0"/>
                <w:szCs w:val="21"/>
              </w:rPr>
              <w:t>交易型开放式指数证券投资基金</w:t>
            </w:r>
          </w:p>
        </w:tc>
        <w:tc>
          <w:tcPr>
            <w:tcW w:w="844" w:type="pct"/>
            <w:shd w:val="clear" w:color="000000" w:fill="FFFFFF"/>
            <w:noWrap/>
            <w:vAlign w:val="center"/>
          </w:tcPr>
          <w:p w:rsidR="00360C05" w:rsidRPr="00552942" w:rsidRDefault="000806BF" w:rsidP="00360C05">
            <w:pPr>
              <w:widowControl/>
              <w:jc w:val="right"/>
              <w:rPr>
                <w:rFonts w:ascii="宋体" w:hAnsi="宋体" w:cs="宋体"/>
                <w:color w:val="000000"/>
                <w:kern w:val="0"/>
                <w:szCs w:val="21"/>
              </w:rPr>
            </w:pPr>
            <w:r w:rsidRPr="00360C05">
              <w:rPr>
                <w:rFonts w:ascii="宋体" w:hAnsi="宋体" w:cs="宋体"/>
                <w:color w:val="000000"/>
                <w:kern w:val="0"/>
                <w:szCs w:val="21"/>
              </w:rPr>
              <w:t>1,078</w:t>
            </w:r>
          </w:p>
        </w:tc>
        <w:tc>
          <w:tcPr>
            <w:tcW w:w="843" w:type="pct"/>
            <w:shd w:val="clear" w:color="000000" w:fill="FFFFFF"/>
            <w:noWrap/>
            <w:vAlign w:val="center"/>
          </w:tcPr>
          <w:p w:rsidR="00360C05" w:rsidRPr="00552942" w:rsidRDefault="000806BF" w:rsidP="00360C05">
            <w:pPr>
              <w:widowControl/>
              <w:jc w:val="right"/>
              <w:rPr>
                <w:rFonts w:ascii="宋体" w:hAnsi="宋体" w:cs="宋体"/>
                <w:color w:val="000000"/>
                <w:kern w:val="0"/>
                <w:szCs w:val="21"/>
              </w:rPr>
            </w:pPr>
            <w:r w:rsidRPr="00360C05">
              <w:rPr>
                <w:rFonts w:ascii="宋体" w:hAnsi="宋体" w:cs="宋体"/>
                <w:color w:val="000000"/>
                <w:kern w:val="0"/>
                <w:szCs w:val="21"/>
              </w:rPr>
              <w:t>26,605.04</w:t>
            </w:r>
          </w:p>
        </w:tc>
        <w:tc>
          <w:tcPr>
            <w:tcW w:w="957" w:type="pct"/>
            <w:shd w:val="clear" w:color="000000" w:fill="FFFFFF"/>
            <w:vAlign w:val="center"/>
          </w:tcPr>
          <w:p w:rsidR="00360C05" w:rsidRPr="00552942" w:rsidRDefault="000806BF" w:rsidP="00360C05">
            <w:pPr>
              <w:widowControl/>
              <w:jc w:val="center"/>
              <w:rPr>
                <w:rFonts w:ascii="宋体" w:hAnsi="宋体" w:cs="宋体"/>
                <w:color w:val="000000"/>
                <w:kern w:val="0"/>
                <w:szCs w:val="21"/>
              </w:rPr>
            </w:pPr>
            <w:r>
              <w:rPr>
                <w:rFonts w:ascii="宋体" w:hAnsi="宋体" w:cs="宋体" w:hint="eastAsia"/>
                <w:color w:val="000000"/>
                <w:kern w:val="0"/>
                <w:szCs w:val="21"/>
              </w:rPr>
              <w:t>国泰海通证券</w:t>
            </w:r>
          </w:p>
        </w:tc>
      </w:tr>
      <w:tr w:rsidR="005A2375" w:rsidTr="00360C05">
        <w:trPr>
          <w:trHeight w:val="290"/>
        </w:trPr>
        <w:tc>
          <w:tcPr>
            <w:tcW w:w="2355" w:type="pct"/>
            <w:shd w:val="clear" w:color="auto" w:fill="auto"/>
            <w:noWrap/>
            <w:vAlign w:val="center"/>
          </w:tcPr>
          <w:p w:rsidR="00360C05" w:rsidRPr="00360C05" w:rsidRDefault="000806BF" w:rsidP="00360C05">
            <w:pPr>
              <w:widowControl/>
              <w:jc w:val="center"/>
              <w:rPr>
                <w:rFonts w:ascii="宋体" w:hAnsi="宋体" w:cs="宋体"/>
                <w:color w:val="000000"/>
                <w:kern w:val="0"/>
                <w:szCs w:val="21"/>
              </w:rPr>
            </w:pPr>
            <w:r w:rsidRPr="00360C05">
              <w:rPr>
                <w:rFonts w:ascii="宋体" w:hAnsi="宋体" w:cs="宋体" w:hint="eastAsia"/>
                <w:color w:val="000000"/>
                <w:kern w:val="0"/>
                <w:szCs w:val="21"/>
              </w:rPr>
              <w:t>易方达深证</w:t>
            </w:r>
            <w:r w:rsidRPr="00360C05">
              <w:rPr>
                <w:rFonts w:ascii="宋体" w:hAnsi="宋体" w:cs="宋体" w:hint="eastAsia"/>
                <w:color w:val="000000"/>
                <w:kern w:val="0"/>
                <w:szCs w:val="21"/>
              </w:rPr>
              <w:t>50</w:t>
            </w:r>
            <w:r w:rsidRPr="00360C05">
              <w:rPr>
                <w:rFonts w:ascii="宋体" w:hAnsi="宋体" w:cs="宋体" w:hint="eastAsia"/>
                <w:color w:val="000000"/>
                <w:kern w:val="0"/>
                <w:szCs w:val="21"/>
              </w:rPr>
              <w:t>交易型开放式指数证券投资基金</w:t>
            </w:r>
          </w:p>
        </w:tc>
        <w:tc>
          <w:tcPr>
            <w:tcW w:w="844" w:type="pct"/>
            <w:shd w:val="clear" w:color="000000" w:fill="FFFFFF"/>
            <w:noWrap/>
            <w:vAlign w:val="center"/>
          </w:tcPr>
          <w:p w:rsidR="00360C05" w:rsidRPr="00552942" w:rsidRDefault="000806BF" w:rsidP="00360C05">
            <w:pPr>
              <w:widowControl/>
              <w:jc w:val="right"/>
              <w:rPr>
                <w:rFonts w:ascii="宋体" w:hAnsi="宋体" w:cs="宋体"/>
                <w:color w:val="000000"/>
                <w:kern w:val="0"/>
                <w:szCs w:val="21"/>
              </w:rPr>
            </w:pPr>
            <w:r w:rsidRPr="004748B8">
              <w:rPr>
                <w:rFonts w:ascii="宋体" w:hAnsi="宋体" w:cs="宋体"/>
                <w:color w:val="000000"/>
                <w:kern w:val="0"/>
                <w:szCs w:val="21"/>
              </w:rPr>
              <w:t>952</w:t>
            </w:r>
          </w:p>
        </w:tc>
        <w:tc>
          <w:tcPr>
            <w:tcW w:w="843" w:type="pct"/>
            <w:shd w:val="clear" w:color="000000" w:fill="FFFFFF"/>
            <w:noWrap/>
            <w:vAlign w:val="center"/>
          </w:tcPr>
          <w:p w:rsidR="00360C05" w:rsidRPr="00552942" w:rsidRDefault="000806BF" w:rsidP="00360C05">
            <w:pPr>
              <w:widowControl/>
              <w:jc w:val="right"/>
              <w:rPr>
                <w:rFonts w:ascii="宋体" w:hAnsi="宋体" w:cs="宋体"/>
                <w:color w:val="000000"/>
                <w:kern w:val="0"/>
                <w:szCs w:val="21"/>
              </w:rPr>
            </w:pPr>
            <w:r w:rsidRPr="004748B8">
              <w:rPr>
                <w:rFonts w:ascii="宋体" w:hAnsi="宋体" w:cs="宋体"/>
                <w:color w:val="000000"/>
                <w:kern w:val="0"/>
                <w:szCs w:val="21"/>
              </w:rPr>
              <w:t>23,495.36</w:t>
            </w:r>
          </w:p>
        </w:tc>
        <w:tc>
          <w:tcPr>
            <w:tcW w:w="957" w:type="pct"/>
            <w:shd w:val="clear" w:color="000000" w:fill="FFFFFF"/>
            <w:vAlign w:val="center"/>
          </w:tcPr>
          <w:p w:rsidR="00360C05" w:rsidRPr="00552942" w:rsidRDefault="000806BF" w:rsidP="00360C05">
            <w:pPr>
              <w:widowControl/>
              <w:jc w:val="center"/>
              <w:rPr>
                <w:rFonts w:ascii="宋体" w:hAnsi="宋体" w:cs="宋体"/>
                <w:color w:val="000000"/>
                <w:kern w:val="0"/>
                <w:szCs w:val="21"/>
              </w:rPr>
            </w:pPr>
            <w:r>
              <w:rPr>
                <w:rFonts w:ascii="宋体" w:hAnsi="宋体" w:cs="宋体" w:hint="eastAsia"/>
                <w:color w:val="000000"/>
                <w:kern w:val="0"/>
                <w:szCs w:val="21"/>
              </w:rPr>
              <w:t>国泰海通证券</w:t>
            </w:r>
          </w:p>
        </w:tc>
      </w:tr>
      <w:tr w:rsidR="005A2375" w:rsidTr="00360C05">
        <w:trPr>
          <w:trHeight w:val="290"/>
        </w:trPr>
        <w:tc>
          <w:tcPr>
            <w:tcW w:w="2355" w:type="pct"/>
            <w:shd w:val="clear" w:color="auto" w:fill="auto"/>
            <w:noWrap/>
            <w:vAlign w:val="center"/>
          </w:tcPr>
          <w:p w:rsidR="004748B8" w:rsidRPr="00552942" w:rsidRDefault="000806BF" w:rsidP="004748B8">
            <w:pPr>
              <w:widowControl/>
              <w:jc w:val="center"/>
              <w:rPr>
                <w:rFonts w:ascii="宋体" w:hAnsi="宋体" w:cs="宋体"/>
                <w:color w:val="000000"/>
                <w:kern w:val="0"/>
                <w:szCs w:val="21"/>
              </w:rPr>
            </w:pPr>
            <w:r>
              <w:t>易方达瑞程灵活配置混合型证券投资基金</w:t>
            </w:r>
          </w:p>
        </w:tc>
        <w:tc>
          <w:tcPr>
            <w:tcW w:w="844" w:type="pct"/>
            <w:shd w:val="clear" w:color="000000" w:fill="FFFFFF"/>
            <w:noWrap/>
            <w:vAlign w:val="center"/>
          </w:tcPr>
          <w:p w:rsidR="004748B8" w:rsidRPr="00630D17" w:rsidRDefault="000806BF" w:rsidP="004748B8">
            <w:pPr>
              <w:widowControl/>
              <w:jc w:val="right"/>
              <w:rPr>
                <w:rFonts w:ascii="宋体" w:hAnsi="宋体" w:cs="宋体"/>
                <w:color w:val="000000"/>
                <w:kern w:val="0"/>
                <w:szCs w:val="21"/>
              </w:rPr>
            </w:pPr>
            <w:r w:rsidRPr="00360C05">
              <w:rPr>
                <w:rFonts w:ascii="宋体" w:hAnsi="宋体" w:cs="宋体"/>
                <w:color w:val="000000"/>
                <w:kern w:val="0"/>
                <w:szCs w:val="21"/>
              </w:rPr>
              <w:t>2,157</w:t>
            </w:r>
          </w:p>
        </w:tc>
        <w:tc>
          <w:tcPr>
            <w:tcW w:w="843" w:type="pct"/>
            <w:shd w:val="clear" w:color="000000" w:fill="FFFFFF"/>
            <w:noWrap/>
            <w:vAlign w:val="center"/>
          </w:tcPr>
          <w:p w:rsidR="004748B8" w:rsidRPr="00630D17" w:rsidRDefault="000806BF" w:rsidP="004748B8">
            <w:pPr>
              <w:widowControl/>
              <w:jc w:val="right"/>
              <w:rPr>
                <w:rFonts w:ascii="宋体" w:hAnsi="宋体" w:cs="宋体"/>
                <w:color w:val="000000"/>
                <w:kern w:val="0"/>
                <w:szCs w:val="21"/>
              </w:rPr>
            </w:pPr>
            <w:r w:rsidRPr="00360C05">
              <w:rPr>
                <w:rFonts w:ascii="宋体" w:hAnsi="宋体" w:cs="宋体"/>
                <w:color w:val="000000"/>
                <w:kern w:val="0"/>
                <w:szCs w:val="21"/>
              </w:rPr>
              <w:t>53,234.76</w:t>
            </w:r>
          </w:p>
        </w:tc>
        <w:tc>
          <w:tcPr>
            <w:tcW w:w="957" w:type="pct"/>
            <w:shd w:val="clear" w:color="000000" w:fill="FFFFFF"/>
            <w:vAlign w:val="center"/>
          </w:tcPr>
          <w:p w:rsidR="004748B8" w:rsidRPr="00552942" w:rsidRDefault="000806BF" w:rsidP="004748B8">
            <w:pPr>
              <w:widowControl/>
              <w:jc w:val="center"/>
              <w:rPr>
                <w:rFonts w:ascii="宋体" w:hAnsi="宋体" w:cs="宋体"/>
                <w:color w:val="000000"/>
                <w:kern w:val="0"/>
                <w:szCs w:val="21"/>
              </w:rPr>
            </w:pPr>
            <w:r>
              <w:t>浦发银行</w:t>
            </w:r>
          </w:p>
        </w:tc>
      </w:tr>
      <w:tr w:rsidR="005A2375" w:rsidTr="00360C05">
        <w:trPr>
          <w:trHeight w:val="290"/>
        </w:trPr>
        <w:tc>
          <w:tcPr>
            <w:tcW w:w="2355" w:type="pct"/>
            <w:shd w:val="clear" w:color="auto" w:fill="auto"/>
            <w:noWrap/>
            <w:vAlign w:val="center"/>
          </w:tcPr>
          <w:p w:rsidR="004748B8" w:rsidRPr="00552942" w:rsidRDefault="000806BF" w:rsidP="004748B8">
            <w:pPr>
              <w:widowControl/>
              <w:jc w:val="center"/>
              <w:rPr>
                <w:rFonts w:ascii="宋体" w:hAnsi="宋体" w:cs="宋体"/>
                <w:color w:val="000000"/>
                <w:kern w:val="0"/>
                <w:szCs w:val="21"/>
              </w:rPr>
            </w:pPr>
            <w:r w:rsidRPr="00360C05">
              <w:rPr>
                <w:rFonts w:ascii="宋体" w:hAnsi="宋体" w:cs="宋体" w:hint="eastAsia"/>
                <w:color w:val="000000"/>
                <w:kern w:val="0"/>
                <w:szCs w:val="21"/>
              </w:rPr>
              <w:t>易方达稳健回报混合型证券投资基金</w:t>
            </w:r>
          </w:p>
        </w:tc>
        <w:tc>
          <w:tcPr>
            <w:tcW w:w="844" w:type="pct"/>
            <w:shd w:val="clear" w:color="000000" w:fill="FFFFFF"/>
            <w:noWrap/>
            <w:vAlign w:val="center"/>
          </w:tcPr>
          <w:p w:rsidR="004748B8" w:rsidRPr="00630D17" w:rsidRDefault="000806BF" w:rsidP="004748B8">
            <w:pPr>
              <w:widowControl/>
              <w:jc w:val="right"/>
              <w:rPr>
                <w:rFonts w:ascii="宋体" w:hAnsi="宋体" w:cs="宋体"/>
                <w:color w:val="000000"/>
                <w:kern w:val="0"/>
                <w:szCs w:val="21"/>
              </w:rPr>
            </w:pPr>
            <w:r w:rsidRPr="00360C05">
              <w:rPr>
                <w:rFonts w:ascii="宋体" w:hAnsi="宋体" w:cs="宋体"/>
                <w:color w:val="000000"/>
                <w:kern w:val="0"/>
                <w:szCs w:val="21"/>
              </w:rPr>
              <w:t>2,157</w:t>
            </w:r>
          </w:p>
        </w:tc>
        <w:tc>
          <w:tcPr>
            <w:tcW w:w="843" w:type="pct"/>
            <w:shd w:val="clear" w:color="000000" w:fill="FFFFFF"/>
            <w:noWrap/>
            <w:vAlign w:val="center"/>
          </w:tcPr>
          <w:p w:rsidR="004748B8" w:rsidRPr="00630D17" w:rsidRDefault="000806BF" w:rsidP="004748B8">
            <w:pPr>
              <w:widowControl/>
              <w:jc w:val="right"/>
              <w:rPr>
                <w:rFonts w:ascii="宋体" w:hAnsi="宋体" w:cs="宋体"/>
                <w:color w:val="000000"/>
                <w:kern w:val="0"/>
                <w:szCs w:val="21"/>
              </w:rPr>
            </w:pPr>
            <w:r w:rsidRPr="00360C05">
              <w:rPr>
                <w:rFonts w:ascii="宋体" w:hAnsi="宋体" w:cs="宋体"/>
                <w:color w:val="000000"/>
                <w:kern w:val="0"/>
                <w:szCs w:val="21"/>
              </w:rPr>
              <w:t>53,234.76</w:t>
            </w:r>
          </w:p>
        </w:tc>
        <w:tc>
          <w:tcPr>
            <w:tcW w:w="957" w:type="pct"/>
            <w:shd w:val="clear" w:color="000000" w:fill="FFFFFF"/>
            <w:vAlign w:val="center"/>
          </w:tcPr>
          <w:p w:rsidR="004748B8" w:rsidRPr="00552942" w:rsidRDefault="000806BF" w:rsidP="004748B8">
            <w:pPr>
              <w:widowControl/>
              <w:jc w:val="center"/>
              <w:rPr>
                <w:rFonts w:ascii="宋体" w:hAnsi="宋体" w:cs="宋体"/>
                <w:color w:val="000000"/>
                <w:kern w:val="0"/>
                <w:szCs w:val="21"/>
              </w:rPr>
            </w:pPr>
            <w:r>
              <w:t>浦发银行</w:t>
            </w:r>
          </w:p>
        </w:tc>
      </w:tr>
      <w:tr w:rsidR="005A2375" w:rsidTr="00360C05">
        <w:trPr>
          <w:trHeight w:val="290"/>
        </w:trPr>
        <w:tc>
          <w:tcPr>
            <w:tcW w:w="2355" w:type="pct"/>
            <w:shd w:val="clear" w:color="auto" w:fill="auto"/>
            <w:noWrap/>
            <w:vAlign w:val="center"/>
          </w:tcPr>
          <w:p w:rsidR="004748B8" w:rsidRPr="00552942" w:rsidRDefault="000806BF" w:rsidP="004748B8">
            <w:pPr>
              <w:widowControl/>
              <w:jc w:val="center"/>
              <w:rPr>
                <w:rFonts w:ascii="宋体" w:hAnsi="宋体" w:cs="宋体"/>
                <w:color w:val="000000"/>
                <w:kern w:val="0"/>
                <w:szCs w:val="21"/>
              </w:rPr>
            </w:pPr>
            <w:r>
              <w:t>易方达创新未来混合型证券投资基金（</w:t>
            </w:r>
            <w:r>
              <w:t>LOF</w:t>
            </w:r>
            <w:r>
              <w:t>）</w:t>
            </w:r>
          </w:p>
        </w:tc>
        <w:tc>
          <w:tcPr>
            <w:tcW w:w="844" w:type="pct"/>
            <w:shd w:val="clear" w:color="000000" w:fill="FFFFFF"/>
            <w:noWrap/>
            <w:vAlign w:val="center"/>
          </w:tcPr>
          <w:p w:rsidR="004748B8" w:rsidRPr="00630D17" w:rsidRDefault="000806BF" w:rsidP="004748B8">
            <w:pPr>
              <w:widowControl/>
              <w:jc w:val="right"/>
              <w:rPr>
                <w:rFonts w:ascii="宋体" w:hAnsi="宋体" w:cs="宋体"/>
                <w:color w:val="000000"/>
                <w:kern w:val="0"/>
                <w:szCs w:val="21"/>
              </w:rPr>
            </w:pPr>
            <w:r w:rsidRPr="00360C05">
              <w:rPr>
                <w:rFonts w:ascii="宋体" w:hAnsi="宋体" w:cs="宋体"/>
                <w:color w:val="000000"/>
                <w:kern w:val="0"/>
                <w:szCs w:val="21"/>
              </w:rPr>
              <w:t>2,157</w:t>
            </w:r>
          </w:p>
        </w:tc>
        <w:tc>
          <w:tcPr>
            <w:tcW w:w="843" w:type="pct"/>
            <w:shd w:val="clear" w:color="000000" w:fill="FFFFFF"/>
            <w:noWrap/>
            <w:vAlign w:val="center"/>
          </w:tcPr>
          <w:p w:rsidR="004748B8" w:rsidRPr="00630D17" w:rsidRDefault="000806BF" w:rsidP="004748B8">
            <w:pPr>
              <w:widowControl/>
              <w:jc w:val="right"/>
              <w:rPr>
                <w:rFonts w:ascii="宋体" w:hAnsi="宋体" w:cs="宋体"/>
                <w:color w:val="000000"/>
                <w:kern w:val="0"/>
                <w:szCs w:val="21"/>
              </w:rPr>
            </w:pPr>
            <w:r w:rsidRPr="00360C05">
              <w:rPr>
                <w:rFonts w:ascii="宋体" w:hAnsi="宋体" w:cs="宋体"/>
                <w:color w:val="000000"/>
                <w:kern w:val="0"/>
                <w:szCs w:val="21"/>
              </w:rPr>
              <w:t>53,234.76</w:t>
            </w:r>
          </w:p>
        </w:tc>
        <w:tc>
          <w:tcPr>
            <w:tcW w:w="957" w:type="pct"/>
            <w:shd w:val="clear" w:color="000000" w:fill="FFFFFF"/>
            <w:vAlign w:val="center"/>
          </w:tcPr>
          <w:p w:rsidR="004748B8" w:rsidRPr="00552942" w:rsidRDefault="000806BF" w:rsidP="004748B8">
            <w:pPr>
              <w:widowControl/>
              <w:jc w:val="center"/>
              <w:rPr>
                <w:rFonts w:ascii="宋体" w:hAnsi="宋体" w:cs="宋体"/>
                <w:color w:val="000000"/>
                <w:kern w:val="0"/>
                <w:szCs w:val="21"/>
              </w:rPr>
            </w:pPr>
            <w:r>
              <w:t>浦发银行</w:t>
            </w:r>
          </w:p>
        </w:tc>
      </w:tr>
      <w:tr w:rsidR="005A2375" w:rsidTr="00360C05">
        <w:trPr>
          <w:trHeight w:val="290"/>
        </w:trPr>
        <w:tc>
          <w:tcPr>
            <w:tcW w:w="2355" w:type="pct"/>
            <w:shd w:val="clear" w:color="auto" w:fill="auto"/>
            <w:noWrap/>
            <w:vAlign w:val="center"/>
          </w:tcPr>
          <w:p w:rsidR="004748B8" w:rsidRPr="00552942" w:rsidRDefault="000806BF" w:rsidP="004748B8">
            <w:pPr>
              <w:widowControl/>
              <w:jc w:val="center"/>
              <w:rPr>
                <w:rFonts w:ascii="宋体" w:hAnsi="宋体" w:cs="宋体"/>
                <w:color w:val="000000"/>
                <w:kern w:val="0"/>
                <w:szCs w:val="21"/>
              </w:rPr>
            </w:pPr>
            <w:r>
              <w:t>易方达中证消费电子主题交易型开放式指数证券投资基金</w:t>
            </w:r>
          </w:p>
        </w:tc>
        <w:tc>
          <w:tcPr>
            <w:tcW w:w="844" w:type="pct"/>
            <w:shd w:val="clear" w:color="000000" w:fill="FFFFFF"/>
            <w:noWrap/>
            <w:vAlign w:val="center"/>
          </w:tcPr>
          <w:p w:rsidR="004748B8" w:rsidRPr="00630D17" w:rsidRDefault="000806BF" w:rsidP="004748B8">
            <w:pPr>
              <w:widowControl/>
              <w:jc w:val="right"/>
              <w:rPr>
                <w:rFonts w:ascii="宋体" w:hAnsi="宋体" w:cs="宋体"/>
                <w:color w:val="000000"/>
                <w:kern w:val="0"/>
                <w:szCs w:val="21"/>
              </w:rPr>
            </w:pPr>
            <w:r w:rsidRPr="00360C05">
              <w:rPr>
                <w:rFonts w:ascii="宋体" w:hAnsi="宋体" w:cs="宋体"/>
                <w:color w:val="000000"/>
                <w:kern w:val="0"/>
                <w:szCs w:val="21"/>
              </w:rPr>
              <w:t>2,157</w:t>
            </w:r>
          </w:p>
        </w:tc>
        <w:tc>
          <w:tcPr>
            <w:tcW w:w="843" w:type="pct"/>
            <w:shd w:val="clear" w:color="000000" w:fill="FFFFFF"/>
            <w:noWrap/>
            <w:vAlign w:val="center"/>
          </w:tcPr>
          <w:p w:rsidR="004748B8" w:rsidRPr="00630D17" w:rsidRDefault="000806BF" w:rsidP="004748B8">
            <w:pPr>
              <w:widowControl/>
              <w:jc w:val="right"/>
              <w:rPr>
                <w:rFonts w:ascii="宋体" w:hAnsi="宋体" w:cs="宋体"/>
                <w:color w:val="000000"/>
                <w:kern w:val="0"/>
                <w:szCs w:val="21"/>
              </w:rPr>
            </w:pPr>
            <w:r w:rsidRPr="00360C05">
              <w:rPr>
                <w:rFonts w:ascii="宋体" w:hAnsi="宋体" w:cs="宋体"/>
                <w:color w:val="000000"/>
                <w:kern w:val="0"/>
                <w:szCs w:val="21"/>
              </w:rPr>
              <w:t>53,234.76</w:t>
            </w:r>
          </w:p>
        </w:tc>
        <w:tc>
          <w:tcPr>
            <w:tcW w:w="957" w:type="pct"/>
            <w:shd w:val="clear" w:color="000000" w:fill="FFFFFF"/>
            <w:vAlign w:val="center"/>
          </w:tcPr>
          <w:p w:rsidR="004748B8" w:rsidRPr="00552942" w:rsidRDefault="000806BF" w:rsidP="004748B8">
            <w:pPr>
              <w:widowControl/>
              <w:jc w:val="center"/>
              <w:rPr>
                <w:rFonts w:ascii="宋体" w:hAnsi="宋体" w:cs="宋体"/>
                <w:color w:val="000000"/>
                <w:kern w:val="0"/>
                <w:szCs w:val="21"/>
              </w:rPr>
            </w:pPr>
            <w:r>
              <w:t>浦发银行</w:t>
            </w:r>
          </w:p>
        </w:tc>
      </w:tr>
    </w:tbl>
    <w:p w:rsidR="00B47AB1" w:rsidRPr="00923081" w:rsidRDefault="00B47AB1" w:rsidP="00141CA4">
      <w:pPr>
        <w:widowControl/>
        <w:spacing w:line="360" w:lineRule="auto"/>
        <w:jc w:val="left"/>
        <w:rPr>
          <w:rFonts w:asciiTheme="majorEastAsia" w:eastAsiaTheme="majorEastAsia" w:hAnsiTheme="majorEastAsia"/>
          <w:kern w:val="0"/>
          <w:sz w:val="24"/>
          <w:szCs w:val="24"/>
        </w:rPr>
      </w:pPr>
    </w:p>
    <w:p w:rsidR="00141CA4" w:rsidRPr="001F12D1" w:rsidRDefault="000806BF" w:rsidP="00141CA4">
      <w:pPr>
        <w:widowControl/>
        <w:spacing w:line="360" w:lineRule="auto"/>
        <w:ind w:firstLine="480"/>
        <w:jc w:val="left"/>
        <w:rPr>
          <w:rFonts w:asciiTheme="majorEastAsia" w:eastAsiaTheme="majorEastAsia" w:hAnsiTheme="majorEastAsia" w:cs="宋体"/>
          <w:kern w:val="0"/>
          <w:sz w:val="24"/>
        </w:rPr>
      </w:pPr>
      <w:r w:rsidRPr="001F12D1">
        <w:rPr>
          <w:rFonts w:asciiTheme="majorEastAsia" w:eastAsiaTheme="majorEastAsia" w:hAnsiTheme="majorEastAsia" w:cs="宋体" w:hint="eastAsia"/>
          <w:kern w:val="0"/>
          <w:sz w:val="24"/>
        </w:rPr>
        <w:t>特此公告。</w:t>
      </w:r>
    </w:p>
    <w:p w:rsidR="00141CA4" w:rsidRPr="002077EF" w:rsidRDefault="000806BF" w:rsidP="00141CA4">
      <w:pPr>
        <w:widowControl/>
        <w:spacing w:line="360" w:lineRule="auto"/>
        <w:ind w:firstLine="480"/>
        <w:jc w:val="left"/>
        <w:rPr>
          <w:rFonts w:asciiTheme="majorEastAsia" w:eastAsiaTheme="majorEastAsia" w:hAnsiTheme="majorEastAsia"/>
          <w:kern w:val="0"/>
          <w:sz w:val="24"/>
        </w:rPr>
      </w:pPr>
      <w:r w:rsidRPr="001F12D1">
        <w:rPr>
          <w:rFonts w:asciiTheme="majorEastAsia" w:eastAsiaTheme="majorEastAsia" w:hAnsiTheme="majorEastAsia"/>
          <w:kern w:val="0"/>
          <w:sz w:val="24"/>
        </w:rPr>
        <w:t> </w:t>
      </w:r>
    </w:p>
    <w:p w:rsidR="00141CA4" w:rsidRPr="002077EF" w:rsidRDefault="000806BF" w:rsidP="00141CA4">
      <w:pPr>
        <w:widowControl/>
        <w:ind w:firstLineChars="200" w:firstLine="480"/>
        <w:jc w:val="right"/>
        <w:rPr>
          <w:rFonts w:asciiTheme="majorEastAsia" w:eastAsiaTheme="majorEastAsia" w:hAnsiTheme="majorEastAsia" w:cs="宋体"/>
          <w:kern w:val="0"/>
          <w:sz w:val="24"/>
        </w:rPr>
      </w:pPr>
      <w:r w:rsidRPr="002077EF">
        <w:rPr>
          <w:rFonts w:asciiTheme="majorEastAsia" w:eastAsiaTheme="majorEastAsia" w:hAnsiTheme="majorEastAsia"/>
          <w:kern w:val="0"/>
          <w:sz w:val="24"/>
        </w:rPr>
        <w:t xml:space="preserve">    </w:t>
      </w:r>
      <w:r w:rsidRPr="002077EF">
        <w:rPr>
          <w:rFonts w:asciiTheme="majorEastAsia" w:eastAsiaTheme="majorEastAsia" w:hAnsiTheme="majorEastAsia" w:cs="宋体" w:hint="eastAsia"/>
          <w:kern w:val="0"/>
          <w:sz w:val="24"/>
        </w:rPr>
        <w:t xml:space="preserve">　　　　　　　</w:t>
      </w:r>
    </w:p>
    <w:p w:rsidR="00141CA4" w:rsidRPr="002077EF" w:rsidRDefault="000806BF" w:rsidP="00141CA4">
      <w:pPr>
        <w:widowControl/>
        <w:ind w:right="723" w:firstLineChars="200" w:firstLine="480"/>
        <w:jc w:val="right"/>
        <w:rPr>
          <w:rFonts w:asciiTheme="majorEastAsia" w:eastAsiaTheme="majorEastAsia" w:hAnsiTheme="majorEastAsia" w:cs="宋体"/>
          <w:kern w:val="0"/>
          <w:sz w:val="24"/>
        </w:rPr>
      </w:pPr>
      <w:r w:rsidRPr="002077EF">
        <w:rPr>
          <w:rFonts w:asciiTheme="majorEastAsia" w:eastAsiaTheme="majorEastAsia" w:hAnsiTheme="majorEastAsia" w:cs="宋体" w:hint="eastAsia"/>
          <w:kern w:val="0"/>
          <w:sz w:val="24"/>
        </w:rPr>
        <w:t>易方达基金管理有限公司</w:t>
      </w:r>
    </w:p>
    <w:p w:rsidR="00141CA4" w:rsidRPr="000B7039" w:rsidRDefault="000806BF" w:rsidP="00141CA4">
      <w:pPr>
        <w:widowControl/>
        <w:wordWrap w:val="0"/>
        <w:ind w:right="964"/>
        <w:jc w:val="right"/>
        <w:rPr>
          <w:rFonts w:asciiTheme="majorEastAsia" w:eastAsiaTheme="majorEastAsia" w:hAnsiTheme="majorEastAsia" w:cs="宋体"/>
          <w:kern w:val="0"/>
          <w:sz w:val="24"/>
          <w:szCs w:val="24"/>
        </w:rPr>
      </w:pPr>
      <w:r w:rsidRPr="000B7039">
        <w:rPr>
          <w:rFonts w:asciiTheme="majorEastAsia" w:eastAsiaTheme="majorEastAsia" w:hAnsiTheme="majorEastAsia" w:cs="宋体" w:hint="eastAsia"/>
          <w:bCs/>
          <w:kern w:val="0"/>
          <w:sz w:val="24"/>
          <w:szCs w:val="24"/>
        </w:rPr>
        <w:t>202</w:t>
      </w:r>
      <w:r w:rsidR="00CD308B">
        <w:rPr>
          <w:rFonts w:asciiTheme="majorEastAsia" w:eastAsiaTheme="majorEastAsia" w:hAnsiTheme="majorEastAsia" w:cs="宋体"/>
          <w:bCs/>
          <w:kern w:val="0"/>
          <w:sz w:val="24"/>
          <w:szCs w:val="24"/>
        </w:rPr>
        <w:t>6</w:t>
      </w:r>
      <w:r w:rsidRPr="000B7039">
        <w:rPr>
          <w:rFonts w:asciiTheme="majorEastAsia" w:eastAsiaTheme="majorEastAsia" w:hAnsiTheme="majorEastAsia" w:cs="宋体" w:hint="eastAsia"/>
          <w:bCs/>
          <w:kern w:val="0"/>
          <w:sz w:val="24"/>
          <w:szCs w:val="24"/>
        </w:rPr>
        <w:t>年</w:t>
      </w:r>
      <w:r w:rsidR="004748B8">
        <w:rPr>
          <w:rFonts w:asciiTheme="majorEastAsia" w:eastAsiaTheme="majorEastAsia" w:hAnsiTheme="majorEastAsia" w:cs="宋体"/>
          <w:bCs/>
          <w:kern w:val="0"/>
          <w:sz w:val="24"/>
          <w:szCs w:val="24"/>
        </w:rPr>
        <w:t>4</w:t>
      </w:r>
      <w:r w:rsidRPr="000B7039">
        <w:rPr>
          <w:rFonts w:asciiTheme="majorEastAsia" w:eastAsiaTheme="majorEastAsia" w:hAnsiTheme="majorEastAsia" w:cs="宋体" w:hint="eastAsia"/>
          <w:bCs/>
          <w:kern w:val="0"/>
          <w:sz w:val="24"/>
          <w:szCs w:val="24"/>
        </w:rPr>
        <w:t>月</w:t>
      </w:r>
      <w:r w:rsidR="004748B8">
        <w:rPr>
          <w:rFonts w:asciiTheme="majorEastAsia" w:eastAsiaTheme="majorEastAsia" w:hAnsiTheme="majorEastAsia" w:cs="宋体"/>
          <w:bCs/>
          <w:kern w:val="0"/>
          <w:sz w:val="24"/>
          <w:szCs w:val="24"/>
        </w:rPr>
        <w:t>2</w:t>
      </w:r>
      <w:r w:rsidRPr="000B7039">
        <w:rPr>
          <w:rFonts w:asciiTheme="majorEastAsia" w:eastAsiaTheme="majorEastAsia" w:hAnsiTheme="majorEastAsia" w:cs="宋体" w:hint="eastAsia"/>
          <w:bCs/>
          <w:kern w:val="0"/>
          <w:sz w:val="24"/>
          <w:szCs w:val="24"/>
        </w:rPr>
        <w:t>日</w:t>
      </w:r>
    </w:p>
    <w:p w:rsidR="00141CA4" w:rsidRPr="001F12D1" w:rsidRDefault="00141CA4" w:rsidP="00141CA4">
      <w:pPr>
        <w:rPr>
          <w:rFonts w:asciiTheme="majorEastAsia" w:eastAsiaTheme="majorEastAsia" w:hAnsiTheme="majorEastAsia"/>
        </w:rPr>
      </w:pPr>
    </w:p>
    <w:p w:rsidR="00141CA4" w:rsidRPr="001F12D1" w:rsidRDefault="00141CA4" w:rsidP="00141CA4">
      <w:pPr>
        <w:rPr>
          <w:rFonts w:asciiTheme="majorEastAsia" w:eastAsiaTheme="majorEastAsia" w:hAnsiTheme="majorEastAsia"/>
        </w:rPr>
      </w:pPr>
    </w:p>
    <w:p w:rsidR="00141CA4" w:rsidRPr="00177B3B" w:rsidRDefault="00141CA4" w:rsidP="00141CA4"/>
    <w:p w:rsidR="00F561F7" w:rsidRPr="00141CA4" w:rsidRDefault="00F561F7" w:rsidP="00141CA4"/>
    <w:sectPr w:rsidR="00F561F7" w:rsidRPr="00141CA4" w:rsidSect="006D05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idp.efunds.com.cn/api/v1/backend/docSyncController/downloadAnnFile.json?force=true&amp;fileName=%E6%98%93%E6%96%B9%E8%BE%BE%E5%9F%BA%E9%87%91%E7%AE%A1%E7%90%86%E6%9C%89%E9%99%90%E5%85%AC%E5%8F%B8%E5%85%B3%E4%BA%8E%E6%97%97%E4%B8%8B%E5%9F%BA%E9%87%91%E7%94%B3%E8%B4%AD%E4%B8%AD%E5%9B%BD%E7%A7%BB%E5%8A%A8%E6%9C%89%E9%99%90%E5%85%AC%E5%8F%B8%E9%A6%96%E6%AC%A1%E5%85%AC%E5%BC%80%E5%8F%91%E8%A1%8C%E8%82%A1%E7%A5%A8%E7%9A%84%E5%85%AC%E5%91%8A.docx&amp;fileId=ANN_DOC_11453&amp;t=1640338996799"/>
  </w:docVars>
  <w:rsids>
    <w:rsidRoot w:val="00D40F64"/>
    <w:rsid w:val="00037F8D"/>
    <w:rsid w:val="000806BF"/>
    <w:rsid w:val="000B7039"/>
    <w:rsid w:val="000F1B3C"/>
    <w:rsid w:val="00112F52"/>
    <w:rsid w:val="00134F94"/>
    <w:rsid w:val="00135C8A"/>
    <w:rsid w:val="00141CA4"/>
    <w:rsid w:val="00177B3B"/>
    <w:rsid w:val="0018047E"/>
    <w:rsid w:val="00186C8C"/>
    <w:rsid w:val="001E31BA"/>
    <w:rsid w:val="001F12D1"/>
    <w:rsid w:val="002077EF"/>
    <w:rsid w:val="002163CE"/>
    <w:rsid w:val="00225437"/>
    <w:rsid w:val="00282BB5"/>
    <w:rsid w:val="002A29D3"/>
    <w:rsid w:val="002A4CF4"/>
    <w:rsid w:val="002C3E12"/>
    <w:rsid w:val="002E42F7"/>
    <w:rsid w:val="002F12C4"/>
    <w:rsid w:val="00304C1B"/>
    <w:rsid w:val="003177A3"/>
    <w:rsid w:val="00351EB9"/>
    <w:rsid w:val="00360C05"/>
    <w:rsid w:val="003A7524"/>
    <w:rsid w:val="003B4F45"/>
    <w:rsid w:val="003C4A13"/>
    <w:rsid w:val="003C560F"/>
    <w:rsid w:val="003F0261"/>
    <w:rsid w:val="0041754A"/>
    <w:rsid w:val="0042083E"/>
    <w:rsid w:val="00420DAD"/>
    <w:rsid w:val="00425E3F"/>
    <w:rsid w:val="00434C61"/>
    <w:rsid w:val="00445FC6"/>
    <w:rsid w:val="004748B8"/>
    <w:rsid w:val="00495D57"/>
    <w:rsid w:val="004D6C30"/>
    <w:rsid w:val="004E5A83"/>
    <w:rsid w:val="004F1B0A"/>
    <w:rsid w:val="00500520"/>
    <w:rsid w:val="005116B8"/>
    <w:rsid w:val="00552942"/>
    <w:rsid w:val="00583174"/>
    <w:rsid w:val="005972B2"/>
    <w:rsid w:val="005A2375"/>
    <w:rsid w:val="005A69BF"/>
    <w:rsid w:val="005D572F"/>
    <w:rsid w:val="00630D17"/>
    <w:rsid w:val="00632910"/>
    <w:rsid w:val="00636371"/>
    <w:rsid w:val="0069676A"/>
    <w:rsid w:val="006B006F"/>
    <w:rsid w:val="006B6352"/>
    <w:rsid w:val="006C066C"/>
    <w:rsid w:val="006C16EF"/>
    <w:rsid w:val="006D05F5"/>
    <w:rsid w:val="006E11B3"/>
    <w:rsid w:val="00701E70"/>
    <w:rsid w:val="007124FD"/>
    <w:rsid w:val="0077544C"/>
    <w:rsid w:val="007A3C4F"/>
    <w:rsid w:val="007A5436"/>
    <w:rsid w:val="008328C4"/>
    <w:rsid w:val="00886133"/>
    <w:rsid w:val="00894802"/>
    <w:rsid w:val="008B0912"/>
    <w:rsid w:val="00923081"/>
    <w:rsid w:val="00937D43"/>
    <w:rsid w:val="00954324"/>
    <w:rsid w:val="00973DD4"/>
    <w:rsid w:val="009A5B04"/>
    <w:rsid w:val="009A6634"/>
    <w:rsid w:val="009A7BB1"/>
    <w:rsid w:val="009B7AC0"/>
    <w:rsid w:val="009E1630"/>
    <w:rsid w:val="009F5D05"/>
    <w:rsid w:val="00A30E14"/>
    <w:rsid w:val="00A528BA"/>
    <w:rsid w:val="00A54315"/>
    <w:rsid w:val="00A7654C"/>
    <w:rsid w:val="00AD1CEF"/>
    <w:rsid w:val="00B20F09"/>
    <w:rsid w:val="00B47AB1"/>
    <w:rsid w:val="00B56F95"/>
    <w:rsid w:val="00B64B98"/>
    <w:rsid w:val="00B72DE4"/>
    <w:rsid w:val="00BD2B93"/>
    <w:rsid w:val="00C251FE"/>
    <w:rsid w:val="00C35CB6"/>
    <w:rsid w:val="00C40BE1"/>
    <w:rsid w:val="00C72EF5"/>
    <w:rsid w:val="00C81F52"/>
    <w:rsid w:val="00C85A50"/>
    <w:rsid w:val="00CD308B"/>
    <w:rsid w:val="00D11E8C"/>
    <w:rsid w:val="00D34298"/>
    <w:rsid w:val="00D40F64"/>
    <w:rsid w:val="00D576A8"/>
    <w:rsid w:val="00D75BCE"/>
    <w:rsid w:val="00DC4AD4"/>
    <w:rsid w:val="00DF5CDD"/>
    <w:rsid w:val="00E00FAE"/>
    <w:rsid w:val="00E35D9A"/>
    <w:rsid w:val="00E372B4"/>
    <w:rsid w:val="00E43A11"/>
    <w:rsid w:val="00E905FC"/>
    <w:rsid w:val="00EB7357"/>
    <w:rsid w:val="00ED6422"/>
    <w:rsid w:val="00EE1D32"/>
    <w:rsid w:val="00EF58BF"/>
    <w:rsid w:val="00EF68F1"/>
    <w:rsid w:val="00EF791A"/>
    <w:rsid w:val="00F254EC"/>
    <w:rsid w:val="00F3313A"/>
    <w:rsid w:val="00F431E2"/>
    <w:rsid w:val="00F561F7"/>
    <w:rsid w:val="00F649D0"/>
    <w:rsid w:val="00F7041A"/>
    <w:rsid w:val="00F8207B"/>
    <w:rsid w:val="00F830F1"/>
    <w:rsid w:val="00F83A04"/>
    <w:rsid w:val="00FB3A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4C61"/>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434C61"/>
    <w:rPr>
      <w:sz w:val="18"/>
      <w:szCs w:val="18"/>
    </w:rPr>
  </w:style>
  <w:style w:type="paragraph" w:styleId="a4">
    <w:name w:val="footer"/>
    <w:basedOn w:val="a"/>
    <w:link w:val="Char0"/>
    <w:uiPriority w:val="99"/>
    <w:unhideWhenUsed/>
    <w:rsid w:val="00434C61"/>
    <w:pPr>
      <w:tabs>
        <w:tab w:val="center" w:pos="4153"/>
        <w:tab w:val="right" w:pos="8306"/>
      </w:tabs>
      <w:snapToGrid w:val="0"/>
      <w:jc w:val="left"/>
    </w:pPr>
    <w:rPr>
      <w:kern w:val="0"/>
      <w:sz w:val="18"/>
      <w:szCs w:val="18"/>
    </w:rPr>
  </w:style>
  <w:style w:type="character" w:customStyle="1" w:styleId="Char0">
    <w:name w:val="页脚 Char"/>
    <w:link w:val="a4"/>
    <w:uiPriority w:val="99"/>
    <w:rsid w:val="00434C61"/>
    <w:rPr>
      <w:sz w:val="18"/>
      <w:szCs w:val="18"/>
    </w:rPr>
  </w:style>
  <w:style w:type="character" w:styleId="a5">
    <w:name w:val="annotation reference"/>
    <w:semiHidden/>
    <w:rsid w:val="00434C61"/>
    <w:rPr>
      <w:rFonts w:cs="Times New Roman"/>
      <w:sz w:val="21"/>
      <w:szCs w:val="21"/>
    </w:rPr>
  </w:style>
  <w:style w:type="paragraph" w:styleId="a6">
    <w:name w:val="annotation text"/>
    <w:basedOn w:val="a"/>
    <w:link w:val="Char1"/>
    <w:semiHidden/>
    <w:rsid w:val="00434C61"/>
    <w:pPr>
      <w:jc w:val="left"/>
    </w:pPr>
    <w:rPr>
      <w:kern w:val="0"/>
      <w:sz w:val="20"/>
      <w:szCs w:val="20"/>
    </w:rPr>
  </w:style>
  <w:style w:type="character" w:customStyle="1" w:styleId="Char1">
    <w:name w:val="批注文字 Char"/>
    <w:link w:val="a6"/>
    <w:semiHidden/>
    <w:rsid w:val="00434C61"/>
    <w:rPr>
      <w:rFonts w:ascii="Calibri" w:eastAsia="宋体" w:hAnsi="Calibri" w:cs="Times New Roman"/>
    </w:rPr>
  </w:style>
  <w:style w:type="paragraph" w:styleId="a7">
    <w:name w:val="Balloon Text"/>
    <w:basedOn w:val="a"/>
    <w:link w:val="Char2"/>
    <w:uiPriority w:val="99"/>
    <w:semiHidden/>
    <w:unhideWhenUsed/>
    <w:rsid w:val="00434C61"/>
    <w:rPr>
      <w:kern w:val="0"/>
      <w:sz w:val="18"/>
      <w:szCs w:val="18"/>
    </w:rPr>
  </w:style>
  <w:style w:type="character" w:customStyle="1" w:styleId="Char2">
    <w:name w:val="批注框文本 Char"/>
    <w:link w:val="a7"/>
    <w:uiPriority w:val="99"/>
    <w:semiHidden/>
    <w:rsid w:val="00434C61"/>
    <w:rPr>
      <w:rFonts w:ascii="Calibri" w:eastAsia="宋体" w:hAnsi="Calibri" w:cs="Times New Roman"/>
      <w:sz w:val="18"/>
      <w:szCs w:val="18"/>
    </w:rPr>
  </w:style>
  <w:style w:type="character" w:styleId="a8">
    <w:name w:val="Strong"/>
    <w:uiPriority w:val="99"/>
    <w:qFormat/>
    <w:rsid w:val="006B006F"/>
    <w:rPr>
      <w:rFonts w:ascii="Times New Roman" w:hAnsi="Times New Roman" w:cs="Times New Roman" w:hint="default"/>
      <w:b/>
      <w:bCs/>
    </w:rPr>
  </w:style>
  <w:style w:type="paragraph" w:customStyle="1" w:styleId="font14">
    <w:name w:val="font14"/>
    <w:basedOn w:val="a"/>
    <w:uiPriority w:val="99"/>
    <w:rsid w:val="006B006F"/>
    <w:pPr>
      <w:widowControl/>
      <w:spacing w:before="100" w:beforeAutospacing="1" w:after="100" w:afterAutospacing="1" w:line="360" w:lineRule="auto"/>
      <w:jc w:val="left"/>
    </w:pPr>
    <w:rPr>
      <w:rFonts w:ascii="宋体" w:hAnsi="宋体" w:cs="宋体"/>
      <w:kern w:val="0"/>
      <w:sz w:val="19"/>
      <w:szCs w:val="19"/>
    </w:rPr>
  </w:style>
  <w:style w:type="paragraph" w:customStyle="1" w:styleId="Default">
    <w:name w:val="Default"/>
    <w:rsid w:val="006B006F"/>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C915C-B9FF-45BF-809E-421043E6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1054</Characters>
  <Application>Microsoft Office Word</Application>
  <DocSecurity>4</DocSecurity>
  <Lines>8</Lines>
  <Paragraphs>2</Paragraphs>
  <ScaleCrop>false</ScaleCrop>
  <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2026-04-01T16:02:00Z</dcterms:created>
  <dcterms:modified xsi:type="dcterms:W3CDTF">2026-04-01T16:02:00Z</dcterms:modified>
</cp:coreProperties>
</file>