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4D" w:rsidRPr="006F3152" w:rsidRDefault="00136C5C" w:rsidP="0078694D">
      <w:pPr>
        <w:pStyle w:val="1"/>
        <w:spacing w:before="43" w:line="487" w:lineRule="auto"/>
        <w:ind w:left="0" w:right="48"/>
        <w:jc w:val="center"/>
        <w:rPr>
          <w:rFonts w:ascii="Times New Roman" w:eastAsiaTheme="majorEastAsia" w:hAnsi="Times New Roman" w:cs="Times New Roman"/>
          <w:sz w:val="32"/>
          <w:szCs w:val="24"/>
        </w:rPr>
      </w:pPr>
      <w:r w:rsidRPr="006F3152">
        <w:rPr>
          <w:rFonts w:ascii="Times New Roman" w:eastAsiaTheme="majorEastAsia" w:hAnsi="Times New Roman" w:cs="Times New Roman"/>
          <w:sz w:val="32"/>
          <w:szCs w:val="24"/>
        </w:rPr>
        <w:t>平安</w:t>
      </w:r>
      <w:r w:rsidR="005D27D4" w:rsidRPr="006F3152">
        <w:rPr>
          <w:rFonts w:ascii="Times New Roman" w:eastAsiaTheme="majorEastAsia" w:hAnsi="Times New Roman" w:cs="Times New Roman"/>
          <w:sz w:val="32"/>
          <w:szCs w:val="24"/>
        </w:rPr>
        <w:t>基金管理有限公司</w:t>
      </w:r>
    </w:p>
    <w:p w:rsidR="00BF1E1A" w:rsidRPr="006F3152" w:rsidRDefault="005D27D4" w:rsidP="0078694D">
      <w:pPr>
        <w:pStyle w:val="1"/>
        <w:spacing w:before="43" w:line="487" w:lineRule="auto"/>
        <w:ind w:left="0" w:right="48"/>
        <w:jc w:val="center"/>
        <w:rPr>
          <w:rFonts w:ascii="Times New Roman" w:eastAsiaTheme="majorEastAsia" w:hAnsi="Times New Roman" w:cs="Times New Roman"/>
          <w:sz w:val="32"/>
          <w:szCs w:val="24"/>
        </w:rPr>
      </w:pPr>
      <w:r w:rsidRPr="006F3152">
        <w:rPr>
          <w:rFonts w:ascii="Times New Roman" w:eastAsiaTheme="majorEastAsia" w:hAnsi="Times New Roman" w:cs="Times New Roman"/>
          <w:sz w:val="32"/>
          <w:szCs w:val="24"/>
        </w:rPr>
        <w:t>关于旗下部分基金</w:t>
      </w:r>
      <w:r w:rsidRPr="006F3152">
        <w:rPr>
          <w:rFonts w:ascii="Times New Roman" w:eastAsiaTheme="majorEastAsia" w:hAnsi="Times New Roman" w:cs="Times New Roman"/>
          <w:sz w:val="32"/>
          <w:szCs w:val="24"/>
        </w:rPr>
        <w:t>202</w:t>
      </w:r>
      <w:r w:rsidR="002737D8">
        <w:rPr>
          <w:rFonts w:ascii="Times New Roman" w:eastAsiaTheme="majorEastAsia" w:hAnsi="Times New Roman" w:cs="Times New Roman"/>
          <w:sz w:val="32"/>
          <w:szCs w:val="24"/>
        </w:rPr>
        <w:t>6</w:t>
      </w:r>
      <w:r w:rsidRPr="006F3152">
        <w:rPr>
          <w:rFonts w:ascii="Times New Roman" w:eastAsiaTheme="majorEastAsia" w:hAnsi="Times New Roman" w:cs="Times New Roman"/>
          <w:sz w:val="32"/>
          <w:szCs w:val="24"/>
        </w:rPr>
        <w:t>年非港股通交易日暂停申购、赎回、转换和定期定额投资业务的公告</w:t>
      </w:r>
    </w:p>
    <w:p w:rsidR="00BF1E1A" w:rsidRPr="006F3152" w:rsidRDefault="00A262E9" w:rsidP="00BB28E8">
      <w:pPr>
        <w:pStyle w:val="a3"/>
        <w:spacing w:before="31" w:line="360" w:lineRule="auto"/>
        <w:ind w:right="110" w:firstLine="479"/>
        <w:jc w:val="both"/>
        <w:rPr>
          <w:rFonts w:ascii="Times New Roman" w:eastAsiaTheme="majorEastAsia" w:hAnsi="Times New Roman" w:cs="Times New Roman"/>
          <w:spacing w:val="-12"/>
          <w:sz w:val="24"/>
          <w:szCs w:val="24"/>
        </w:rPr>
      </w:pPr>
      <w:r w:rsidRPr="006F3152">
        <w:rPr>
          <w:rFonts w:ascii="Times New Roman" w:eastAsiaTheme="majorEastAsia" w:hAnsi="Times New Roman" w:cs="Times New Roman"/>
          <w:spacing w:val="-5"/>
          <w:sz w:val="24"/>
          <w:szCs w:val="24"/>
        </w:rPr>
        <w:t>为了保护持有人利益，保障基金平稳运作，</w:t>
      </w:r>
      <w:r w:rsidR="004B2BD7" w:rsidRPr="006F3152">
        <w:rPr>
          <w:rFonts w:ascii="Times New Roman" w:eastAsiaTheme="majorEastAsia" w:hAnsi="Times New Roman" w:cs="Times New Roman"/>
          <w:spacing w:val="-5"/>
          <w:sz w:val="24"/>
          <w:szCs w:val="24"/>
        </w:rPr>
        <w:t>根据上海证券交易所《</w:t>
      </w:r>
      <w:r w:rsidR="002737D8">
        <w:rPr>
          <w:rFonts w:ascii="Times New Roman" w:eastAsiaTheme="majorEastAsia" w:hAnsi="Times New Roman" w:cs="Times New Roman" w:hint="eastAsia"/>
          <w:spacing w:val="-5"/>
          <w:sz w:val="24"/>
          <w:szCs w:val="24"/>
        </w:rPr>
        <w:t>关于</w:t>
      </w:r>
      <w:r w:rsidR="002737D8" w:rsidRPr="002737D8">
        <w:rPr>
          <w:rFonts w:ascii="Times New Roman" w:eastAsiaTheme="majorEastAsia" w:hAnsi="Times New Roman" w:cs="Times New Roman"/>
          <w:spacing w:val="-5"/>
          <w:sz w:val="24"/>
          <w:szCs w:val="24"/>
        </w:rPr>
        <w:t>2026</w:t>
      </w:r>
      <w:r w:rsidR="002737D8" w:rsidRPr="002737D8">
        <w:rPr>
          <w:rFonts w:ascii="Times New Roman" w:eastAsiaTheme="majorEastAsia" w:hAnsi="Times New Roman" w:cs="Times New Roman"/>
          <w:spacing w:val="-5"/>
          <w:sz w:val="24"/>
          <w:szCs w:val="24"/>
        </w:rPr>
        <w:t>年</w:t>
      </w:r>
      <w:r w:rsidR="002737D8">
        <w:rPr>
          <w:rFonts w:ascii="Times New Roman" w:eastAsiaTheme="majorEastAsia" w:hAnsi="Times New Roman" w:cs="Times New Roman" w:hint="eastAsia"/>
          <w:spacing w:val="-5"/>
          <w:sz w:val="24"/>
          <w:szCs w:val="24"/>
        </w:rPr>
        <w:t>沪港</w:t>
      </w:r>
      <w:r w:rsidR="002737D8" w:rsidRPr="002737D8">
        <w:rPr>
          <w:rFonts w:ascii="Times New Roman" w:eastAsiaTheme="majorEastAsia" w:hAnsi="Times New Roman" w:cs="Times New Roman"/>
          <w:spacing w:val="-5"/>
          <w:sz w:val="24"/>
          <w:szCs w:val="24"/>
        </w:rPr>
        <w:t>通下港股通交易日安排的通知</w:t>
      </w:r>
      <w:r w:rsidR="004B2BD7" w:rsidRPr="006F3152">
        <w:rPr>
          <w:rFonts w:ascii="Times New Roman" w:eastAsiaTheme="majorEastAsia" w:hAnsi="Times New Roman" w:cs="Times New Roman"/>
          <w:spacing w:val="-5"/>
          <w:sz w:val="24"/>
          <w:szCs w:val="24"/>
        </w:rPr>
        <w:t>》、深圳证券交易所《</w:t>
      </w:r>
      <w:r w:rsidR="002737D8" w:rsidRPr="002737D8">
        <w:rPr>
          <w:rFonts w:ascii="Times New Roman" w:eastAsiaTheme="majorEastAsia" w:hAnsi="Times New Roman" w:cs="Times New Roman" w:hint="eastAsia"/>
          <w:spacing w:val="-5"/>
          <w:sz w:val="24"/>
          <w:szCs w:val="24"/>
        </w:rPr>
        <w:t>关于</w:t>
      </w:r>
      <w:r w:rsidR="002737D8" w:rsidRPr="002737D8">
        <w:rPr>
          <w:rFonts w:ascii="Times New Roman" w:eastAsiaTheme="majorEastAsia" w:hAnsi="Times New Roman" w:cs="Times New Roman"/>
          <w:spacing w:val="-5"/>
          <w:sz w:val="24"/>
          <w:szCs w:val="24"/>
        </w:rPr>
        <w:t>2026</w:t>
      </w:r>
      <w:r w:rsidR="002737D8" w:rsidRPr="002737D8">
        <w:rPr>
          <w:rFonts w:ascii="Times New Roman" w:eastAsiaTheme="majorEastAsia" w:hAnsi="Times New Roman" w:cs="Times New Roman"/>
          <w:spacing w:val="-5"/>
          <w:sz w:val="24"/>
          <w:szCs w:val="24"/>
        </w:rPr>
        <w:t>年深港通下的港股通交易日有关安排的通知</w:t>
      </w:r>
      <w:r w:rsidR="004B2BD7" w:rsidRPr="006F3152">
        <w:rPr>
          <w:rFonts w:ascii="Times New Roman" w:eastAsiaTheme="majorEastAsia" w:hAnsi="Times New Roman" w:cs="Times New Roman"/>
          <w:spacing w:val="-5"/>
          <w:sz w:val="24"/>
          <w:szCs w:val="24"/>
        </w:rPr>
        <w:t>》</w:t>
      </w:r>
      <w:r w:rsidRPr="006F3152">
        <w:rPr>
          <w:rFonts w:ascii="Times New Roman" w:eastAsiaTheme="majorEastAsia" w:hAnsi="Times New Roman" w:cs="Times New Roman"/>
          <w:spacing w:val="-5"/>
          <w:sz w:val="24"/>
          <w:szCs w:val="24"/>
        </w:rPr>
        <w:t>的相关规定</w:t>
      </w:r>
      <w:r w:rsidR="00286BF1" w:rsidRPr="006F3152">
        <w:rPr>
          <w:rFonts w:ascii="Times New Roman" w:eastAsiaTheme="majorEastAsia" w:hAnsi="Times New Roman" w:cs="Times New Roman"/>
          <w:spacing w:val="-5"/>
          <w:sz w:val="24"/>
          <w:szCs w:val="24"/>
        </w:rPr>
        <w:t>及</w:t>
      </w:r>
      <w:r w:rsidRPr="006F3152">
        <w:rPr>
          <w:rFonts w:ascii="Times New Roman" w:eastAsiaTheme="majorEastAsia" w:hAnsi="Times New Roman" w:cs="Times New Roman"/>
          <w:spacing w:val="-5"/>
          <w:sz w:val="24"/>
          <w:szCs w:val="24"/>
        </w:rPr>
        <w:t>平安基金管理有限公司（以下简称</w:t>
      </w:r>
      <w:r w:rsidRPr="006F3152">
        <w:rPr>
          <w:rFonts w:ascii="Times New Roman" w:eastAsiaTheme="majorEastAsia" w:hAnsi="Times New Roman" w:cs="Times New Roman"/>
          <w:spacing w:val="-5"/>
          <w:sz w:val="24"/>
          <w:szCs w:val="24"/>
        </w:rPr>
        <w:t>“</w:t>
      </w:r>
      <w:r w:rsidRPr="006F3152">
        <w:rPr>
          <w:rFonts w:ascii="Times New Roman" w:eastAsiaTheme="majorEastAsia" w:hAnsi="Times New Roman" w:cs="Times New Roman"/>
          <w:spacing w:val="-5"/>
          <w:sz w:val="24"/>
          <w:szCs w:val="24"/>
        </w:rPr>
        <w:t>本公司</w:t>
      </w:r>
      <w:r w:rsidRPr="006F3152">
        <w:rPr>
          <w:rFonts w:ascii="Times New Roman" w:eastAsiaTheme="majorEastAsia" w:hAnsi="Times New Roman" w:cs="Times New Roman"/>
          <w:spacing w:val="-5"/>
          <w:sz w:val="24"/>
          <w:szCs w:val="24"/>
        </w:rPr>
        <w:t>”</w:t>
      </w:r>
      <w:r w:rsidRPr="006F3152">
        <w:rPr>
          <w:rFonts w:ascii="Times New Roman" w:eastAsiaTheme="majorEastAsia" w:hAnsi="Times New Roman" w:cs="Times New Roman"/>
          <w:spacing w:val="-5"/>
          <w:sz w:val="24"/>
          <w:szCs w:val="24"/>
        </w:rPr>
        <w:t>）旗下基金</w:t>
      </w:r>
      <w:r w:rsidR="00286BF1" w:rsidRPr="006F3152">
        <w:rPr>
          <w:rFonts w:ascii="Times New Roman" w:eastAsiaTheme="majorEastAsia" w:hAnsi="Times New Roman" w:cs="Times New Roman"/>
          <w:spacing w:val="-5"/>
          <w:sz w:val="24"/>
          <w:szCs w:val="24"/>
        </w:rPr>
        <w:t>基金合同和招募说明书</w:t>
      </w:r>
      <w:r w:rsidRPr="006F3152">
        <w:rPr>
          <w:rFonts w:ascii="Times New Roman" w:eastAsiaTheme="majorEastAsia" w:hAnsi="Times New Roman" w:cs="Times New Roman"/>
          <w:spacing w:val="-5"/>
          <w:sz w:val="24"/>
          <w:szCs w:val="24"/>
        </w:rPr>
        <w:t>约定</w:t>
      </w:r>
      <w:r w:rsidR="00136C5C" w:rsidRPr="006F3152">
        <w:rPr>
          <w:rFonts w:ascii="Times New Roman" w:eastAsiaTheme="majorEastAsia" w:hAnsi="Times New Roman" w:cs="Times New Roman"/>
          <w:spacing w:val="-5"/>
          <w:sz w:val="24"/>
          <w:szCs w:val="24"/>
        </w:rPr>
        <w:t>，</w:t>
      </w:r>
      <w:r w:rsidRPr="006F3152">
        <w:rPr>
          <w:rFonts w:ascii="Times New Roman" w:eastAsiaTheme="majorEastAsia" w:hAnsi="Times New Roman" w:cs="Times New Roman"/>
          <w:spacing w:val="-5"/>
          <w:sz w:val="24"/>
          <w:szCs w:val="24"/>
        </w:rPr>
        <w:t>因</w:t>
      </w:r>
      <w:r w:rsidRPr="006F3152">
        <w:rPr>
          <w:rFonts w:ascii="Times New Roman" w:eastAsiaTheme="majorEastAsia" w:hAnsi="Times New Roman" w:cs="Times New Roman"/>
          <w:spacing w:val="-5"/>
          <w:sz w:val="24"/>
          <w:szCs w:val="24"/>
        </w:rPr>
        <w:t>202</w:t>
      </w:r>
      <w:r w:rsidR="002737D8">
        <w:rPr>
          <w:rFonts w:ascii="Times New Roman" w:eastAsiaTheme="majorEastAsia" w:hAnsi="Times New Roman" w:cs="Times New Roman"/>
          <w:spacing w:val="-5"/>
          <w:sz w:val="24"/>
          <w:szCs w:val="24"/>
        </w:rPr>
        <w:t>6</w:t>
      </w:r>
      <w:r w:rsidRPr="006F3152">
        <w:rPr>
          <w:rFonts w:ascii="Times New Roman" w:eastAsiaTheme="majorEastAsia" w:hAnsi="Times New Roman" w:cs="Times New Roman"/>
          <w:spacing w:val="-5"/>
          <w:sz w:val="24"/>
          <w:szCs w:val="24"/>
        </w:rPr>
        <w:t>年</w:t>
      </w:r>
      <w:r w:rsidR="00E534B3" w:rsidRPr="00E534B3">
        <w:rPr>
          <w:rFonts w:ascii="Times New Roman" w:eastAsiaTheme="majorEastAsia" w:hAnsi="Times New Roman" w:cs="Times New Roman"/>
          <w:spacing w:val="-5"/>
          <w:sz w:val="24"/>
          <w:szCs w:val="24"/>
        </w:rPr>
        <w:t>4</w:t>
      </w:r>
      <w:r w:rsidR="00E534B3" w:rsidRPr="00E534B3">
        <w:rPr>
          <w:rFonts w:ascii="Times New Roman" w:eastAsiaTheme="majorEastAsia" w:hAnsi="Times New Roman" w:cs="Times New Roman"/>
          <w:spacing w:val="-5"/>
          <w:sz w:val="24"/>
          <w:szCs w:val="24"/>
        </w:rPr>
        <w:t>月</w:t>
      </w:r>
      <w:r w:rsidR="00E534B3" w:rsidRPr="00E534B3">
        <w:rPr>
          <w:rFonts w:ascii="Times New Roman" w:eastAsiaTheme="majorEastAsia" w:hAnsi="Times New Roman" w:cs="Times New Roman"/>
          <w:spacing w:val="-5"/>
          <w:sz w:val="24"/>
          <w:szCs w:val="24"/>
        </w:rPr>
        <w:t>3</w:t>
      </w:r>
      <w:r w:rsidR="00E534B3" w:rsidRPr="00E534B3">
        <w:rPr>
          <w:rFonts w:ascii="Times New Roman" w:eastAsiaTheme="majorEastAsia" w:hAnsi="Times New Roman" w:cs="Times New Roman"/>
          <w:spacing w:val="-5"/>
          <w:sz w:val="24"/>
          <w:szCs w:val="24"/>
        </w:rPr>
        <w:t>日（星期五）至</w:t>
      </w:r>
      <w:r w:rsidR="00E534B3">
        <w:rPr>
          <w:rFonts w:ascii="Times New Roman" w:eastAsiaTheme="majorEastAsia" w:hAnsi="Times New Roman" w:cs="Times New Roman" w:hint="eastAsia"/>
          <w:spacing w:val="-5"/>
          <w:sz w:val="24"/>
          <w:szCs w:val="24"/>
        </w:rPr>
        <w:t>2</w:t>
      </w:r>
      <w:r w:rsidR="00E534B3">
        <w:rPr>
          <w:rFonts w:ascii="Times New Roman" w:eastAsiaTheme="majorEastAsia" w:hAnsi="Times New Roman" w:cs="Times New Roman"/>
          <w:spacing w:val="-5"/>
          <w:sz w:val="24"/>
          <w:szCs w:val="24"/>
        </w:rPr>
        <w:t>026</w:t>
      </w:r>
      <w:r w:rsidR="00E534B3">
        <w:rPr>
          <w:rFonts w:ascii="Times New Roman" w:eastAsiaTheme="majorEastAsia" w:hAnsi="Times New Roman" w:cs="Times New Roman" w:hint="eastAsia"/>
          <w:spacing w:val="-5"/>
          <w:sz w:val="24"/>
          <w:szCs w:val="24"/>
        </w:rPr>
        <w:t>年</w:t>
      </w:r>
      <w:r w:rsidR="00E534B3" w:rsidRPr="00E534B3">
        <w:rPr>
          <w:rFonts w:ascii="Times New Roman" w:eastAsiaTheme="majorEastAsia" w:hAnsi="Times New Roman" w:cs="Times New Roman"/>
          <w:spacing w:val="-5"/>
          <w:sz w:val="24"/>
          <w:szCs w:val="24"/>
        </w:rPr>
        <w:t>4</w:t>
      </w:r>
      <w:r w:rsidR="00E534B3" w:rsidRPr="00E534B3">
        <w:rPr>
          <w:rFonts w:ascii="Times New Roman" w:eastAsiaTheme="majorEastAsia" w:hAnsi="Times New Roman" w:cs="Times New Roman"/>
          <w:spacing w:val="-5"/>
          <w:sz w:val="24"/>
          <w:szCs w:val="24"/>
        </w:rPr>
        <w:t>月</w:t>
      </w:r>
      <w:r w:rsidR="00E534B3" w:rsidRPr="00E534B3">
        <w:rPr>
          <w:rFonts w:ascii="Times New Roman" w:eastAsiaTheme="majorEastAsia" w:hAnsi="Times New Roman" w:cs="Times New Roman"/>
          <w:spacing w:val="-5"/>
          <w:sz w:val="24"/>
          <w:szCs w:val="24"/>
        </w:rPr>
        <w:t>7</w:t>
      </w:r>
      <w:r w:rsidR="00E534B3" w:rsidRPr="00E534B3">
        <w:rPr>
          <w:rFonts w:ascii="Times New Roman" w:eastAsiaTheme="majorEastAsia" w:hAnsi="Times New Roman" w:cs="Times New Roman"/>
          <w:spacing w:val="-5"/>
          <w:sz w:val="24"/>
          <w:szCs w:val="24"/>
        </w:rPr>
        <w:t>日（星期二）</w:t>
      </w:r>
      <w:r w:rsidRPr="006F3152">
        <w:rPr>
          <w:rFonts w:ascii="Times New Roman" w:eastAsiaTheme="majorEastAsia" w:hAnsi="Times New Roman" w:cs="Times New Roman"/>
          <w:spacing w:val="-5"/>
          <w:sz w:val="24"/>
          <w:szCs w:val="24"/>
        </w:rPr>
        <w:t>为非港股通交易日，</w:t>
      </w:r>
      <w:r w:rsidR="00F30D21" w:rsidRPr="006F3152">
        <w:rPr>
          <w:rFonts w:ascii="Times New Roman" w:eastAsiaTheme="majorEastAsia" w:hAnsi="Times New Roman" w:cs="Times New Roman"/>
          <w:spacing w:val="-5"/>
          <w:sz w:val="24"/>
          <w:szCs w:val="24"/>
        </w:rPr>
        <w:t>本公司决定对</w:t>
      </w:r>
      <w:r w:rsidRPr="006F3152">
        <w:rPr>
          <w:rFonts w:ascii="Times New Roman" w:eastAsiaTheme="majorEastAsia" w:hAnsi="Times New Roman" w:cs="Times New Roman"/>
          <w:spacing w:val="-5"/>
          <w:sz w:val="24"/>
          <w:szCs w:val="24"/>
        </w:rPr>
        <w:t>旗下部分基金于</w:t>
      </w:r>
      <w:r w:rsidR="00E534B3" w:rsidRPr="006F3152">
        <w:rPr>
          <w:rFonts w:ascii="Times New Roman" w:eastAsiaTheme="majorEastAsia" w:hAnsi="Times New Roman" w:cs="Times New Roman"/>
          <w:spacing w:val="-5"/>
          <w:sz w:val="24"/>
          <w:szCs w:val="24"/>
        </w:rPr>
        <w:t>202</w:t>
      </w:r>
      <w:r w:rsidR="00E534B3">
        <w:rPr>
          <w:rFonts w:ascii="Times New Roman" w:eastAsiaTheme="majorEastAsia" w:hAnsi="Times New Roman" w:cs="Times New Roman"/>
          <w:spacing w:val="-5"/>
          <w:sz w:val="24"/>
          <w:szCs w:val="24"/>
        </w:rPr>
        <w:t>6</w:t>
      </w:r>
      <w:r w:rsidR="00E534B3" w:rsidRPr="006F3152">
        <w:rPr>
          <w:rFonts w:ascii="Times New Roman" w:eastAsiaTheme="majorEastAsia" w:hAnsi="Times New Roman" w:cs="Times New Roman"/>
          <w:spacing w:val="-5"/>
          <w:sz w:val="24"/>
          <w:szCs w:val="24"/>
        </w:rPr>
        <w:t>年</w:t>
      </w:r>
      <w:r w:rsidR="00E534B3" w:rsidRPr="00E534B3">
        <w:rPr>
          <w:rFonts w:ascii="Times New Roman" w:eastAsiaTheme="majorEastAsia" w:hAnsi="Times New Roman" w:cs="Times New Roman"/>
          <w:spacing w:val="-5"/>
          <w:sz w:val="24"/>
          <w:szCs w:val="24"/>
        </w:rPr>
        <w:t>4</w:t>
      </w:r>
      <w:r w:rsidR="00E534B3" w:rsidRPr="00E534B3">
        <w:rPr>
          <w:rFonts w:ascii="Times New Roman" w:eastAsiaTheme="majorEastAsia" w:hAnsi="Times New Roman" w:cs="Times New Roman"/>
          <w:spacing w:val="-5"/>
          <w:sz w:val="24"/>
          <w:szCs w:val="24"/>
        </w:rPr>
        <w:t>月</w:t>
      </w:r>
      <w:r w:rsidR="00E534B3" w:rsidRPr="00E534B3">
        <w:rPr>
          <w:rFonts w:ascii="Times New Roman" w:eastAsiaTheme="majorEastAsia" w:hAnsi="Times New Roman" w:cs="Times New Roman"/>
          <w:spacing w:val="-5"/>
          <w:sz w:val="24"/>
          <w:szCs w:val="24"/>
        </w:rPr>
        <w:t>3</w:t>
      </w:r>
      <w:r w:rsidR="00E534B3" w:rsidRPr="00E534B3">
        <w:rPr>
          <w:rFonts w:ascii="Times New Roman" w:eastAsiaTheme="majorEastAsia" w:hAnsi="Times New Roman" w:cs="Times New Roman"/>
          <w:spacing w:val="-5"/>
          <w:sz w:val="24"/>
          <w:szCs w:val="24"/>
        </w:rPr>
        <w:t>日（星期五）</w:t>
      </w:r>
      <w:r w:rsidRPr="006F3152">
        <w:rPr>
          <w:rFonts w:ascii="Times New Roman" w:eastAsiaTheme="majorEastAsia" w:hAnsi="Times New Roman" w:cs="Times New Roman"/>
          <w:spacing w:val="-5"/>
          <w:sz w:val="24"/>
          <w:szCs w:val="24"/>
        </w:rPr>
        <w:t>暂停办理申购、赎回、转换及定期定额投资业务</w:t>
      </w:r>
      <w:r w:rsidR="005D27D4" w:rsidRPr="006F3152">
        <w:rPr>
          <w:rFonts w:ascii="Times New Roman" w:eastAsiaTheme="majorEastAsia" w:hAnsi="Times New Roman" w:cs="Times New Roman"/>
          <w:spacing w:val="-12"/>
          <w:sz w:val="24"/>
          <w:szCs w:val="24"/>
        </w:rPr>
        <w:t>，</w:t>
      </w:r>
      <w:r w:rsidR="00F30D21" w:rsidRPr="006F3152">
        <w:rPr>
          <w:rFonts w:ascii="Times New Roman" w:eastAsiaTheme="majorEastAsia" w:hAnsi="Times New Roman" w:cs="Times New Roman"/>
          <w:spacing w:val="-12"/>
          <w:sz w:val="24"/>
          <w:szCs w:val="24"/>
        </w:rPr>
        <w:t>并自</w:t>
      </w:r>
      <w:r w:rsidR="00E534B3">
        <w:rPr>
          <w:rFonts w:ascii="Times New Roman" w:eastAsiaTheme="majorEastAsia" w:hAnsi="Times New Roman" w:cs="Times New Roman" w:hint="eastAsia"/>
          <w:spacing w:val="-5"/>
          <w:sz w:val="24"/>
          <w:szCs w:val="24"/>
        </w:rPr>
        <w:t>2</w:t>
      </w:r>
      <w:r w:rsidR="00E534B3">
        <w:rPr>
          <w:rFonts w:ascii="Times New Roman" w:eastAsiaTheme="majorEastAsia" w:hAnsi="Times New Roman" w:cs="Times New Roman"/>
          <w:spacing w:val="-5"/>
          <w:sz w:val="24"/>
          <w:szCs w:val="24"/>
        </w:rPr>
        <w:t>026</w:t>
      </w:r>
      <w:r w:rsidR="00E534B3">
        <w:rPr>
          <w:rFonts w:ascii="Times New Roman" w:eastAsiaTheme="majorEastAsia" w:hAnsi="Times New Roman" w:cs="Times New Roman" w:hint="eastAsia"/>
          <w:spacing w:val="-5"/>
          <w:sz w:val="24"/>
          <w:szCs w:val="24"/>
        </w:rPr>
        <w:t>年</w:t>
      </w:r>
      <w:r w:rsidR="00E534B3" w:rsidRPr="00E534B3">
        <w:rPr>
          <w:rFonts w:ascii="Times New Roman" w:eastAsiaTheme="majorEastAsia" w:hAnsi="Times New Roman" w:cs="Times New Roman"/>
          <w:spacing w:val="-5"/>
          <w:sz w:val="24"/>
          <w:szCs w:val="24"/>
        </w:rPr>
        <w:t>4</w:t>
      </w:r>
      <w:r w:rsidR="00E534B3" w:rsidRPr="00E534B3">
        <w:rPr>
          <w:rFonts w:ascii="Times New Roman" w:eastAsiaTheme="majorEastAsia" w:hAnsi="Times New Roman" w:cs="Times New Roman"/>
          <w:spacing w:val="-5"/>
          <w:sz w:val="24"/>
          <w:szCs w:val="24"/>
        </w:rPr>
        <w:t>月</w:t>
      </w:r>
      <w:r w:rsidR="00E534B3">
        <w:rPr>
          <w:rFonts w:ascii="Times New Roman" w:eastAsiaTheme="majorEastAsia" w:hAnsi="Times New Roman" w:cs="Times New Roman"/>
          <w:spacing w:val="-5"/>
          <w:sz w:val="24"/>
          <w:szCs w:val="24"/>
        </w:rPr>
        <w:t>8</w:t>
      </w:r>
      <w:r w:rsidR="00E534B3" w:rsidRPr="00E534B3">
        <w:rPr>
          <w:rFonts w:ascii="Times New Roman" w:eastAsiaTheme="majorEastAsia" w:hAnsi="Times New Roman" w:cs="Times New Roman"/>
          <w:spacing w:val="-5"/>
          <w:sz w:val="24"/>
          <w:szCs w:val="24"/>
        </w:rPr>
        <w:t>日（星期</w:t>
      </w:r>
      <w:r w:rsidR="00E534B3">
        <w:rPr>
          <w:rFonts w:ascii="Times New Roman" w:eastAsiaTheme="majorEastAsia" w:hAnsi="Times New Roman" w:cs="Times New Roman" w:hint="eastAsia"/>
          <w:spacing w:val="-5"/>
          <w:sz w:val="24"/>
          <w:szCs w:val="24"/>
        </w:rPr>
        <w:t>三</w:t>
      </w:r>
      <w:r w:rsidR="00E534B3" w:rsidRPr="00E534B3">
        <w:rPr>
          <w:rFonts w:ascii="Times New Roman" w:eastAsiaTheme="majorEastAsia" w:hAnsi="Times New Roman" w:cs="Times New Roman"/>
          <w:spacing w:val="-5"/>
          <w:sz w:val="24"/>
          <w:szCs w:val="24"/>
        </w:rPr>
        <w:t>）</w:t>
      </w:r>
      <w:r w:rsidR="00F30D21" w:rsidRPr="006F3152">
        <w:rPr>
          <w:rFonts w:ascii="Times New Roman" w:eastAsiaTheme="majorEastAsia" w:hAnsi="Times New Roman" w:cs="Times New Roman"/>
          <w:spacing w:val="-12"/>
          <w:sz w:val="24"/>
          <w:szCs w:val="24"/>
        </w:rPr>
        <w:t>起恢复办理上述业务</w:t>
      </w:r>
      <w:r w:rsidR="00E534B3" w:rsidRPr="006F3152">
        <w:rPr>
          <w:rFonts w:ascii="Times New Roman" w:eastAsiaTheme="majorEastAsia" w:hAnsi="Times New Roman" w:cs="Times New Roman"/>
          <w:spacing w:val="-5"/>
          <w:sz w:val="24"/>
          <w:szCs w:val="24"/>
        </w:rPr>
        <w:t>（具体业务类型和开放状态以各基金实际情况为准）</w:t>
      </w:r>
      <w:r w:rsidR="00F30D21" w:rsidRPr="006F3152">
        <w:rPr>
          <w:rFonts w:ascii="Times New Roman" w:eastAsiaTheme="majorEastAsia" w:hAnsi="Times New Roman" w:cs="Times New Roman"/>
          <w:spacing w:val="-12"/>
          <w:sz w:val="24"/>
          <w:szCs w:val="24"/>
        </w:rPr>
        <w:t>，</w:t>
      </w:r>
      <w:r w:rsidR="005D27D4" w:rsidRPr="006F3152">
        <w:rPr>
          <w:rFonts w:ascii="Times New Roman" w:eastAsiaTheme="majorEastAsia" w:hAnsi="Times New Roman" w:cs="Times New Roman"/>
          <w:spacing w:val="-12"/>
          <w:sz w:val="24"/>
          <w:szCs w:val="24"/>
        </w:rPr>
        <w:t>届时不再另行公告。</w:t>
      </w:r>
    </w:p>
    <w:p w:rsidR="0007603C" w:rsidRPr="00D475CB" w:rsidRDefault="00F30D21" w:rsidP="006A4F71">
      <w:pPr>
        <w:pStyle w:val="a3"/>
        <w:spacing w:before="31" w:line="360" w:lineRule="auto"/>
        <w:ind w:left="280" w:right="48" w:firstLine="479"/>
        <w:rPr>
          <w:rFonts w:ascii="Times New Roman" w:eastAsiaTheme="majorEastAsia" w:hAnsi="Times New Roman" w:cs="Times New Roman"/>
          <w:b/>
          <w:sz w:val="24"/>
          <w:szCs w:val="24"/>
        </w:rPr>
      </w:pPr>
      <w:r w:rsidRPr="00D475CB">
        <w:rPr>
          <w:rFonts w:ascii="Times New Roman" w:eastAsiaTheme="majorEastAsia" w:hAnsi="Times New Roman" w:cs="Times New Roman"/>
          <w:b/>
          <w:sz w:val="24"/>
          <w:szCs w:val="24"/>
        </w:rPr>
        <w:t>一、</w:t>
      </w:r>
      <w:r w:rsidR="006A4F71" w:rsidRPr="00D475CB">
        <w:rPr>
          <w:rFonts w:ascii="Times New Roman" w:eastAsiaTheme="majorEastAsia" w:hAnsi="Times New Roman" w:cs="Times New Roman"/>
          <w:b/>
          <w:sz w:val="24"/>
          <w:szCs w:val="24"/>
        </w:rPr>
        <w:t>适用基金</w:t>
      </w:r>
      <w:r w:rsidR="00D475CB">
        <w:rPr>
          <w:rFonts w:ascii="Times New Roman" w:eastAsiaTheme="majorEastAsia" w:hAnsi="Times New Roman" w:cs="Times New Roman" w:hint="eastAsia"/>
          <w:b/>
          <w:sz w:val="24"/>
          <w:szCs w:val="24"/>
        </w:rPr>
        <w:t>详情</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176"/>
        <w:gridCol w:w="7359"/>
      </w:tblGrid>
      <w:tr w:rsidR="00E534B3" w:rsidRPr="00E534B3" w:rsidTr="00E534B3">
        <w:trPr>
          <w:trHeight w:val="300"/>
          <w:jc w:val="center"/>
        </w:trPr>
        <w:tc>
          <w:tcPr>
            <w:tcW w:w="679" w:type="dxa"/>
            <w:shd w:val="clear" w:color="auto" w:fill="auto"/>
            <w:noWrap/>
            <w:vAlign w:val="center"/>
            <w:hideMark/>
          </w:tcPr>
          <w:p w:rsidR="00826760" w:rsidRPr="00826760" w:rsidRDefault="00826760"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序号</w:t>
            </w:r>
          </w:p>
        </w:tc>
        <w:tc>
          <w:tcPr>
            <w:tcW w:w="1176" w:type="dxa"/>
            <w:shd w:val="clear" w:color="auto" w:fill="auto"/>
            <w:vAlign w:val="center"/>
            <w:hideMark/>
          </w:tcPr>
          <w:p w:rsidR="00826760" w:rsidRPr="00826760" w:rsidRDefault="00826760"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基金代码</w:t>
            </w:r>
          </w:p>
        </w:tc>
        <w:tc>
          <w:tcPr>
            <w:tcW w:w="7359" w:type="dxa"/>
            <w:shd w:val="clear" w:color="auto" w:fill="auto"/>
            <w:vAlign w:val="center"/>
            <w:hideMark/>
          </w:tcPr>
          <w:p w:rsidR="00826760" w:rsidRPr="00826760" w:rsidRDefault="00826760"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基金名称</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002598</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平安消费精选混合型证券投资基金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002599</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平安消费精选混合型证券投资基金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003032</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平安医疗健康混合型证券投资基金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004403</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平安股息精选沪港深股票型证券投资基金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004404</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平安股息精选沪港深股票型证券投资基金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006457</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平安估值优势灵活配置混合型证券投资基金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7</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006458</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平安估值优势灵活配置混合型证券投资基金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8</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006720</w:t>
            </w:r>
          </w:p>
        </w:tc>
        <w:tc>
          <w:tcPr>
            <w:tcW w:w="7359"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平安核心优势混合型证券投资基金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9</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006721</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平安核心优势混合型证券投资基金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10</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007082</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平安高端制造混合型证券投资基金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11</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007083</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平安高端制造混合型证券投资基金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12</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007893</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平安估值精选混合型证券投资基金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13</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007894</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平安估值精选混合型证券投资基金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14</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009008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平安科技创新混合型证券投资基金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15</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009009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平安科技创新混合型证券投资基金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16</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009661</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平安研究睿选混合型证券投资基金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17</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009662</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平安研究睿选混合型证券投资基金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18</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010126</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平安价值成长混合型证券投资基金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19</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010127</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平安价值成长混合型证券投资基金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20</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011759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平安鑫盛混合型发起式证券投资基金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21</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011760</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平安鑫盛混合型发起式证券投资基金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lastRenderedPageBreak/>
              <w:t>22</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011828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平安睿享成长混合型证券投资基金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23</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011829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平安睿享成长混合型证券投资基金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24</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012917</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平安优势领航</w:t>
            </w:r>
            <w:r w:rsidRPr="00E534B3">
              <w:rPr>
                <w:rFonts w:ascii="Times New Roman" w:eastAsiaTheme="majorEastAsia" w:hAnsi="Times New Roman" w:cs="Times New Roman"/>
                <w:sz w:val="21"/>
                <w:szCs w:val="21"/>
              </w:rPr>
              <w:t>1</w:t>
            </w:r>
            <w:r w:rsidRPr="00E534B3">
              <w:rPr>
                <w:rFonts w:ascii="Times New Roman" w:eastAsiaTheme="majorEastAsia" w:hAnsi="Times New Roman" w:cs="Times New Roman"/>
                <w:sz w:val="21"/>
                <w:szCs w:val="21"/>
              </w:rPr>
              <w:t>年持有期混合型证券投资基金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25</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012918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平安优势领航</w:t>
            </w:r>
            <w:r w:rsidRPr="00E534B3">
              <w:rPr>
                <w:rFonts w:ascii="Times New Roman" w:eastAsiaTheme="majorEastAsia" w:hAnsi="Times New Roman" w:cs="Times New Roman"/>
                <w:sz w:val="21"/>
                <w:szCs w:val="21"/>
              </w:rPr>
              <w:t>1</w:t>
            </w:r>
            <w:r w:rsidRPr="00E534B3">
              <w:rPr>
                <w:rFonts w:ascii="Times New Roman" w:eastAsiaTheme="majorEastAsia" w:hAnsi="Times New Roman" w:cs="Times New Roman"/>
                <w:sz w:val="21"/>
                <w:szCs w:val="21"/>
              </w:rPr>
              <w:t>年持有期混合型证券投资基金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26</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012985</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平安优势回报</w:t>
            </w:r>
            <w:r w:rsidRPr="00E534B3">
              <w:rPr>
                <w:rFonts w:ascii="Times New Roman" w:eastAsiaTheme="majorEastAsia" w:hAnsi="Times New Roman" w:cs="Times New Roman"/>
                <w:sz w:val="21"/>
                <w:szCs w:val="21"/>
              </w:rPr>
              <w:t>1</w:t>
            </w:r>
            <w:r w:rsidRPr="00E534B3">
              <w:rPr>
                <w:rFonts w:ascii="Times New Roman" w:eastAsiaTheme="majorEastAsia" w:hAnsi="Times New Roman" w:cs="Times New Roman"/>
                <w:sz w:val="21"/>
                <w:szCs w:val="21"/>
              </w:rPr>
              <w:t>年持有期混合型证券投资基金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27</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012986</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平安优势回报</w:t>
            </w:r>
            <w:r w:rsidRPr="00E534B3">
              <w:rPr>
                <w:rFonts w:ascii="Times New Roman" w:eastAsiaTheme="majorEastAsia" w:hAnsi="Times New Roman" w:cs="Times New Roman"/>
                <w:sz w:val="21"/>
                <w:szCs w:val="21"/>
              </w:rPr>
              <w:t>1</w:t>
            </w:r>
            <w:r w:rsidRPr="00E534B3">
              <w:rPr>
                <w:rFonts w:ascii="Times New Roman" w:eastAsiaTheme="majorEastAsia" w:hAnsi="Times New Roman" w:cs="Times New Roman"/>
                <w:sz w:val="21"/>
                <w:szCs w:val="21"/>
              </w:rPr>
              <w:t>年持有期混合型证券投资基金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28</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013687</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平安成长龙头</w:t>
            </w:r>
            <w:r w:rsidRPr="00E534B3">
              <w:rPr>
                <w:rFonts w:ascii="Times New Roman" w:eastAsiaTheme="majorEastAsia" w:hAnsi="Times New Roman" w:cs="Times New Roman"/>
                <w:sz w:val="21"/>
                <w:szCs w:val="21"/>
              </w:rPr>
              <w:t>1</w:t>
            </w:r>
            <w:r w:rsidRPr="00E534B3">
              <w:rPr>
                <w:rFonts w:ascii="Times New Roman" w:eastAsiaTheme="majorEastAsia" w:hAnsi="Times New Roman" w:cs="Times New Roman"/>
                <w:sz w:val="21"/>
                <w:szCs w:val="21"/>
              </w:rPr>
              <w:t>年持有期混合型证券投资基金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29</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013688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平安成长龙头</w:t>
            </w:r>
            <w:r w:rsidRPr="00E534B3">
              <w:rPr>
                <w:rFonts w:ascii="Times New Roman" w:eastAsiaTheme="majorEastAsia" w:hAnsi="Times New Roman" w:cs="Times New Roman"/>
                <w:sz w:val="21"/>
                <w:szCs w:val="21"/>
              </w:rPr>
              <w:t>1</w:t>
            </w:r>
            <w:r w:rsidRPr="00E534B3">
              <w:rPr>
                <w:rFonts w:ascii="Times New Roman" w:eastAsiaTheme="majorEastAsia" w:hAnsi="Times New Roman" w:cs="Times New Roman"/>
                <w:sz w:val="21"/>
                <w:szCs w:val="21"/>
              </w:rPr>
              <w:t>年持有期混合型证券投资基金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30</w:t>
            </w:r>
          </w:p>
        </w:tc>
        <w:tc>
          <w:tcPr>
            <w:tcW w:w="1176"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013767</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平安价值回报混合型证券投资基金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31</w:t>
            </w:r>
          </w:p>
        </w:tc>
        <w:tc>
          <w:tcPr>
            <w:tcW w:w="1176"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013768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平安价值回报混合型证券投资基金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32</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019598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平安中证港股通医药卫生综合交易型开放式指数证券投资基金联接基金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33</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019599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平安中证港股通医药卫生综合交易型开放式指数证券投资基金联接基金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34</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020137</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平安医疗健康混合型证券投资基金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35</w:t>
            </w:r>
          </w:p>
        </w:tc>
        <w:tc>
          <w:tcPr>
            <w:tcW w:w="1176" w:type="dxa"/>
            <w:shd w:val="clear" w:color="auto" w:fill="auto"/>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020458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平安医药精选股票型证券投资基金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36</w:t>
            </w:r>
          </w:p>
        </w:tc>
        <w:tc>
          <w:tcPr>
            <w:tcW w:w="1176"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020459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平安医药精选股票型证券投资基金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37</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020781</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平安富时中国国企开放共赢交易型开放式指数证券投资基金联接基金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38</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020782</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平安富时中国国企开放共赢交易型开放式指数证券投资基金联接基金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39</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021046</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平安港股通红利精选混合型发起式证券投资基金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40</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021047</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平安港股通红利精选混合型发起式证券投资基金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41</w:t>
            </w:r>
          </w:p>
        </w:tc>
        <w:tc>
          <w:tcPr>
            <w:tcW w:w="1176"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022672</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平安产业竞争力混合型证券投资基金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42</w:t>
            </w:r>
          </w:p>
        </w:tc>
        <w:tc>
          <w:tcPr>
            <w:tcW w:w="1176"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022673</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平安产业竞争力混合型证券投资基金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43</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022748</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平安港股通红利优选混合型证券投资基金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44</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022749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平安港股通红利优选混合型证券投资基金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45</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024379</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平安港股通医疗创新精选混合型证券投资基金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46</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024380</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平安港股通医疗创新精选混合型证券投资基金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47</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024534</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平安港股通科技精选混合型证券投资基金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48</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024535</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平安港股通科技精选混合型证券投资基金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49</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024544</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平安中证港股通医药卫生综合交易型开放式指数证券投资基金联接基金</w:t>
            </w:r>
            <w:r w:rsidRPr="00E534B3">
              <w:rPr>
                <w:rFonts w:ascii="Times New Roman" w:eastAsiaTheme="majorEastAsia" w:hAnsi="Times New Roman" w:cs="Times New Roman"/>
                <w:sz w:val="21"/>
                <w:szCs w:val="21"/>
              </w:rPr>
              <w:t>E</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50</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024545</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平安富时中国国企开放共赢交易型开放式指数证券投资基金联接基金</w:t>
            </w:r>
            <w:r w:rsidRPr="00E534B3">
              <w:rPr>
                <w:rFonts w:ascii="Times New Roman" w:eastAsiaTheme="majorEastAsia" w:hAnsi="Times New Roman" w:cs="Times New Roman"/>
                <w:sz w:val="21"/>
                <w:szCs w:val="21"/>
              </w:rPr>
              <w:t>E</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51</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025293</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平安恒生指数增强型证券投资基金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52</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025294</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平安恒生指数增强型证券投资基金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53</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025295</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平安恒生指数增强型证券投资基金</w:t>
            </w:r>
            <w:r w:rsidRPr="00E534B3">
              <w:rPr>
                <w:rFonts w:ascii="Times New Roman" w:eastAsiaTheme="majorEastAsia" w:hAnsi="Times New Roman" w:cs="Times New Roman"/>
                <w:sz w:val="21"/>
                <w:szCs w:val="21"/>
              </w:rPr>
              <w:t>E</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54</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025390</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平安港股通成长精选混合型证券投资基金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55</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025391</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平安港股通成长精选混合型证券投资基金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56</w:t>
            </w:r>
          </w:p>
        </w:tc>
        <w:tc>
          <w:tcPr>
            <w:tcW w:w="1176"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025525</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平安恒生港股通科技主题交易型开放式指数证券投资基金发起式联接基金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57</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025526</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平安恒生港股通科技主题交易型开放式指数证券投资基金发起式联接基金</w:t>
            </w:r>
            <w:r w:rsidRPr="00E534B3">
              <w:rPr>
                <w:rFonts w:ascii="Times New Roman" w:eastAsiaTheme="majorEastAsia" w:hAnsi="Times New Roman" w:cs="Times New Roman"/>
                <w:sz w:val="21"/>
                <w:szCs w:val="21"/>
              </w:rPr>
              <w:t>C</w:t>
            </w:r>
          </w:p>
        </w:tc>
      </w:tr>
      <w:tr w:rsidR="00E534B3" w:rsidRPr="00E534B3" w:rsidTr="00E534B3">
        <w:trPr>
          <w:trHeight w:val="300"/>
          <w:jc w:val="center"/>
        </w:trPr>
        <w:tc>
          <w:tcPr>
            <w:tcW w:w="679" w:type="dxa"/>
            <w:shd w:val="clear" w:color="auto" w:fill="auto"/>
            <w:noWrap/>
            <w:vAlign w:val="center"/>
            <w:hideMark/>
          </w:tcPr>
          <w:p w:rsidR="00E534B3" w:rsidRPr="00826760" w:rsidRDefault="002566E2" w:rsidP="00E534B3">
            <w:pPr>
              <w:widowControl/>
              <w:autoSpaceDE/>
              <w:autoSpaceDN/>
              <w:jc w:val="both"/>
              <w:rPr>
                <w:rFonts w:ascii="Times New Roman" w:eastAsiaTheme="majorEastAsia" w:hAnsi="Times New Roman" w:cs="Times New Roman"/>
                <w:sz w:val="21"/>
                <w:szCs w:val="21"/>
                <w:lang w:val="en-US" w:bidi="ar-SA"/>
              </w:rPr>
            </w:pPr>
            <w:r>
              <w:rPr>
                <w:rFonts w:ascii="Times New Roman" w:eastAsiaTheme="majorEastAsia" w:hAnsi="Times New Roman" w:cs="Times New Roman"/>
                <w:sz w:val="21"/>
                <w:szCs w:val="21"/>
                <w:lang w:val="en-US" w:bidi="ar-SA"/>
              </w:rPr>
              <w:t>58</w:t>
            </w:r>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026263</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平安港股通均衡配置混合型证券投资基金</w:t>
            </w:r>
            <w:r w:rsidRPr="00E534B3">
              <w:rPr>
                <w:rFonts w:ascii="Times New Roman" w:eastAsiaTheme="majorEastAsia" w:hAnsi="Times New Roman" w:cs="Times New Roman"/>
                <w:sz w:val="21"/>
                <w:szCs w:val="21"/>
              </w:rPr>
              <w:t>A</w:t>
            </w:r>
          </w:p>
        </w:tc>
      </w:tr>
      <w:tr w:rsidR="00E534B3" w:rsidRPr="00E534B3" w:rsidTr="00E534B3">
        <w:trPr>
          <w:trHeight w:val="300"/>
          <w:jc w:val="center"/>
        </w:trPr>
        <w:tc>
          <w:tcPr>
            <w:tcW w:w="679" w:type="dxa"/>
            <w:shd w:val="clear" w:color="auto" w:fill="auto"/>
            <w:noWrap/>
            <w:vAlign w:val="center"/>
            <w:hideMark/>
          </w:tcPr>
          <w:p w:rsidR="00E534B3" w:rsidRPr="00826760" w:rsidRDefault="002566E2" w:rsidP="00E534B3">
            <w:pPr>
              <w:widowControl/>
              <w:autoSpaceDE/>
              <w:autoSpaceDN/>
              <w:jc w:val="both"/>
              <w:rPr>
                <w:rFonts w:ascii="Times New Roman" w:eastAsiaTheme="majorEastAsia" w:hAnsi="Times New Roman" w:cs="Times New Roman"/>
                <w:sz w:val="21"/>
                <w:szCs w:val="21"/>
                <w:lang w:val="en-US" w:bidi="ar-SA"/>
              </w:rPr>
            </w:pPr>
            <w:r>
              <w:rPr>
                <w:rFonts w:ascii="Times New Roman" w:eastAsiaTheme="majorEastAsia" w:hAnsi="Times New Roman" w:cs="Times New Roman"/>
                <w:sz w:val="21"/>
                <w:szCs w:val="21"/>
                <w:lang w:val="en-US" w:bidi="ar-SA"/>
              </w:rPr>
              <w:t>59</w:t>
            </w:r>
            <w:bookmarkStart w:id="0" w:name="_GoBack"/>
            <w:bookmarkEnd w:id="0"/>
          </w:p>
        </w:tc>
        <w:tc>
          <w:tcPr>
            <w:tcW w:w="1176" w:type="dxa"/>
            <w:shd w:val="clear" w:color="auto" w:fill="auto"/>
            <w:vAlign w:val="center"/>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026264</w:t>
            </w:r>
          </w:p>
        </w:tc>
        <w:tc>
          <w:tcPr>
            <w:tcW w:w="7359" w:type="dxa"/>
            <w:shd w:val="clear" w:color="auto" w:fill="auto"/>
            <w:noWrap/>
            <w:vAlign w:val="bottom"/>
            <w:hideMark/>
          </w:tcPr>
          <w:p w:rsidR="00E534B3" w:rsidRPr="00826760" w:rsidRDefault="00E534B3" w:rsidP="00E534B3">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平安港股通均衡配置混合型证券投资基金</w:t>
            </w:r>
            <w:r w:rsidRPr="00E534B3">
              <w:rPr>
                <w:rFonts w:ascii="Times New Roman" w:eastAsiaTheme="majorEastAsia" w:hAnsi="Times New Roman" w:cs="Times New Roman"/>
                <w:sz w:val="21"/>
                <w:szCs w:val="21"/>
              </w:rPr>
              <w:t>C</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60</w:t>
            </w:r>
          </w:p>
        </w:tc>
        <w:tc>
          <w:tcPr>
            <w:tcW w:w="1176" w:type="dxa"/>
            <w:shd w:val="clear" w:color="auto" w:fill="auto"/>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026357</w:t>
            </w:r>
          </w:p>
        </w:tc>
        <w:tc>
          <w:tcPr>
            <w:tcW w:w="7359" w:type="dxa"/>
            <w:shd w:val="clear" w:color="auto" w:fill="auto"/>
            <w:noWrap/>
            <w:vAlign w:val="bottom"/>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平安港股医疗优选股票型证券投资基金（</w:t>
            </w:r>
            <w:r w:rsidRPr="00E534B3">
              <w:rPr>
                <w:rFonts w:ascii="Times New Roman" w:eastAsiaTheme="majorEastAsia" w:hAnsi="Times New Roman" w:cs="Times New Roman"/>
                <w:sz w:val="21"/>
                <w:szCs w:val="21"/>
              </w:rPr>
              <w:t>QDII</w:t>
            </w:r>
            <w:r w:rsidRPr="00E534B3">
              <w:rPr>
                <w:rFonts w:ascii="Times New Roman" w:eastAsiaTheme="majorEastAsia" w:hAnsi="Times New Roman" w:cs="Times New Roman"/>
                <w:sz w:val="21"/>
                <w:szCs w:val="21"/>
              </w:rPr>
              <w:t>）</w:t>
            </w:r>
            <w:r w:rsidRPr="00E534B3">
              <w:rPr>
                <w:rFonts w:ascii="Times New Roman" w:eastAsiaTheme="majorEastAsia" w:hAnsi="Times New Roman" w:cs="Times New Roman"/>
                <w:sz w:val="21"/>
                <w:szCs w:val="21"/>
              </w:rPr>
              <w:t>A</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61</w:t>
            </w:r>
          </w:p>
        </w:tc>
        <w:tc>
          <w:tcPr>
            <w:tcW w:w="1176"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026358</w:t>
            </w:r>
          </w:p>
        </w:tc>
        <w:tc>
          <w:tcPr>
            <w:tcW w:w="7359" w:type="dxa"/>
            <w:shd w:val="clear" w:color="auto" w:fill="auto"/>
            <w:noWrap/>
            <w:vAlign w:val="bottom"/>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平安港股医疗优选股票型证券投资基金（</w:t>
            </w:r>
            <w:r w:rsidRPr="00E534B3">
              <w:rPr>
                <w:rFonts w:ascii="Times New Roman" w:eastAsiaTheme="majorEastAsia" w:hAnsi="Times New Roman" w:cs="Times New Roman"/>
                <w:sz w:val="21"/>
                <w:szCs w:val="21"/>
              </w:rPr>
              <w:t>QDII</w:t>
            </w:r>
            <w:r w:rsidRPr="00E534B3">
              <w:rPr>
                <w:rFonts w:ascii="Times New Roman" w:eastAsiaTheme="majorEastAsia" w:hAnsi="Times New Roman" w:cs="Times New Roman"/>
                <w:sz w:val="21"/>
                <w:szCs w:val="21"/>
              </w:rPr>
              <w:t>）</w:t>
            </w:r>
            <w:r w:rsidRPr="00E534B3">
              <w:rPr>
                <w:rFonts w:ascii="Times New Roman" w:eastAsiaTheme="majorEastAsia" w:hAnsi="Times New Roman" w:cs="Times New Roman"/>
                <w:sz w:val="21"/>
                <w:szCs w:val="21"/>
              </w:rPr>
              <w:t>C</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62</w:t>
            </w:r>
          </w:p>
        </w:tc>
        <w:tc>
          <w:tcPr>
            <w:tcW w:w="1176"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159143</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平安恒生港股通中国央企红利交易型开放式指数证券投资基金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63</w:t>
            </w:r>
          </w:p>
        </w:tc>
        <w:tc>
          <w:tcPr>
            <w:tcW w:w="1176" w:type="dxa"/>
            <w:shd w:val="clear" w:color="auto" w:fill="auto"/>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159152</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平安恒生港股通科技主题交易型开放式指数证券投资基金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64</w:t>
            </w:r>
          </w:p>
        </w:tc>
        <w:tc>
          <w:tcPr>
            <w:tcW w:w="1176" w:type="dxa"/>
            <w:shd w:val="clear" w:color="auto" w:fill="auto"/>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159322</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平安中证沪深港黄金产业股票交易型开放式指数证券投资基金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65</w:t>
            </w:r>
          </w:p>
        </w:tc>
        <w:tc>
          <w:tcPr>
            <w:tcW w:w="1176" w:type="dxa"/>
            <w:shd w:val="clear" w:color="auto" w:fill="auto"/>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159718</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平安中证港股通医药卫生综合交易型开放式指数证券投资基金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66</w:t>
            </w:r>
          </w:p>
        </w:tc>
        <w:tc>
          <w:tcPr>
            <w:tcW w:w="1176" w:type="dxa"/>
            <w:shd w:val="clear" w:color="auto" w:fill="auto"/>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159719</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平安富时中国国企开放共赢交易型开放式指数证券投资基金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67</w:t>
            </w:r>
          </w:p>
        </w:tc>
        <w:tc>
          <w:tcPr>
            <w:tcW w:w="1176"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159793</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平安中证沪港深线上消费主题交易型开放式指数证券投资基金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68</w:t>
            </w:r>
          </w:p>
        </w:tc>
        <w:tc>
          <w:tcPr>
            <w:tcW w:w="1176"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159960</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平安港股通恒生中国企业交易型开放式指数证券投资基金</w:t>
            </w:r>
          </w:p>
        </w:tc>
      </w:tr>
      <w:tr w:rsidR="002566E2" w:rsidRPr="00E534B3" w:rsidTr="00E534B3">
        <w:trPr>
          <w:trHeight w:val="300"/>
          <w:jc w:val="center"/>
        </w:trPr>
        <w:tc>
          <w:tcPr>
            <w:tcW w:w="67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826760">
              <w:rPr>
                <w:rFonts w:ascii="Times New Roman" w:eastAsiaTheme="majorEastAsia" w:hAnsi="Times New Roman" w:cs="Times New Roman"/>
                <w:sz w:val="21"/>
                <w:szCs w:val="21"/>
                <w:lang w:val="en-US" w:bidi="ar-SA"/>
              </w:rPr>
              <w:t>69</w:t>
            </w:r>
          </w:p>
        </w:tc>
        <w:tc>
          <w:tcPr>
            <w:tcW w:w="1176"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501099</w:t>
            </w:r>
          </w:p>
        </w:tc>
        <w:tc>
          <w:tcPr>
            <w:tcW w:w="7359" w:type="dxa"/>
            <w:shd w:val="clear" w:color="auto" w:fill="auto"/>
            <w:noWrap/>
            <w:vAlign w:val="center"/>
            <w:hideMark/>
          </w:tcPr>
          <w:p w:rsidR="002566E2" w:rsidRPr="00826760" w:rsidRDefault="002566E2" w:rsidP="002566E2">
            <w:pPr>
              <w:widowControl/>
              <w:autoSpaceDE/>
              <w:autoSpaceDN/>
              <w:jc w:val="both"/>
              <w:rPr>
                <w:rFonts w:ascii="Times New Roman" w:eastAsiaTheme="majorEastAsia" w:hAnsi="Times New Roman" w:cs="Times New Roman"/>
                <w:sz w:val="21"/>
                <w:szCs w:val="21"/>
                <w:lang w:val="en-US" w:bidi="ar-SA"/>
              </w:rPr>
            </w:pPr>
            <w:r w:rsidRPr="00E534B3">
              <w:rPr>
                <w:rFonts w:ascii="Times New Roman" w:eastAsiaTheme="majorEastAsia" w:hAnsi="Times New Roman" w:cs="Times New Roman"/>
                <w:sz w:val="21"/>
                <w:szCs w:val="21"/>
              </w:rPr>
              <w:t>平安新兴产业混合型证券投资基金（</w:t>
            </w:r>
            <w:r w:rsidRPr="00E534B3">
              <w:rPr>
                <w:rFonts w:ascii="Times New Roman" w:eastAsiaTheme="majorEastAsia" w:hAnsi="Times New Roman" w:cs="Times New Roman"/>
                <w:sz w:val="21"/>
                <w:szCs w:val="21"/>
              </w:rPr>
              <w:t>LOF</w:t>
            </w:r>
            <w:r w:rsidRPr="00E534B3">
              <w:rPr>
                <w:rFonts w:ascii="Times New Roman" w:eastAsiaTheme="majorEastAsia" w:hAnsi="Times New Roman" w:cs="Times New Roman"/>
                <w:sz w:val="21"/>
                <w:szCs w:val="21"/>
              </w:rPr>
              <w:t>）</w:t>
            </w:r>
          </w:p>
        </w:tc>
      </w:tr>
    </w:tbl>
    <w:p w:rsidR="00BF1E1A" w:rsidRPr="00826760" w:rsidRDefault="00BF1E1A" w:rsidP="009248FF">
      <w:pPr>
        <w:widowControl/>
        <w:autoSpaceDE/>
        <w:autoSpaceDN/>
        <w:jc w:val="center"/>
        <w:rPr>
          <w:rFonts w:ascii="Times New Roman" w:eastAsiaTheme="majorEastAsia" w:hAnsi="Times New Roman" w:cs="Times New Roman"/>
          <w:szCs w:val="24"/>
          <w:lang w:val="en-US" w:bidi="ar-SA"/>
        </w:rPr>
      </w:pPr>
    </w:p>
    <w:p w:rsidR="00AD0070" w:rsidRPr="00D475CB" w:rsidRDefault="00F30D21" w:rsidP="00D475CB">
      <w:pPr>
        <w:pStyle w:val="a3"/>
        <w:spacing w:line="367" w:lineRule="auto"/>
        <w:ind w:right="48" w:firstLine="426"/>
        <w:jc w:val="both"/>
        <w:rPr>
          <w:rFonts w:ascii="Times New Roman" w:eastAsiaTheme="majorEastAsia" w:hAnsi="Times New Roman" w:cs="Times New Roman"/>
          <w:b/>
          <w:spacing w:val="-5"/>
          <w:sz w:val="24"/>
          <w:szCs w:val="24"/>
        </w:rPr>
      </w:pPr>
      <w:r w:rsidRPr="00D475CB">
        <w:rPr>
          <w:rFonts w:ascii="Times New Roman" w:eastAsiaTheme="majorEastAsia" w:hAnsi="Times New Roman" w:cs="Times New Roman"/>
          <w:b/>
          <w:spacing w:val="-5"/>
          <w:sz w:val="24"/>
          <w:szCs w:val="24"/>
        </w:rPr>
        <w:t>二、其他需要提示的事项</w:t>
      </w:r>
    </w:p>
    <w:p w:rsidR="00D71934" w:rsidRPr="006F3152" w:rsidRDefault="00AD0070" w:rsidP="00D475CB">
      <w:pPr>
        <w:pStyle w:val="a3"/>
        <w:spacing w:line="367" w:lineRule="auto"/>
        <w:ind w:right="48" w:firstLine="426"/>
        <w:jc w:val="both"/>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1</w:t>
      </w:r>
      <w:r w:rsidRPr="006F3152">
        <w:rPr>
          <w:rFonts w:ascii="Times New Roman" w:eastAsiaTheme="majorEastAsia" w:hAnsi="Times New Roman" w:cs="Times New Roman"/>
          <w:spacing w:val="-5"/>
          <w:sz w:val="24"/>
          <w:szCs w:val="24"/>
        </w:rPr>
        <w:t>、</w:t>
      </w:r>
      <w:r w:rsidR="00D71934" w:rsidRPr="006F3152">
        <w:rPr>
          <w:rFonts w:ascii="Times New Roman" w:eastAsiaTheme="majorEastAsia" w:hAnsi="Times New Roman" w:cs="Times New Roman"/>
          <w:spacing w:val="-5"/>
          <w:sz w:val="24"/>
          <w:szCs w:val="24"/>
        </w:rPr>
        <w:t>上述基金是否开通申购、赎回、转换与定期定额投资业务，详见本公司发布的相关公告。</w:t>
      </w:r>
    </w:p>
    <w:p w:rsidR="00BF1E1A" w:rsidRPr="006F3152" w:rsidRDefault="00D71934" w:rsidP="00D475CB">
      <w:pPr>
        <w:pStyle w:val="a3"/>
        <w:spacing w:line="367" w:lineRule="auto"/>
        <w:ind w:right="48" w:firstLine="426"/>
        <w:jc w:val="both"/>
        <w:rPr>
          <w:rFonts w:ascii="Times New Roman" w:eastAsiaTheme="majorEastAsia" w:hAnsi="Times New Roman" w:cs="Times New Roman"/>
          <w:color w:val="000000"/>
          <w:sz w:val="24"/>
          <w:szCs w:val="24"/>
        </w:rPr>
      </w:pPr>
      <w:r w:rsidRPr="006F3152">
        <w:rPr>
          <w:rFonts w:ascii="Times New Roman" w:eastAsiaTheme="majorEastAsia" w:hAnsi="Times New Roman" w:cs="Times New Roman"/>
          <w:spacing w:val="-5"/>
          <w:sz w:val="24"/>
          <w:szCs w:val="24"/>
        </w:rPr>
        <w:t>2</w:t>
      </w:r>
      <w:r w:rsidRPr="006F3152">
        <w:rPr>
          <w:rFonts w:ascii="Times New Roman" w:eastAsiaTheme="majorEastAsia" w:hAnsi="Times New Roman" w:cs="Times New Roman"/>
          <w:spacing w:val="-5"/>
          <w:sz w:val="24"/>
          <w:szCs w:val="24"/>
        </w:rPr>
        <w:t>、</w:t>
      </w:r>
      <w:r w:rsidRPr="006F3152">
        <w:rPr>
          <w:rFonts w:ascii="Times New Roman" w:eastAsiaTheme="majorEastAsia" w:hAnsi="Times New Roman" w:cs="Times New Roman"/>
          <w:color w:val="000000"/>
          <w:sz w:val="24"/>
          <w:szCs w:val="24"/>
        </w:rPr>
        <w:t>上述部分基金如有在上海证券交易所或深圳证券交易所上市交易，则在上海证券交易所、深圳证券交易所正常交易日的交易时间投资者仍可进行二级市场交易</w:t>
      </w:r>
      <w:r w:rsidR="00805C35" w:rsidRPr="006F3152">
        <w:rPr>
          <w:rFonts w:ascii="Times New Roman" w:eastAsiaTheme="majorEastAsia" w:hAnsi="Times New Roman" w:cs="Times New Roman"/>
          <w:color w:val="000000"/>
          <w:sz w:val="24"/>
          <w:szCs w:val="24"/>
        </w:rPr>
        <w:t>。</w:t>
      </w:r>
    </w:p>
    <w:p w:rsidR="00AD0070" w:rsidRPr="006F3152" w:rsidRDefault="00D71934" w:rsidP="00D475CB">
      <w:pPr>
        <w:pStyle w:val="a3"/>
        <w:spacing w:line="367" w:lineRule="auto"/>
        <w:ind w:right="48" w:firstLine="426"/>
        <w:jc w:val="both"/>
        <w:rPr>
          <w:rFonts w:ascii="Times New Roman" w:eastAsiaTheme="majorEastAsia" w:hAnsi="Times New Roman" w:cs="Times New Roman"/>
          <w:color w:val="000000"/>
          <w:sz w:val="24"/>
          <w:szCs w:val="24"/>
        </w:rPr>
      </w:pPr>
      <w:r w:rsidRPr="006F3152">
        <w:rPr>
          <w:rFonts w:ascii="Times New Roman" w:eastAsiaTheme="majorEastAsia" w:hAnsi="Times New Roman" w:cs="Times New Roman"/>
          <w:color w:val="000000"/>
          <w:sz w:val="24"/>
          <w:szCs w:val="24"/>
        </w:rPr>
        <w:t>3</w:t>
      </w:r>
      <w:r w:rsidR="00AD0070" w:rsidRPr="006F3152">
        <w:rPr>
          <w:rFonts w:ascii="Times New Roman" w:eastAsiaTheme="majorEastAsia" w:hAnsi="Times New Roman" w:cs="Times New Roman"/>
          <w:color w:val="000000"/>
          <w:sz w:val="24"/>
          <w:szCs w:val="24"/>
        </w:rPr>
        <w:t>、</w:t>
      </w:r>
      <w:r w:rsidRPr="006F3152">
        <w:rPr>
          <w:rFonts w:ascii="Times New Roman" w:eastAsiaTheme="majorEastAsia" w:hAnsi="Times New Roman" w:cs="Times New Roman"/>
          <w:color w:val="000000"/>
          <w:sz w:val="24"/>
          <w:szCs w:val="24"/>
        </w:rPr>
        <w:t>本公告主要为非港股通交易日暂停及后续恢复相关业务的说明，如遇上述基金因其他原因暂停相关业务的，具体业务办理以相关公告为准。</w:t>
      </w:r>
    </w:p>
    <w:p w:rsidR="00AD0070" w:rsidRPr="006F3152" w:rsidRDefault="00AD0070" w:rsidP="00D475CB">
      <w:pPr>
        <w:pStyle w:val="a3"/>
        <w:spacing w:line="367" w:lineRule="auto"/>
        <w:ind w:right="48" w:firstLine="426"/>
        <w:jc w:val="both"/>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为避免因假期原因带来的不便，敬请投资者提前进行相关的业务安排。</w:t>
      </w:r>
    </w:p>
    <w:p w:rsidR="00AD0070" w:rsidRPr="006F3152" w:rsidRDefault="00AD0070" w:rsidP="00D475CB">
      <w:pPr>
        <w:pStyle w:val="a3"/>
        <w:spacing w:line="367" w:lineRule="auto"/>
        <w:ind w:right="48" w:firstLine="426"/>
        <w:jc w:val="both"/>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投资者可登录本公司网站（</w:t>
      </w:r>
      <w:r w:rsidRPr="006F3152">
        <w:rPr>
          <w:rFonts w:ascii="Times New Roman" w:eastAsiaTheme="majorEastAsia" w:hAnsi="Times New Roman" w:cs="Times New Roman"/>
          <w:spacing w:val="-5"/>
          <w:sz w:val="24"/>
          <w:szCs w:val="24"/>
        </w:rPr>
        <w:t>fund.pingan.com</w:t>
      </w:r>
      <w:r w:rsidRPr="006F3152">
        <w:rPr>
          <w:rFonts w:ascii="Times New Roman" w:eastAsiaTheme="majorEastAsia" w:hAnsi="Times New Roman" w:cs="Times New Roman"/>
          <w:spacing w:val="-5"/>
          <w:sz w:val="24"/>
          <w:szCs w:val="24"/>
        </w:rPr>
        <w:t>）或拨打本公司客户服务电话（</w:t>
      </w:r>
      <w:r w:rsidRPr="006F3152">
        <w:rPr>
          <w:rFonts w:ascii="Times New Roman" w:eastAsiaTheme="majorEastAsia" w:hAnsi="Times New Roman" w:cs="Times New Roman"/>
          <w:spacing w:val="-5"/>
          <w:sz w:val="24"/>
          <w:szCs w:val="24"/>
        </w:rPr>
        <w:t>400-800-4800</w:t>
      </w:r>
      <w:r w:rsidRPr="006F3152">
        <w:rPr>
          <w:rFonts w:ascii="Times New Roman" w:eastAsiaTheme="majorEastAsia" w:hAnsi="Times New Roman" w:cs="Times New Roman"/>
          <w:spacing w:val="-5"/>
          <w:sz w:val="24"/>
          <w:szCs w:val="24"/>
        </w:rPr>
        <w:t>）获取相关信息。</w:t>
      </w:r>
    </w:p>
    <w:p w:rsidR="00AD0070" w:rsidRPr="006F3152" w:rsidRDefault="00AD0070" w:rsidP="00D475CB">
      <w:pPr>
        <w:pStyle w:val="a3"/>
        <w:spacing w:line="367" w:lineRule="auto"/>
        <w:ind w:right="48" w:firstLine="426"/>
        <w:jc w:val="both"/>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风险提示：本公司承诺以诚实信用、勤勉尽责的原则管理和运用基金资产，但不保证基金一定盈利，也不保证最低</w:t>
      </w:r>
      <w:r w:rsidR="003E111B" w:rsidRPr="006F3152">
        <w:rPr>
          <w:rFonts w:ascii="Times New Roman" w:eastAsiaTheme="majorEastAsia" w:hAnsi="Times New Roman" w:cs="Times New Roman"/>
          <w:spacing w:val="-5"/>
          <w:sz w:val="24"/>
          <w:szCs w:val="24"/>
        </w:rPr>
        <w:t>收益。敬请投资者注意投资风险。投资者投资于上述基金前应认真阅读</w:t>
      </w:r>
      <w:r w:rsidRPr="006F3152">
        <w:rPr>
          <w:rFonts w:ascii="Times New Roman" w:eastAsiaTheme="majorEastAsia" w:hAnsi="Times New Roman" w:cs="Times New Roman"/>
          <w:spacing w:val="-5"/>
          <w:sz w:val="24"/>
          <w:szCs w:val="24"/>
        </w:rPr>
        <w:t>基金的基金合同、招募说明书（更新）等相关法律文件。</w:t>
      </w:r>
    </w:p>
    <w:p w:rsidR="00BF1E1A" w:rsidRPr="006F3152" w:rsidRDefault="00AD0070" w:rsidP="00D475CB">
      <w:pPr>
        <w:pStyle w:val="a3"/>
        <w:spacing w:line="367" w:lineRule="auto"/>
        <w:ind w:right="48" w:firstLine="426"/>
        <w:jc w:val="both"/>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特此公告。</w:t>
      </w:r>
    </w:p>
    <w:p w:rsidR="00454FBC" w:rsidRPr="006F3152" w:rsidRDefault="00454FBC" w:rsidP="00F140B1">
      <w:pPr>
        <w:pStyle w:val="a3"/>
        <w:spacing w:line="367" w:lineRule="auto"/>
        <w:ind w:right="48" w:firstLine="426"/>
        <w:rPr>
          <w:rFonts w:ascii="Times New Roman" w:eastAsiaTheme="majorEastAsia" w:hAnsi="Times New Roman" w:cs="Times New Roman"/>
          <w:spacing w:val="-5"/>
          <w:sz w:val="24"/>
          <w:szCs w:val="24"/>
        </w:rPr>
      </w:pPr>
    </w:p>
    <w:p w:rsidR="00AD0070" w:rsidRPr="006F3152" w:rsidRDefault="00AD0070" w:rsidP="00F140B1">
      <w:pPr>
        <w:pStyle w:val="a3"/>
        <w:spacing w:line="367" w:lineRule="auto"/>
        <w:ind w:right="48" w:firstLine="426"/>
        <w:jc w:val="right"/>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平安基金管理有限公司</w:t>
      </w:r>
    </w:p>
    <w:p w:rsidR="00BF1E1A" w:rsidRPr="006F3152" w:rsidRDefault="00AD0070" w:rsidP="00F140B1">
      <w:pPr>
        <w:pStyle w:val="a3"/>
        <w:spacing w:line="367" w:lineRule="auto"/>
        <w:ind w:right="48" w:firstLine="426"/>
        <w:jc w:val="right"/>
        <w:rPr>
          <w:rFonts w:ascii="Times New Roman" w:eastAsiaTheme="majorEastAsia" w:hAnsi="Times New Roman" w:cs="Times New Roman"/>
          <w:spacing w:val="-5"/>
          <w:sz w:val="24"/>
          <w:szCs w:val="24"/>
        </w:rPr>
      </w:pPr>
      <w:r w:rsidRPr="006F3152">
        <w:rPr>
          <w:rFonts w:ascii="Times New Roman" w:eastAsiaTheme="majorEastAsia" w:hAnsi="Times New Roman" w:cs="Times New Roman"/>
          <w:spacing w:val="-5"/>
          <w:sz w:val="24"/>
          <w:szCs w:val="24"/>
        </w:rPr>
        <w:t>202</w:t>
      </w:r>
      <w:r w:rsidR="008B3374">
        <w:rPr>
          <w:rFonts w:ascii="Times New Roman" w:eastAsiaTheme="majorEastAsia" w:hAnsi="Times New Roman" w:cs="Times New Roman"/>
          <w:spacing w:val="-5"/>
          <w:sz w:val="24"/>
          <w:szCs w:val="24"/>
        </w:rPr>
        <w:t>6</w:t>
      </w:r>
      <w:r w:rsidRPr="006F3152">
        <w:rPr>
          <w:rFonts w:ascii="Times New Roman" w:eastAsiaTheme="majorEastAsia" w:hAnsi="Times New Roman" w:cs="Times New Roman"/>
          <w:spacing w:val="-5"/>
          <w:sz w:val="24"/>
          <w:szCs w:val="24"/>
        </w:rPr>
        <w:t>年</w:t>
      </w:r>
      <w:r w:rsidR="00373A46" w:rsidRPr="006F3152">
        <w:rPr>
          <w:rFonts w:ascii="Times New Roman" w:eastAsiaTheme="majorEastAsia" w:hAnsi="Times New Roman" w:cs="Times New Roman"/>
          <w:spacing w:val="-5"/>
          <w:sz w:val="24"/>
          <w:szCs w:val="24"/>
        </w:rPr>
        <w:t>4</w:t>
      </w:r>
      <w:r w:rsidRPr="006F3152">
        <w:rPr>
          <w:rFonts w:ascii="Times New Roman" w:eastAsiaTheme="majorEastAsia" w:hAnsi="Times New Roman" w:cs="Times New Roman"/>
          <w:spacing w:val="-5"/>
          <w:sz w:val="24"/>
          <w:szCs w:val="24"/>
        </w:rPr>
        <w:t>月</w:t>
      </w:r>
      <w:r w:rsidR="000063A2">
        <w:rPr>
          <w:rFonts w:ascii="Times New Roman" w:eastAsiaTheme="majorEastAsia" w:hAnsi="Times New Roman" w:cs="Times New Roman"/>
          <w:spacing w:val="-5"/>
          <w:sz w:val="24"/>
          <w:szCs w:val="24"/>
        </w:rPr>
        <w:t>2</w:t>
      </w:r>
      <w:r w:rsidRPr="006F3152">
        <w:rPr>
          <w:rFonts w:ascii="Times New Roman" w:eastAsiaTheme="majorEastAsia" w:hAnsi="Times New Roman" w:cs="Times New Roman"/>
          <w:spacing w:val="-5"/>
          <w:sz w:val="24"/>
          <w:szCs w:val="24"/>
        </w:rPr>
        <w:t>日</w:t>
      </w:r>
    </w:p>
    <w:sectPr w:rsidR="00BF1E1A" w:rsidRPr="006F3152" w:rsidSect="002737D8">
      <w:pgSz w:w="11920" w:h="1685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CE2" w:rsidRDefault="00D71CE2" w:rsidP="00260D89">
      <w:r>
        <w:separator/>
      </w:r>
    </w:p>
  </w:endnote>
  <w:endnote w:type="continuationSeparator" w:id="0">
    <w:p w:rsidR="00D71CE2" w:rsidRDefault="00D71CE2" w:rsidP="00260D8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CE2" w:rsidRDefault="00D71CE2" w:rsidP="00260D89">
      <w:r>
        <w:separator/>
      </w:r>
    </w:p>
  </w:footnote>
  <w:footnote w:type="continuationSeparator" w:id="0">
    <w:p w:rsidR="00D71CE2" w:rsidRDefault="00D71CE2" w:rsidP="00260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931D1"/>
    <w:multiLevelType w:val="hybridMultilevel"/>
    <w:tmpl w:val="DB58409A"/>
    <w:lvl w:ilvl="0" w:tplc="CA9C747E">
      <w:start w:val="2"/>
      <w:numFmt w:val="decimal"/>
      <w:lvlText w:val="%1."/>
      <w:lvlJc w:val="left"/>
      <w:pPr>
        <w:ind w:left="1332" w:hanging="213"/>
      </w:pPr>
      <w:rPr>
        <w:rFonts w:ascii="宋体" w:eastAsia="宋体" w:hAnsi="宋体" w:cs="宋体" w:hint="default"/>
        <w:spacing w:val="-3"/>
        <w:w w:val="100"/>
        <w:sz w:val="19"/>
        <w:szCs w:val="19"/>
        <w:lang w:val="zh-CN" w:eastAsia="zh-CN" w:bidi="zh-CN"/>
      </w:rPr>
    </w:lvl>
    <w:lvl w:ilvl="1" w:tplc="71EA86C4">
      <w:numFmt w:val="bullet"/>
      <w:lvlText w:val="•"/>
      <w:lvlJc w:val="left"/>
      <w:pPr>
        <w:ind w:left="2117" w:hanging="213"/>
      </w:pPr>
      <w:rPr>
        <w:rFonts w:hint="default"/>
        <w:lang w:val="zh-CN" w:eastAsia="zh-CN" w:bidi="zh-CN"/>
      </w:rPr>
    </w:lvl>
    <w:lvl w:ilvl="2" w:tplc="9110B328">
      <w:numFmt w:val="bullet"/>
      <w:lvlText w:val="•"/>
      <w:lvlJc w:val="left"/>
      <w:pPr>
        <w:ind w:left="2894" w:hanging="213"/>
      </w:pPr>
      <w:rPr>
        <w:rFonts w:hint="default"/>
        <w:lang w:val="zh-CN" w:eastAsia="zh-CN" w:bidi="zh-CN"/>
      </w:rPr>
    </w:lvl>
    <w:lvl w:ilvl="3" w:tplc="A66035B6">
      <w:numFmt w:val="bullet"/>
      <w:lvlText w:val="•"/>
      <w:lvlJc w:val="left"/>
      <w:pPr>
        <w:ind w:left="3671" w:hanging="213"/>
      </w:pPr>
      <w:rPr>
        <w:rFonts w:hint="default"/>
        <w:lang w:val="zh-CN" w:eastAsia="zh-CN" w:bidi="zh-CN"/>
      </w:rPr>
    </w:lvl>
    <w:lvl w:ilvl="4" w:tplc="D596537A">
      <w:numFmt w:val="bullet"/>
      <w:lvlText w:val="•"/>
      <w:lvlJc w:val="left"/>
      <w:pPr>
        <w:ind w:left="4448" w:hanging="213"/>
      </w:pPr>
      <w:rPr>
        <w:rFonts w:hint="default"/>
        <w:lang w:val="zh-CN" w:eastAsia="zh-CN" w:bidi="zh-CN"/>
      </w:rPr>
    </w:lvl>
    <w:lvl w:ilvl="5" w:tplc="056C4A4E">
      <w:numFmt w:val="bullet"/>
      <w:lvlText w:val="•"/>
      <w:lvlJc w:val="left"/>
      <w:pPr>
        <w:ind w:left="5225" w:hanging="213"/>
      </w:pPr>
      <w:rPr>
        <w:rFonts w:hint="default"/>
        <w:lang w:val="zh-CN" w:eastAsia="zh-CN" w:bidi="zh-CN"/>
      </w:rPr>
    </w:lvl>
    <w:lvl w:ilvl="6" w:tplc="1F5EC036">
      <w:numFmt w:val="bullet"/>
      <w:lvlText w:val="•"/>
      <w:lvlJc w:val="left"/>
      <w:pPr>
        <w:ind w:left="6002" w:hanging="213"/>
      </w:pPr>
      <w:rPr>
        <w:rFonts w:hint="default"/>
        <w:lang w:val="zh-CN" w:eastAsia="zh-CN" w:bidi="zh-CN"/>
      </w:rPr>
    </w:lvl>
    <w:lvl w:ilvl="7" w:tplc="69E270F6">
      <w:numFmt w:val="bullet"/>
      <w:lvlText w:val="•"/>
      <w:lvlJc w:val="left"/>
      <w:pPr>
        <w:ind w:left="6779" w:hanging="213"/>
      </w:pPr>
      <w:rPr>
        <w:rFonts w:hint="default"/>
        <w:lang w:val="zh-CN" w:eastAsia="zh-CN" w:bidi="zh-CN"/>
      </w:rPr>
    </w:lvl>
    <w:lvl w:ilvl="8" w:tplc="3028CA2A">
      <w:numFmt w:val="bullet"/>
      <w:lvlText w:val="•"/>
      <w:lvlJc w:val="left"/>
      <w:pPr>
        <w:ind w:left="7556" w:hanging="213"/>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BF1E1A"/>
    <w:rsid w:val="000063A2"/>
    <w:rsid w:val="0006276B"/>
    <w:rsid w:val="00064AF0"/>
    <w:rsid w:val="0007603C"/>
    <w:rsid w:val="001167BC"/>
    <w:rsid w:val="00126960"/>
    <w:rsid w:val="00136C5C"/>
    <w:rsid w:val="002566E2"/>
    <w:rsid w:val="00260D89"/>
    <w:rsid w:val="002737D8"/>
    <w:rsid w:val="00286A6B"/>
    <w:rsid w:val="00286BF1"/>
    <w:rsid w:val="003230EE"/>
    <w:rsid w:val="00341A4F"/>
    <w:rsid w:val="00373A46"/>
    <w:rsid w:val="00376606"/>
    <w:rsid w:val="003C4723"/>
    <w:rsid w:val="003D62E7"/>
    <w:rsid w:val="003E111B"/>
    <w:rsid w:val="00454FBC"/>
    <w:rsid w:val="004B2BD7"/>
    <w:rsid w:val="00511AFA"/>
    <w:rsid w:val="00524FC9"/>
    <w:rsid w:val="005D27D4"/>
    <w:rsid w:val="006A084B"/>
    <w:rsid w:val="006A4F71"/>
    <w:rsid w:val="006E653F"/>
    <w:rsid w:val="006F15BF"/>
    <w:rsid w:val="006F3152"/>
    <w:rsid w:val="007109A6"/>
    <w:rsid w:val="007241AB"/>
    <w:rsid w:val="0078694D"/>
    <w:rsid w:val="007D6F0D"/>
    <w:rsid w:val="00805BE7"/>
    <w:rsid w:val="00805C35"/>
    <w:rsid w:val="00826760"/>
    <w:rsid w:val="008871A2"/>
    <w:rsid w:val="008B3374"/>
    <w:rsid w:val="009248FF"/>
    <w:rsid w:val="009511C0"/>
    <w:rsid w:val="009808E1"/>
    <w:rsid w:val="0099466C"/>
    <w:rsid w:val="009B7262"/>
    <w:rsid w:val="009D7EB2"/>
    <w:rsid w:val="00A262E9"/>
    <w:rsid w:val="00A91A83"/>
    <w:rsid w:val="00A949E5"/>
    <w:rsid w:val="00AD0070"/>
    <w:rsid w:val="00B22101"/>
    <w:rsid w:val="00B352C7"/>
    <w:rsid w:val="00BB28E8"/>
    <w:rsid w:val="00BC7166"/>
    <w:rsid w:val="00BF1E1A"/>
    <w:rsid w:val="00C25492"/>
    <w:rsid w:val="00D475CB"/>
    <w:rsid w:val="00D55A63"/>
    <w:rsid w:val="00D665C6"/>
    <w:rsid w:val="00D71934"/>
    <w:rsid w:val="00D71CE2"/>
    <w:rsid w:val="00D964CE"/>
    <w:rsid w:val="00E05602"/>
    <w:rsid w:val="00E534B3"/>
    <w:rsid w:val="00F140B1"/>
    <w:rsid w:val="00F30D21"/>
    <w:rsid w:val="00FD3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6A6B"/>
    <w:rPr>
      <w:rFonts w:ascii="宋体" w:eastAsia="宋体" w:hAnsi="宋体" w:cs="宋体"/>
      <w:lang w:val="zh-CN" w:eastAsia="zh-CN" w:bidi="zh-CN"/>
    </w:rPr>
  </w:style>
  <w:style w:type="paragraph" w:styleId="1">
    <w:name w:val="heading 1"/>
    <w:basedOn w:val="a"/>
    <w:uiPriority w:val="1"/>
    <w:qFormat/>
    <w:rsid w:val="00286A6B"/>
    <w:pPr>
      <w:spacing w:before="27"/>
      <w:ind w:left="760"/>
      <w:outlineLvl w:val="0"/>
    </w:pPr>
    <w:rPr>
      <w:b/>
      <w:bCs/>
      <w:sz w:val="21"/>
      <w:szCs w:val="21"/>
    </w:rPr>
  </w:style>
  <w:style w:type="paragraph" w:styleId="2">
    <w:name w:val="heading 2"/>
    <w:basedOn w:val="a"/>
    <w:next w:val="a"/>
    <w:link w:val="2Char"/>
    <w:uiPriority w:val="9"/>
    <w:semiHidden/>
    <w:unhideWhenUsed/>
    <w:qFormat/>
    <w:rsid w:val="007869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6A6B"/>
    <w:tblPr>
      <w:tblInd w:w="0" w:type="dxa"/>
      <w:tblCellMar>
        <w:top w:w="0" w:type="dxa"/>
        <w:left w:w="0" w:type="dxa"/>
        <w:bottom w:w="0" w:type="dxa"/>
        <w:right w:w="0" w:type="dxa"/>
      </w:tblCellMar>
    </w:tblPr>
  </w:style>
  <w:style w:type="paragraph" w:styleId="a3">
    <w:name w:val="Body Text"/>
    <w:basedOn w:val="a"/>
    <w:uiPriority w:val="1"/>
    <w:qFormat/>
    <w:rsid w:val="00286A6B"/>
    <w:rPr>
      <w:sz w:val="21"/>
      <w:szCs w:val="21"/>
    </w:rPr>
  </w:style>
  <w:style w:type="paragraph" w:styleId="a4">
    <w:name w:val="List Paragraph"/>
    <w:basedOn w:val="a"/>
    <w:uiPriority w:val="1"/>
    <w:qFormat/>
    <w:rsid w:val="00286A6B"/>
    <w:pPr>
      <w:ind w:left="1332" w:hanging="212"/>
    </w:pPr>
  </w:style>
  <w:style w:type="paragraph" w:customStyle="1" w:styleId="TableParagraph">
    <w:name w:val="Table Paragraph"/>
    <w:basedOn w:val="a"/>
    <w:uiPriority w:val="1"/>
    <w:qFormat/>
    <w:rsid w:val="00286A6B"/>
    <w:pPr>
      <w:spacing w:before="37"/>
      <w:jc w:val="center"/>
    </w:pPr>
  </w:style>
  <w:style w:type="paragraph" w:styleId="a5">
    <w:name w:val="header"/>
    <w:basedOn w:val="a"/>
    <w:link w:val="Char"/>
    <w:uiPriority w:val="99"/>
    <w:unhideWhenUsed/>
    <w:rsid w:val="00260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0D89"/>
    <w:rPr>
      <w:rFonts w:ascii="宋体" w:eastAsia="宋体" w:hAnsi="宋体" w:cs="宋体"/>
      <w:sz w:val="18"/>
      <w:szCs w:val="18"/>
      <w:lang w:val="zh-CN" w:eastAsia="zh-CN" w:bidi="zh-CN"/>
    </w:rPr>
  </w:style>
  <w:style w:type="paragraph" w:styleId="a6">
    <w:name w:val="footer"/>
    <w:basedOn w:val="a"/>
    <w:link w:val="Char0"/>
    <w:uiPriority w:val="99"/>
    <w:unhideWhenUsed/>
    <w:rsid w:val="00260D89"/>
    <w:pPr>
      <w:tabs>
        <w:tab w:val="center" w:pos="4153"/>
        <w:tab w:val="right" w:pos="8306"/>
      </w:tabs>
      <w:snapToGrid w:val="0"/>
    </w:pPr>
    <w:rPr>
      <w:sz w:val="18"/>
      <w:szCs w:val="18"/>
    </w:rPr>
  </w:style>
  <w:style w:type="character" w:customStyle="1" w:styleId="Char0">
    <w:name w:val="页脚 Char"/>
    <w:basedOn w:val="a0"/>
    <w:link w:val="a6"/>
    <w:uiPriority w:val="99"/>
    <w:rsid w:val="00260D89"/>
    <w:rPr>
      <w:rFonts w:ascii="宋体" w:eastAsia="宋体" w:hAnsi="宋体" w:cs="宋体"/>
      <w:sz w:val="18"/>
      <w:szCs w:val="18"/>
      <w:lang w:val="zh-CN" w:eastAsia="zh-CN" w:bidi="zh-CN"/>
    </w:rPr>
  </w:style>
  <w:style w:type="character" w:customStyle="1" w:styleId="2Char">
    <w:name w:val="标题 2 Char"/>
    <w:basedOn w:val="a0"/>
    <w:link w:val="2"/>
    <w:uiPriority w:val="9"/>
    <w:semiHidden/>
    <w:rsid w:val="0078694D"/>
    <w:rPr>
      <w:rFonts w:asciiTheme="majorHAnsi" w:eastAsiaTheme="majorEastAsia" w:hAnsiTheme="majorHAnsi" w:cstheme="majorBidi"/>
      <w:b/>
      <w:bCs/>
      <w:sz w:val="32"/>
      <w:szCs w:val="32"/>
      <w:lang w:val="zh-CN" w:eastAsia="zh-CN" w:bidi="zh-CN"/>
    </w:rPr>
  </w:style>
  <w:style w:type="table" w:styleId="a7">
    <w:name w:val="Table Grid"/>
    <w:basedOn w:val="a1"/>
    <w:uiPriority w:val="59"/>
    <w:rsid w:val="00786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511C0"/>
    <w:rPr>
      <w:sz w:val="18"/>
      <w:szCs w:val="18"/>
    </w:rPr>
  </w:style>
  <w:style w:type="character" w:customStyle="1" w:styleId="Char1">
    <w:name w:val="批注框文本 Char"/>
    <w:basedOn w:val="a0"/>
    <w:link w:val="a8"/>
    <w:uiPriority w:val="99"/>
    <w:semiHidden/>
    <w:rsid w:val="009511C0"/>
    <w:rPr>
      <w:rFonts w:ascii="宋体" w:eastAsia="宋体" w:hAnsi="宋体" w:cs="宋体"/>
      <w:sz w:val="18"/>
      <w:szCs w:val="18"/>
      <w:lang w:val="zh-CN" w:eastAsia="zh-CN" w:bidi="zh-CN"/>
    </w:rPr>
  </w:style>
  <w:style w:type="character" w:styleId="a9">
    <w:name w:val="annotation reference"/>
    <w:basedOn w:val="a0"/>
    <w:uiPriority w:val="99"/>
    <w:semiHidden/>
    <w:unhideWhenUsed/>
    <w:rsid w:val="003230EE"/>
    <w:rPr>
      <w:sz w:val="21"/>
      <w:szCs w:val="21"/>
    </w:rPr>
  </w:style>
  <w:style w:type="paragraph" w:styleId="aa">
    <w:name w:val="annotation text"/>
    <w:basedOn w:val="a"/>
    <w:link w:val="Char2"/>
    <w:uiPriority w:val="99"/>
    <w:semiHidden/>
    <w:unhideWhenUsed/>
    <w:rsid w:val="003230EE"/>
  </w:style>
  <w:style w:type="character" w:customStyle="1" w:styleId="Char2">
    <w:name w:val="批注文字 Char"/>
    <w:basedOn w:val="a0"/>
    <w:link w:val="aa"/>
    <w:uiPriority w:val="99"/>
    <w:semiHidden/>
    <w:rsid w:val="003230EE"/>
    <w:rPr>
      <w:rFonts w:ascii="宋体" w:eastAsia="宋体" w:hAnsi="宋体" w:cs="宋体"/>
      <w:lang w:val="zh-CN" w:eastAsia="zh-CN" w:bidi="zh-CN"/>
    </w:rPr>
  </w:style>
  <w:style w:type="paragraph" w:styleId="ab">
    <w:name w:val="annotation subject"/>
    <w:basedOn w:val="aa"/>
    <w:next w:val="aa"/>
    <w:link w:val="Char3"/>
    <w:uiPriority w:val="99"/>
    <w:semiHidden/>
    <w:unhideWhenUsed/>
    <w:rsid w:val="003230EE"/>
    <w:rPr>
      <w:b/>
      <w:bCs/>
    </w:rPr>
  </w:style>
  <w:style w:type="character" w:customStyle="1" w:styleId="Char3">
    <w:name w:val="批注主题 Char"/>
    <w:basedOn w:val="Char2"/>
    <w:link w:val="ab"/>
    <w:uiPriority w:val="99"/>
    <w:semiHidden/>
    <w:rsid w:val="003230EE"/>
    <w:rPr>
      <w:rFonts w:ascii="宋体" w:eastAsia="宋体" w:hAnsi="宋体" w:cs="宋体"/>
      <w:b/>
      <w:bCs/>
      <w:lang w:val="zh-CN" w:eastAsia="zh-CN" w:bidi="zh-CN"/>
    </w:rPr>
  </w:style>
</w:styles>
</file>

<file path=word/webSettings.xml><?xml version="1.0" encoding="utf-8"?>
<w:webSettings xmlns:r="http://schemas.openxmlformats.org/officeDocument/2006/relationships" xmlns:w="http://schemas.openxmlformats.org/wordprocessingml/2006/main">
  <w:divs>
    <w:div w:id="181089747">
      <w:bodyDiv w:val="1"/>
      <w:marLeft w:val="0"/>
      <w:marRight w:val="0"/>
      <w:marTop w:val="0"/>
      <w:marBottom w:val="0"/>
      <w:divBdr>
        <w:top w:val="none" w:sz="0" w:space="0" w:color="auto"/>
        <w:left w:val="none" w:sz="0" w:space="0" w:color="auto"/>
        <w:bottom w:val="none" w:sz="0" w:space="0" w:color="auto"/>
        <w:right w:val="none" w:sz="0" w:space="0" w:color="auto"/>
      </w:divBdr>
    </w:div>
    <w:div w:id="186868926">
      <w:bodyDiv w:val="1"/>
      <w:marLeft w:val="0"/>
      <w:marRight w:val="0"/>
      <w:marTop w:val="0"/>
      <w:marBottom w:val="0"/>
      <w:divBdr>
        <w:top w:val="none" w:sz="0" w:space="0" w:color="auto"/>
        <w:left w:val="none" w:sz="0" w:space="0" w:color="auto"/>
        <w:bottom w:val="none" w:sz="0" w:space="0" w:color="auto"/>
        <w:right w:val="none" w:sz="0" w:space="0" w:color="auto"/>
      </w:divBdr>
    </w:div>
    <w:div w:id="269244795">
      <w:bodyDiv w:val="1"/>
      <w:marLeft w:val="0"/>
      <w:marRight w:val="0"/>
      <w:marTop w:val="0"/>
      <w:marBottom w:val="0"/>
      <w:divBdr>
        <w:top w:val="none" w:sz="0" w:space="0" w:color="auto"/>
        <w:left w:val="none" w:sz="0" w:space="0" w:color="auto"/>
        <w:bottom w:val="none" w:sz="0" w:space="0" w:color="auto"/>
        <w:right w:val="none" w:sz="0" w:space="0" w:color="auto"/>
      </w:divBdr>
    </w:div>
    <w:div w:id="550845637">
      <w:bodyDiv w:val="1"/>
      <w:marLeft w:val="0"/>
      <w:marRight w:val="0"/>
      <w:marTop w:val="0"/>
      <w:marBottom w:val="0"/>
      <w:divBdr>
        <w:top w:val="none" w:sz="0" w:space="0" w:color="auto"/>
        <w:left w:val="none" w:sz="0" w:space="0" w:color="auto"/>
        <w:bottom w:val="none" w:sz="0" w:space="0" w:color="auto"/>
        <w:right w:val="none" w:sz="0" w:space="0" w:color="auto"/>
      </w:divBdr>
    </w:div>
    <w:div w:id="552349754">
      <w:bodyDiv w:val="1"/>
      <w:marLeft w:val="0"/>
      <w:marRight w:val="0"/>
      <w:marTop w:val="0"/>
      <w:marBottom w:val="0"/>
      <w:divBdr>
        <w:top w:val="none" w:sz="0" w:space="0" w:color="auto"/>
        <w:left w:val="none" w:sz="0" w:space="0" w:color="auto"/>
        <w:bottom w:val="none" w:sz="0" w:space="0" w:color="auto"/>
        <w:right w:val="none" w:sz="0" w:space="0" w:color="auto"/>
      </w:divBdr>
    </w:div>
    <w:div w:id="882790439">
      <w:bodyDiv w:val="1"/>
      <w:marLeft w:val="0"/>
      <w:marRight w:val="0"/>
      <w:marTop w:val="0"/>
      <w:marBottom w:val="0"/>
      <w:divBdr>
        <w:top w:val="none" w:sz="0" w:space="0" w:color="auto"/>
        <w:left w:val="none" w:sz="0" w:space="0" w:color="auto"/>
        <w:bottom w:val="none" w:sz="0" w:space="0" w:color="auto"/>
        <w:right w:val="none" w:sz="0" w:space="0" w:color="auto"/>
      </w:divBdr>
    </w:div>
    <w:div w:id="1659337719">
      <w:bodyDiv w:val="1"/>
      <w:marLeft w:val="0"/>
      <w:marRight w:val="0"/>
      <w:marTop w:val="0"/>
      <w:marBottom w:val="0"/>
      <w:divBdr>
        <w:top w:val="none" w:sz="0" w:space="0" w:color="auto"/>
        <w:left w:val="none" w:sz="0" w:space="0" w:color="auto"/>
        <w:bottom w:val="none" w:sz="0" w:space="0" w:color="auto"/>
        <w:right w:val="none" w:sz="0" w:space="0" w:color="auto"/>
      </w:divBdr>
    </w:div>
    <w:div w:id="1834368706">
      <w:bodyDiv w:val="1"/>
      <w:marLeft w:val="0"/>
      <w:marRight w:val="0"/>
      <w:marTop w:val="0"/>
      <w:marBottom w:val="0"/>
      <w:divBdr>
        <w:top w:val="none" w:sz="0" w:space="0" w:color="auto"/>
        <w:left w:val="none" w:sz="0" w:space="0" w:color="auto"/>
        <w:bottom w:val="none" w:sz="0" w:space="0" w:color="auto"/>
        <w:right w:val="none" w:sz="0" w:space="0" w:color="auto"/>
      </w:divBdr>
    </w:div>
    <w:div w:id="206513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F64D-4240-4824-BE13-FF03CB92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2563</Characters>
  <Application>Microsoft Office Word</Application>
  <DocSecurity>4</DocSecurity>
  <Lines>21</Lines>
  <Paragraphs>6</Paragraphs>
  <ScaleCrop>false</ScaleCrop>
  <Company>PAIG</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huxw</dc:creator>
  <cp:lastModifiedBy>ZHONGM</cp:lastModifiedBy>
  <cp:revision>2</cp:revision>
  <dcterms:created xsi:type="dcterms:W3CDTF">2026-04-01T16:01:00Z</dcterms:created>
  <dcterms:modified xsi:type="dcterms:W3CDTF">2026-04-01T16:01:00Z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2016</vt:lpwstr>
  </property>
  <property fmtid="{D5CDD505-2E9C-101B-9397-08002B2CF9AE}" pid="4" name="LastSaved">
    <vt:filetime>2023-12-27T00:00:00Z</vt:filetime>
  </property>
</Properties>
</file>