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BB2" w:rsidRDefault="008051B2">
      <w:pPr>
        <w:pStyle w:val="font14"/>
        <w:jc w:val="center"/>
        <w:rPr>
          <w:rFonts w:ascii="Times New Roman" w:hAnsi="Times New Roman" w:cs="Times New Roman"/>
          <w:sz w:val="36"/>
          <w:szCs w:val="36"/>
        </w:rPr>
      </w:pPr>
      <w:r>
        <w:rPr>
          <w:rStyle w:val="a8"/>
          <w:rFonts w:ascii="Times New Roman" w:hAnsi="Times New Roman" w:cs="Times New Roman"/>
          <w:sz w:val="36"/>
          <w:szCs w:val="36"/>
        </w:rPr>
        <w:t>易方达基金管理有限公司关于旗下部分基金获配中国神华（</w:t>
      </w:r>
      <w:r>
        <w:rPr>
          <w:rStyle w:val="a8"/>
          <w:rFonts w:ascii="Times New Roman" w:hAnsi="Times New Roman" w:cs="Times New Roman"/>
          <w:sz w:val="36"/>
          <w:szCs w:val="36"/>
        </w:rPr>
        <w:t>601088</w:t>
      </w:r>
      <w:r>
        <w:rPr>
          <w:rStyle w:val="a8"/>
          <w:rFonts w:ascii="Times New Roman" w:hAnsi="Times New Roman" w:cs="Times New Roman"/>
          <w:sz w:val="36"/>
          <w:szCs w:val="36"/>
        </w:rPr>
        <w:t>）非公开发行</w:t>
      </w:r>
      <w:r>
        <w:rPr>
          <w:rStyle w:val="a8"/>
          <w:rFonts w:ascii="Times New Roman" w:hAnsi="Times New Roman" w:cs="Times New Roman"/>
          <w:sz w:val="36"/>
          <w:szCs w:val="36"/>
        </w:rPr>
        <w:t>A</w:t>
      </w:r>
      <w:r>
        <w:rPr>
          <w:rStyle w:val="a8"/>
          <w:rFonts w:ascii="Times New Roman" w:hAnsi="Times New Roman" w:cs="Times New Roman"/>
          <w:sz w:val="36"/>
          <w:szCs w:val="36"/>
        </w:rPr>
        <w:t>股的公告</w:t>
      </w:r>
    </w:p>
    <w:p w:rsidR="00FC7BB2" w:rsidRDefault="008051B2">
      <w:pPr>
        <w:widowControl/>
        <w:spacing w:line="360" w:lineRule="auto"/>
        <w:ind w:firstLineChars="200" w:firstLine="480"/>
        <w:rPr>
          <w:kern w:val="0"/>
          <w:sz w:val="24"/>
        </w:rPr>
      </w:pPr>
      <w:r>
        <w:rPr>
          <w:kern w:val="0"/>
          <w:sz w:val="24"/>
        </w:rPr>
        <w:t>易方达基金管理有限公司</w:t>
      </w:r>
      <w:r>
        <w:rPr>
          <w:rFonts w:hint="eastAsia"/>
          <w:kern w:val="0"/>
          <w:sz w:val="24"/>
        </w:rPr>
        <w:t>（</w:t>
      </w:r>
      <w:r>
        <w:rPr>
          <w:kern w:val="0"/>
          <w:sz w:val="24"/>
        </w:rPr>
        <w:t>以下简称</w:t>
      </w:r>
      <w:r>
        <w:rPr>
          <w:rFonts w:hint="eastAsia"/>
          <w:kern w:val="0"/>
          <w:sz w:val="24"/>
        </w:rPr>
        <w:t>“</w:t>
      </w:r>
      <w:r>
        <w:rPr>
          <w:kern w:val="0"/>
          <w:sz w:val="24"/>
        </w:rPr>
        <w:t>本公司</w:t>
      </w:r>
      <w:r>
        <w:rPr>
          <w:rFonts w:hint="eastAsia"/>
          <w:kern w:val="0"/>
          <w:sz w:val="24"/>
        </w:rPr>
        <w:t>”）</w:t>
      </w:r>
      <w:r>
        <w:rPr>
          <w:kern w:val="0"/>
          <w:sz w:val="24"/>
        </w:rPr>
        <w:t>所管理的部分基金参加了中国神华能源股份有限公司非公开发行股票的认购。</w:t>
      </w:r>
    </w:p>
    <w:p w:rsidR="00FC7BB2" w:rsidRDefault="008051B2">
      <w:pPr>
        <w:widowControl/>
        <w:spacing w:after="240" w:line="360" w:lineRule="auto"/>
        <w:ind w:firstLineChars="200" w:firstLine="480"/>
        <w:rPr>
          <w:kern w:val="0"/>
          <w:sz w:val="24"/>
        </w:rPr>
      </w:pPr>
      <w:r>
        <w:rPr>
          <w:kern w:val="0"/>
          <w:sz w:val="24"/>
        </w:rPr>
        <w:t>根据《公开募集证券投资基金信息披露管理办法》《关于基金投资非公开发行股票等流通受限证券有关问题的通知》等有关规定</w:t>
      </w:r>
      <w:r>
        <w:rPr>
          <w:rFonts w:hint="eastAsia"/>
          <w:kern w:val="0"/>
          <w:sz w:val="24"/>
        </w:rPr>
        <w:t>，</w:t>
      </w:r>
      <w:r>
        <w:rPr>
          <w:kern w:val="0"/>
          <w:sz w:val="24"/>
        </w:rPr>
        <w:t>本公司现将</w:t>
      </w:r>
      <w:r>
        <w:rPr>
          <w:rFonts w:hint="eastAsia"/>
          <w:kern w:val="0"/>
          <w:sz w:val="24"/>
        </w:rPr>
        <w:t>旗下</w:t>
      </w:r>
      <w:r>
        <w:rPr>
          <w:kern w:val="0"/>
          <w:sz w:val="24"/>
        </w:rPr>
        <w:t>基金获配中国神华能源股份有限公司非公开发行股票情况披露如下：</w:t>
      </w:r>
    </w:p>
    <w:tbl>
      <w:tblPr>
        <w:tblStyle w:val="a7"/>
        <w:tblW w:w="0" w:type="auto"/>
        <w:jc w:val="center"/>
        <w:tblLook w:val="04A0"/>
      </w:tblPr>
      <w:tblGrid>
        <w:gridCol w:w="1872"/>
        <w:gridCol w:w="1174"/>
        <w:gridCol w:w="1686"/>
        <w:gridCol w:w="797"/>
        <w:gridCol w:w="1686"/>
        <w:gridCol w:w="821"/>
        <w:gridCol w:w="486"/>
      </w:tblGrid>
      <w:tr w:rsidR="00FC7BB2">
        <w:trPr>
          <w:jc w:val="center"/>
        </w:trPr>
        <w:tc>
          <w:tcPr>
            <w:tcW w:w="992" w:type="dxa"/>
            <w:vAlign w:val="center"/>
          </w:tcPr>
          <w:p w:rsidR="00FC7BB2" w:rsidRDefault="008051B2">
            <w:pPr>
              <w:widowControl/>
              <w:jc w:val="center"/>
              <w:rPr>
                <w:color w:val="000000"/>
                <w:kern w:val="0"/>
                <w:szCs w:val="21"/>
              </w:rPr>
            </w:pPr>
            <w:r>
              <w:rPr>
                <w:color w:val="000000"/>
                <w:kern w:val="0"/>
                <w:szCs w:val="21"/>
              </w:rPr>
              <w:t>基金名称</w:t>
            </w:r>
          </w:p>
        </w:tc>
        <w:tc>
          <w:tcPr>
            <w:tcW w:w="1241" w:type="dxa"/>
            <w:vAlign w:val="center"/>
          </w:tcPr>
          <w:p w:rsidR="00FC7BB2" w:rsidRDefault="008051B2">
            <w:pPr>
              <w:widowControl/>
              <w:jc w:val="center"/>
              <w:rPr>
                <w:color w:val="000000"/>
                <w:kern w:val="0"/>
                <w:szCs w:val="21"/>
              </w:rPr>
            </w:pPr>
            <w:r>
              <w:rPr>
                <w:color w:val="000000"/>
                <w:kern w:val="0"/>
                <w:szCs w:val="21"/>
              </w:rPr>
              <w:t>获配数量（股）</w:t>
            </w:r>
          </w:p>
        </w:tc>
        <w:tc>
          <w:tcPr>
            <w:tcW w:w="1594" w:type="dxa"/>
            <w:vAlign w:val="center"/>
          </w:tcPr>
          <w:p w:rsidR="00FC7BB2" w:rsidRDefault="008051B2">
            <w:pPr>
              <w:widowControl/>
              <w:jc w:val="center"/>
              <w:rPr>
                <w:color w:val="000000"/>
                <w:kern w:val="0"/>
                <w:szCs w:val="21"/>
              </w:rPr>
            </w:pPr>
            <w:r>
              <w:rPr>
                <w:color w:val="000000"/>
                <w:kern w:val="0"/>
                <w:szCs w:val="21"/>
              </w:rPr>
              <w:t>总成本（元）</w:t>
            </w:r>
          </w:p>
        </w:tc>
        <w:tc>
          <w:tcPr>
            <w:tcW w:w="993" w:type="dxa"/>
            <w:vAlign w:val="center"/>
          </w:tcPr>
          <w:p w:rsidR="00FC7BB2" w:rsidRDefault="008051B2">
            <w:pPr>
              <w:widowControl/>
              <w:jc w:val="center"/>
              <w:rPr>
                <w:color w:val="000000"/>
                <w:kern w:val="0"/>
                <w:szCs w:val="21"/>
              </w:rPr>
            </w:pPr>
            <w:r>
              <w:rPr>
                <w:color w:val="000000"/>
                <w:kern w:val="0"/>
                <w:szCs w:val="21"/>
              </w:rPr>
              <w:t>总成本占基金资产净值比例</w:t>
            </w:r>
          </w:p>
        </w:tc>
        <w:tc>
          <w:tcPr>
            <w:tcW w:w="1417" w:type="dxa"/>
            <w:vAlign w:val="center"/>
          </w:tcPr>
          <w:p w:rsidR="00FC7BB2" w:rsidRDefault="008051B2">
            <w:pPr>
              <w:widowControl/>
              <w:jc w:val="center"/>
              <w:rPr>
                <w:color w:val="000000"/>
                <w:kern w:val="0"/>
                <w:szCs w:val="21"/>
              </w:rPr>
            </w:pPr>
            <w:r>
              <w:rPr>
                <w:color w:val="000000"/>
                <w:kern w:val="0"/>
                <w:szCs w:val="21"/>
              </w:rPr>
              <w:t>账面价值（元）</w:t>
            </w:r>
          </w:p>
        </w:tc>
        <w:tc>
          <w:tcPr>
            <w:tcW w:w="1134" w:type="dxa"/>
            <w:vAlign w:val="center"/>
          </w:tcPr>
          <w:p w:rsidR="00FC7BB2" w:rsidRDefault="008051B2">
            <w:pPr>
              <w:widowControl/>
              <w:jc w:val="center"/>
              <w:rPr>
                <w:color w:val="000000"/>
                <w:kern w:val="0"/>
                <w:szCs w:val="21"/>
              </w:rPr>
            </w:pPr>
            <w:r>
              <w:rPr>
                <w:color w:val="000000"/>
                <w:kern w:val="0"/>
                <w:szCs w:val="21"/>
              </w:rPr>
              <w:t>账面价值占基金资产净值比例</w:t>
            </w:r>
          </w:p>
        </w:tc>
        <w:tc>
          <w:tcPr>
            <w:tcW w:w="788" w:type="dxa"/>
            <w:vAlign w:val="center"/>
          </w:tcPr>
          <w:p w:rsidR="00FC7BB2" w:rsidRDefault="008051B2">
            <w:pPr>
              <w:widowControl/>
              <w:jc w:val="center"/>
              <w:rPr>
                <w:color w:val="000000"/>
                <w:kern w:val="0"/>
                <w:szCs w:val="21"/>
              </w:rPr>
            </w:pPr>
            <w:r>
              <w:rPr>
                <w:color w:val="000000"/>
                <w:kern w:val="0"/>
                <w:szCs w:val="21"/>
              </w:rPr>
              <w:t>锁定期</w:t>
            </w:r>
          </w:p>
        </w:tc>
      </w:tr>
      <w:tr w:rsidR="00FC7BB2">
        <w:trPr>
          <w:jc w:val="center"/>
        </w:trPr>
        <w:tc>
          <w:tcPr>
            <w:tcW w:w="0" w:type="auto"/>
            <w:vAlign w:val="center"/>
          </w:tcPr>
          <w:p w:rsidR="00FC7BB2" w:rsidRDefault="008051B2">
            <w:pPr>
              <w:jc w:val="center"/>
            </w:pPr>
            <w:r>
              <w:rPr>
                <w:szCs w:val="21"/>
              </w:rPr>
              <w:t>易方达裕祥回报债券型证券投资基金</w:t>
            </w:r>
          </w:p>
        </w:tc>
        <w:tc>
          <w:tcPr>
            <w:tcW w:w="0" w:type="auto"/>
            <w:vAlign w:val="center"/>
          </w:tcPr>
          <w:p w:rsidR="00FC7BB2" w:rsidRDefault="008051B2">
            <w:pPr>
              <w:jc w:val="center"/>
            </w:pPr>
            <w:r>
              <w:rPr>
                <w:szCs w:val="21"/>
              </w:rPr>
              <w:t>2,288,329</w:t>
            </w:r>
          </w:p>
        </w:tc>
        <w:tc>
          <w:tcPr>
            <w:tcW w:w="0" w:type="auto"/>
            <w:vAlign w:val="center"/>
          </w:tcPr>
          <w:p w:rsidR="00FC7BB2" w:rsidRDefault="008051B2">
            <w:pPr>
              <w:jc w:val="center"/>
            </w:pPr>
            <w:r>
              <w:rPr>
                <w:szCs w:val="21"/>
              </w:rPr>
              <w:t>99,999,977.30</w:t>
            </w:r>
          </w:p>
        </w:tc>
        <w:tc>
          <w:tcPr>
            <w:tcW w:w="0" w:type="auto"/>
            <w:vAlign w:val="center"/>
          </w:tcPr>
          <w:p w:rsidR="00FC7BB2" w:rsidRDefault="008051B2">
            <w:pPr>
              <w:jc w:val="center"/>
            </w:pPr>
            <w:r>
              <w:rPr>
                <w:szCs w:val="21"/>
              </w:rPr>
              <w:t>0.22%</w:t>
            </w:r>
          </w:p>
        </w:tc>
        <w:tc>
          <w:tcPr>
            <w:tcW w:w="0" w:type="auto"/>
            <w:vAlign w:val="center"/>
          </w:tcPr>
          <w:p w:rsidR="00FC7BB2" w:rsidRDefault="008051B2">
            <w:pPr>
              <w:jc w:val="center"/>
            </w:pPr>
            <w:r>
              <w:rPr>
                <w:szCs w:val="21"/>
              </w:rPr>
              <w:t>102,517,139.20</w:t>
            </w:r>
          </w:p>
        </w:tc>
        <w:tc>
          <w:tcPr>
            <w:tcW w:w="0" w:type="auto"/>
            <w:vAlign w:val="center"/>
          </w:tcPr>
          <w:p w:rsidR="00FC7BB2" w:rsidRDefault="008051B2">
            <w:pPr>
              <w:jc w:val="center"/>
            </w:pPr>
            <w:r>
              <w:rPr>
                <w:szCs w:val="21"/>
              </w:rPr>
              <w:t>0.23%</w:t>
            </w:r>
          </w:p>
        </w:tc>
        <w:tc>
          <w:tcPr>
            <w:tcW w:w="0" w:type="auto"/>
            <w:vAlign w:val="center"/>
          </w:tcPr>
          <w:p w:rsidR="00FC7BB2" w:rsidRDefault="008051B2">
            <w:pPr>
              <w:jc w:val="center"/>
            </w:pPr>
            <w:r>
              <w:rPr>
                <w:szCs w:val="21"/>
              </w:rPr>
              <w:t>6</w:t>
            </w:r>
            <w:r>
              <w:rPr>
                <w:szCs w:val="21"/>
              </w:rPr>
              <w:t>个月</w:t>
            </w:r>
          </w:p>
        </w:tc>
      </w:tr>
      <w:tr w:rsidR="00FC7BB2">
        <w:trPr>
          <w:jc w:val="center"/>
        </w:trPr>
        <w:tc>
          <w:tcPr>
            <w:tcW w:w="0" w:type="auto"/>
            <w:vAlign w:val="center"/>
          </w:tcPr>
          <w:p w:rsidR="00FC7BB2" w:rsidRDefault="008051B2">
            <w:pPr>
              <w:jc w:val="center"/>
            </w:pPr>
            <w:r>
              <w:rPr>
                <w:szCs w:val="21"/>
              </w:rPr>
              <w:t>易方达港股通红利灵活配置混合型证券投资基金</w:t>
            </w:r>
          </w:p>
        </w:tc>
        <w:tc>
          <w:tcPr>
            <w:tcW w:w="0" w:type="auto"/>
            <w:vAlign w:val="center"/>
          </w:tcPr>
          <w:p w:rsidR="00FC7BB2" w:rsidRDefault="008051B2">
            <w:pPr>
              <w:jc w:val="center"/>
            </w:pPr>
            <w:r>
              <w:rPr>
                <w:szCs w:val="21"/>
              </w:rPr>
              <w:t>457,665</w:t>
            </w:r>
          </w:p>
        </w:tc>
        <w:tc>
          <w:tcPr>
            <w:tcW w:w="0" w:type="auto"/>
            <w:vAlign w:val="center"/>
          </w:tcPr>
          <w:p w:rsidR="00FC7BB2" w:rsidRDefault="008051B2">
            <w:pPr>
              <w:jc w:val="center"/>
            </w:pPr>
            <w:r>
              <w:rPr>
                <w:szCs w:val="21"/>
              </w:rPr>
              <w:t>19,999,960.50</w:t>
            </w:r>
          </w:p>
        </w:tc>
        <w:tc>
          <w:tcPr>
            <w:tcW w:w="0" w:type="auto"/>
            <w:vAlign w:val="center"/>
          </w:tcPr>
          <w:p w:rsidR="00FC7BB2" w:rsidRDefault="008051B2">
            <w:pPr>
              <w:jc w:val="center"/>
            </w:pPr>
            <w:r>
              <w:rPr>
                <w:szCs w:val="21"/>
              </w:rPr>
              <w:t>0.45%</w:t>
            </w:r>
          </w:p>
        </w:tc>
        <w:tc>
          <w:tcPr>
            <w:tcW w:w="0" w:type="auto"/>
            <w:vAlign w:val="center"/>
          </w:tcPr>
          <w:p w:rsidR="00FC7BB2" w:rsidRDefault="008051B2">
            <w:pPr>
              <w:jc w:val="center"/>
            </w:pPr>
            <w:r>
              <w:rPr>
                <w:szCs w:val="21"/>
              </w:rPr>
              <w:t>20,503,392.00</w:t>
            </w:r>
          </w:p>
        </w:tc>
        <w:tc>
          <w:tcPr>
            <w:tcW w:w="0" w:type="auto"/>
            <w:vAlign w:val="center"/>
          </w:tcPr>
          <w:p w:rsidR="00FC7BB2" w:rsidRDefault="008051B2">
            <w:pPr>
              <w:jc w:val="center"/>
            </w:pPr>
            <w:r>
              <w:rPr>
                <w:szCs w:val="21"/>
              </w:rPr>
              <w:t>0.46%</w:t>
            </w:r>
          </w:p>
        </w:tc>
        <w:tc>
          <w:tcPr>
            <w:tcW w:w="0" w:type="auto"/>
            <w:vAlign w:val="center"/>
          </w:tcPr>
          <w:p w:rsidR="00FC7BB2" w:rsidRDefault="008051B2">
            <w:pPr>
              <w:jc w:val="center"/>
            </w:pPr>
            <w:r>
              <w:rPr>
                <w:szCs w:val="21"/>
              </w:rPr>
              <w:t>6</w:t>
            </w:r>
            <w:r>
              <w:rPr>
                <w:szCs w:val="21"/>
              </w:rPr>
              <w:t>个月</w:t>
            </w:r>
          </w:p>
        </w:tc>
      </w:tr>
      <w:tr w:rsidR="00FC7BB2">
        <w:trPr>
          <w:jc w:val="center"/>
        </w:trPr>
        <w:tc>
          <w:tcPr>
            <w:tcW w:w="0" w:type="auto"/>
            <w:vAlign w:val="center"/>
          </w:tcPr>
          <w:p w:rsidR="00FC7BB2" w:rsidRDefault="008051B2">
            <w:pPr>
              <w:jc w:val="center"/>
            </w:pPr>
            <w:r>
              <w:rPr>
                <w:szCs w:val="21"/>
              </w:rPr>
              <w:t>易方达价值回报混合型证券投资基金</w:t>
            </w:r>
          </w:p>
        </w:tc>
        <w:tc>
          <w:tcPr>
            <w:tcW w:w="0" w:type="auto"/>
            <w:vAlign w:val="center"/>
          </w:tcPr>
          <w:p w:rsidR="00FC7BB2" w:rsidRDefault="008051B2">
            <w:pPr>
              <w:jc w:val="center"/>
            </w:pPr>
            <w:r>
              <w:rPr>
                <w:szCs w:val="21"/>
              </w:rPr>
              <w:t>228,832</w:t>
            </w:r>
          </w:p>
        </w:tc>
        <w:tc>
          <w:tcPr>
            <w:tcW w:w="0" w:type="auto"/>
            <w:vAlign w:val="center"/>
          </w:tcPr>
          <w:p w:rsidR="00FC7BB2" w:rsidRDefault="008051B2">
            <w:pPr>
              <w:jc w:val="center"/>
            </w:pPr>
            <w:r>
              <w:rPr>
                <w:szCs w:val="21"/>
              </w:rPr>
              <w:t>9,999,958.40</w:t>
            </w:r>
          </w:p>
        </w:tc>
        <w:tc>
          <w:tcPr>
            <w:tcW w:w="0" w:type="auto"/>
            <w:vAlign w:val="center"/>
          </w:tcPr>
          <w:p w:rsidR="00FC7BB2" w:rsidRDefault="008051B2">
            <w:pPr>
              <w:jc w:val="center"/>
            </w:pPr>
            <w:r>
              <w:rPr>
                <w:szCs w:val="21"/>
              </w:rPr>
              <w:t>0.84%</w:t>
            </w:r>
          </w:p>
        </w:tc>
        <w:tc>
          <w:tcPr>
            <w:tcW w:w="0" w:type="auto"/>
            <w:vAlign w:val="center"/>
          </w:tcPr>
          <w:p w:rsidR="00FC7BB2" w:rsidRDefault="008051B2">
            <w:pPr>
              <w:jc w:val="center"/>
            </w:pPr>
            <w:r>
              <w:rPr>
                <w:szCs w:val="21"/>
              </w:rPr>
              <w:t>10,251,673.60</w:t>
            </w:r>
          </w:p>
        </w:tc>
        <w:tc>
          <w:tcPr>
            <w:tcW w:w="0" w:type="auto"/>
            <w:vAlign w:val="center"/>
          </w:tcPr>
          <w:p w:rsidR="00FC7BB2" w:rsidRDefault="008051B2">
            <w:pPr>
              <w:jc w:val="center"/>
            </w:pPr>
            <w:r>
              <w:rPr>
                <w:szCs w:val="21"/>
              </w:rPr>
              <w:t>0.86%</w:t>
            </w:r>
          </w:p>
        </w:tc>
        <w:tc>
          <w:tcPr>
            <w:tcW w:w="0" w:type="auto"/>
            <w:vAlign w:val="center"/>
          </w:tcPr>
          <w:p w:rsidR="00FC7BB2" w:rsidRDefault="008051B2">
            <w:pPr>
              <w:jc w:val="center"/>
            </w:pPr>
            <w:r>
              <w:rPr>
                <w:szCs w:val="21"/>
              </w:rPr>
              <w:t>6</w:t>
            </w:r>
            <w:r>
              <w:rPr>
                <w:szCs w:val="21"/>
              </w:rPr>
              <w:t>个月</w:t>
            </w:r>
          </w:p>
        </w:tc>
      </w:tr>
      <w:tr w:rsidR="00FC7BB2">
        <w:trPr>
          <w:jc w:val="center"/>
        </w:trPr>
        <w:tc>
          <w:tcPr>
            <w:tcW w:w="0" w:type="auto"/>
            <w:vAlign w:val="center"/>
          </w:tcPr>
          <w:p w:rsidR="00FC7BB2" w:rsidRDefault="008051B2">
            <w:pPr>
              <w:jc w:val="center"/>
            </w:pPr>
            <w:r>
              <w:rPr>
                <w:szCs w:val="21"/>
              </w:rPr>
              <w:t>易方达稳健收益债券型证券投资基金</w:t>
            </w:r>
          </w:p>
        </w:tc>
        <w:tc>
          <w:tcPr>
            <w:tcW w:w="0" w:type="auto"/>
            <w:vAlign w:val="center"/>
          </w:tcPr>
          <w:p w:rsidR="00FC7BB2" w:rsidRDefault="008051B2">
            <w:pPr>
              <w:jc w:val="center"/>
            </w:pPr>
            <w:r>
              <w:rPr>
                <w:szCs w:val="21"/>
              </w:rPr>
              <w:t>1,144,164</w:t>
            </w:r>
          </w:p>
        </w:tc>
        <w:tc>
          <w:tcPr>
            <w:tcW w:w="0" w:type="auto"/>
            <w:vAlign w:val="center"/>
          </w:tcPr>
          <w:p w:rsidR="00FC7BB2" w:rsidRDefault="008051B2">
            <w:pPr>
              <w:jc w:val="center"/>
            </w:pPr>
            <w:r>
              <w:rPr>
                <w:szCs w:val="21"/>
              </w:rPr>
              <w:t>49,999,966.80</w:t>
            </w:r>
          </w:p>
        </w:tc>
        <w:tc>
          <w:tcPr>
            <w:tcW w:w="0" w:type="auto"/>
            <w:vAlign w:val="center"/>
          </w:tcPr>
          <w:p w:rsidR="00FC7BB2" w:rsidRDefault="008051B2">
            <w:pPr>
              <w:jc w:val="center"/>
            </w:pPr>
            <w:r>
              <w:rPr>
                <w:szCs w:val="21"/>
              </w:rPr>
              <w:t>0.13%</w:t>
            </w:r>
          </w:p>
        </w:tc>
        <w:tc>
          <w:tcPr>
            <w:tcW w:w="0" w:type="auto"/>
            <w:vAlign w:val="center"/>
          </w:tcPr>
          <w:p w:rsidR="00FC7BB2" w:rsidRDefault="008051B2">
            <w:pPr>
              <w:jc w:val="center"/>
            </w:pPr>
            <w:r>
              <w:rPr>
                <w:szCs w:val="21"/>
              </w:rPr>
              <w:t>51,258,547.20</w:t>
            </w:r>
          </w:p>
        </w:tc>
        <w:tc>
          <w:tcPr>
            <w:tcW w:w="0" w:type="auto"/>
            <w:vAlign w:val="center"/>
          </w:tcPr>
          <w:p w:rsidR="00FC7BB2" w:rsidRDefault="008051B2">
            <w:pPr>
              <w:jc w:val="center"/>
            </w:pPr>
            <w:r>
              <w:rPr>
                <w:szCs w:val="21"/>
              </w:rPr>
              <w:t>0.14%</w:t>
            </w:r>
          </w:p>
        </w:tc>
        <w:tc>
          <w:tcPr>
            <w:tcW w:w="0" w:type="auto"/>
            <w:vAlign w:val="center"/>
          </w:tcPr>
          <w:p w:rsidR="00FC7BB2" w:rsidRDefault="008051B2">
            <w:pPr>
              <w:jc w:val="center"/>
            </w:pPr>
            <w:r>
              <w:rPr>
                <w:szCs w:val="21"/>
              </w:rPr>
              <w:t>6</w:t>
            </w:r>
            <w:r>
              <w:rPr>
                <w:szCs w:val="21"/>
              </w:rPr>
              <w:t>个月</w:t>
            </w:r>
          </w:p>
        </w:tc>
      </w:tr>
      <w:tr w:rsidR="00FC7BB2">
        <w:trPr>
          <w:jc w:val="center"/>
        </w:trPr>
        <w:tc>
          <w:tcPr>
            <w:tcW w:w="0" w:type="auto"/>
            <w:vAlign w:val="center"/>
          </w:tcPr>
          <w:p w:rsidR="00FC7BB2" w:rsidRDefault="008051B2">
            <w:pPr>
              <w:jc w:val="center"/>
            </w:pPr>
            <w:r>
              <w:rPr>
                <w:szCs w:val="21"/>
              </w:rPr>
              <w:t>易方达增强回报债券型证券投资基金</w:t>
            </w:r>
          </w:p>
        </w:tc>
        <w:tc>
          <w:tcPr>
            <w:tcW w:w="0" w:type="auto"/>
            <w:vAlign w:val="center"/>
          </w:tcPr>
          <w:p w:rsidR="00FC7BB2" w:rsidRDefault="008051B2">
            <w:pPr>
              <w:jc w:val="center"/>
            </w:pPr>
            <w:r>
              <w:rPr>
                <w:szCs w:val="21"/>
              </w:rPr>
              <w:t>29,730,080</w:t>
            </w:r>
          </w:p>
        </w:tc>
        <w:tc>
          <w:tcPr>
            <w:tcW w:w="0" w:type="auto"/>
            <w:vAlign w:val="center"/>
          </w:tcPr>
          <w:p w:rsidR="00FC7BB2" w:rsidRDefault="008051B2">
            <w:pPr>
              <w:jc w:val="center"/>
            </w:pPr>
            <w:r>
              <w:rPr>
                <w:szCs w:val="21"/>
              </w:rPr>
              <w:t>1,299,204,496.00</w:t>
            </w:r>
          </w:p>
        </w:tc>
        <w:tc>
          <w:tcPr>
            <w:tcW w:w="0" w:type="auto"/>
            <w:vAlign w:val="center"/>
          </w:tcPr>
          <w:p w:rsidR="00FC7BB2" w:rsidRDefault="008051B2">
            <w:pPr>
              <w:jc w:val="center"/>
            </w:pPr>
            <w:r>
              <w:rPr>
                <w:szCs w:val="21"/>
              </w:rPr>
              <w:t>2.65%</w:t>
            </w:r>
          </w:p>
        </w:tc>
        <w:tc>
          <w:tcPr>
            <w:tcW w:w="0" w:type="auto"/>
            <w:vAlign w:val="center"/>
          </w:tcPr>
          <w:p w:rsidR="00FC7BB2" w:rsidRDefault="008051B2">
            <w:pPr>
              <w:jc w:val="center"/>
            </w:pPr>
            <w:r>
              <w:rPr>
                <w:szCs w:val="21"/>
              </w:rPr>
              <w:t>1,331,907,584.00</w:t>
            </w:r>
          </w:p>
        </w:tc>
        <w:tc>
          <w:tcPr>
            <w:tcW w:w="0" w:type="auto"/>
            <w:vAlign w:val="center"/>
          </w:tcPr>
          <w:p w:rsidR="00FC7BB2" w:rsidRDefault="008051B2">
            <w:pPr>
              <w:jc w:val="center"/>
            </w:pPr>
            <w:r>
              <w:rPr>
                <w:szCs w:val="21"/>
              </w:rPr>
              <w:t>2.72%</w:t>
            </w:r>
          </w:p>
        </w:tc>
        <w:tc>
          <w:tcPr>
            <w:tcW w:w="0" w:type="auto"/>
            <w:vAlign w:val="center"/>
          </w:tcPr>
          <w:p w:rsidR="00FC7BB2" w:rsidRDefault="008051B2">
            <w:pPr>
              <w:jc w:val="center"/>
            </w:pPr>
            <w:r>
              <w:rPr>
                <w:szCs w:val="21"/>
              </w:rPr>
              <w:t>6</w:t>
            </w:r>
            <w:r>
              <w:rPr>
                <w:szCs w:val="21"/>
              </w:rPr>
              <w:t>个月</w:t>
            </w:r>
          </w:p>
        </w:tc>
      </w:tr>
      <w:tr w:rsidR="00FC7BB2">
        <w:trPr>
          <w:jc w:val="center"/>
        </w:trPr>
        <w:tc>
          <w:tcPr>
            <w:tcW w:w="0" w:type="auto"/>
            <w:vAlign w:val="center"/>
          </w:tcPr>
          <w:p w:rsidR="00FC7BB2" w:rsidRDefault="008051B2">
            <w:pPr>
              <w:jc w:val="center"/>
            </w:pPr>
            <w:r>
              <w:rPr>
                <w:szCs w:val="21"/>
              </w:rPr>
              <w:t>易方达资源行业混合型证券投资基金</w:t>
            </w:r>
          </w:p>
        </w:tc>
        <w:tc>
          <w:tcPr>
            <w:tcW w:w="0" w:type="auto"/>
            <w:vAlign w:val="center"/>
          </w:tcPr>
          <w:p w:rsidR="00FC7BB2" w:rsidRDefault="008051B2">
            <w:pPr>
              <w:jc w:val="center"/>
            </w:pPr>
            <w:r>
              <w:rPr>
                <w:szCs w:val="21"/>
              </w:rPr>
              <w:t>1,144,164</w:t>
            </w:r>
          </w:p>
        </w:tc>
        <w:tc>
          <w:tcPr>
            <w:tcW w:w="0" w:type="auto"/>
            <w:vAlign w:val="center"/>
          </w:tcPr>
          <w:p w:rsidR="00FC7BB2" w:rsidRDefault="008051B2">
            <w:pPr>
              <w:jc w:val="center"/>
            </w:pPr>
            <w:r>
              <w:rPr>
                <w:szCs w:val="21"/>
              </w:rPr>
              <w:t>49,999,966.80</w:t>
            </w:r>
          </w:p>
        </w:tc>
        <w:tc>
          <w:tcPr>
            <w:tcW w:w="0" w:type="auto"/>
            <w:vAlign w:val="center"/>
          </w:tcPr>
          <w:p w:rsidR="00FC7BB2" w:rsidRDefault="008051B2">
            <w:pPr>
              <w:jc w:val="center"/>
            </w:pPr>
            <w:r>
              <w:rPr>
                <w:szCs w:val="21"/>
              </w:rPr>
              <w:t>1.53%</w:t>
            </w:r>
          </w:p>
        </w:tc>
        <w:tc>
          <w:tcPr>
            <w:tcW w:w="0" w:type="auto"/>
            <w:vAlign w:val="center"/>
          </w:tcPr>
          <w:p w:rsidR="00FC7BB2" w:rsidRDefault="008051B2">
            <w:pPr>
              <w:jc w:val="center"/>
            </w:pPr>
            <w:r>
              <w:rPr>
                <w:szCs w:val="21"/>
              </w:rPr>
              <w:t>51,258,547.20</w:t>
            </w:r>
          </w:p>
        </w:tc>
        <w:tc>
          <w:tcPr>
            <w:tcW w:w="0" w:type="auto"/>
            <w:vAlign w:val="center"/>
          </w:tcPr>
          <w:p w:rsidR="00FC7BB2" w:rsidRDefault="008051B2">
            <w:pPr>
              <w:jc w:val="center"/>
            </w:pPr>
            <w:r>
              <w:rPr>
                <w:szCs w:val="21"/>
              </w:rPr>
              <w:t>1.57%</w:t>
            </w:r>
          </w:p>
        </w:tc>
        <w:tc>
          <w:tcPr>
            <w:tcW w:w="0" w:type="auto"/>
            <w:vAlign w:val="center"/>
          </w:tcPr>
          <w:p w:rsidR="00FC7BB2" w:rsidRDefault="008051B2">
            <w:pPr>
              <w:jc w:val="center"/>
            </w:pPr>
            <w:r>
              <w:rPr>
                <w:szCs w:val="21"/>
              </w:rPr>
              <w:t>6</w:t>
            </w:r>
            <w:r>
              <w:rPr>
                <w:szCs w:val="21"/>
              </w:rPr>
              <w:t>个月</w:t>
            </w:r>
          </w:p>
        </w:tc>
      </w:tr>
      <w:tr w:rsidR="00FC7BB2">
        <w:trPr>
          <w:jc w:val="center"/>
        </w:trPr>
        <w:tc>
          <w:tcPr>
            <w:tcW w:w="0" w:type="auto"/>
            <w:vAlign w:val="center"/>
          </w:tcPr>
          <w:p w:rsidR="00FC7BB2" w:rsidRDefault="008051B2">
            <w:pPr>
              <w:jc w:val="center"/>
            </w:pPr>
            <w:r>
              <w:rPr>
                <w:szCs w:val="21"/>
              </w:rPr>
              <w:t>易方达双债增强债券型证券投资基金</w:t>
            </w:r>
          </w:p>
        </w:tc>
        <w:tc>
          <w:tcPr>
            <w:tcW w:w="0" w:type="auto"/>
            <w:vAlign w:val="center"/>
          </w:tcPr>
          <w:p w:rsidR="00FC7BB2" w:rsidRDefault="008051B2">
            <w:pPr>
              <w:jc w:val="center"/>
            </w:pPr>
            <w:r>
              <w:rPr>
                <w:szCs w:val="21"/>
              </w:rPr>
              <w:t>3,432,529</w:t>
            </w:r>
          </w:p>
        </w:tc>
        <w:tc>
          <w:tcPr>
            <w:tcW w:w="0" w:type="auto"/>
            <w:vAlign w:val="center"/>
          </w:tcPr>
          <w:p w:rsidR="00FC7BB2" w:rsidRDefault="008051B2">
            <w:pPr>
              <w:jc w:val="center"/>
            </w:pPr>
            <w:r>
              <w:rPr>
                <w:szCs w:val="21"/>
              </w:rPr>
              <w:t>150,001,517.30</w:t>
            </w:r>
          </w:p>
        </w:tc>
        <w:tc>
          <w:tcPr>
            <w:tcW w:w="0" w:type="auto"/>
            <w:vAlign w:val="center"/>
          </w:tcPr>
          <w:p w:rsidR="00FC7BB2" w:rsidRDefault="008051B2">
            <w:pPr>
              <w:jc w:val="center"/>
            </w:pPr>
            <w:r>
              <w:rPr>
                <w:szCs w:val="21"/>
              </w:rPr>
              <w:t>2.04%</w:t>
            </w:r>
          </w:p>
        </w:tc>
        <w:tc>
          <w:tcPr>
            <w:tcW w:w="0" w:type="auto"/>
            <w:vAlign w:val="center"/>
          </w:tcPr>
          <w:p w:rsidR="00FC7BB2" w:rsidRDefault="008051B2">
            <w:pPr>
              <w:jc w:val="center"/>
            </w:pPr>
            <w:r>
              <w:rPr>
                <w:szCs w:val="21"/>
              </w:rPr>
              <w:t>153,777,299.20</w:t>
            </w:r>
          </w:p>
        </w:tc>
        <w:tc>
          <w:tcPr>
            <w:tcW w:w="0" w:type="auto"/>
            <w:vAlign w:val="center"/>
          </w:tcPr>
          <w:p w:rsidR="00FC7BB2" w:rsidRDefault="008051B2">
            <w:pPr>
              <w:jc w:val="center"/>
            </w:pPr>
            <w:r>
              <w:rPr>
                <w:szCs w:val="21"/>
              </w:rPr>
              <w:t>2.09%</w:t>
            </w:r>
          </w:p>
        </w:tc>
        <w:tc>
          <w:tcPr>
            <w:tcW w:w="0" w:type="auto"/>
            <w:vAlign w:val="center"/>
          </w:tcPr>
          <w:p w:rsidR="00FC7BB2" w:rsidRDefault="008051B2">
            <w:pPr>
              <w:jc w:val="center"/>
            </w:pPr>
            <w:r>
              <w:rPr>
                <w:szCs w:val="21"/>
              </w:rPr>
              <w:t>6</w:t>
            </w:r>
            <w:r>
              <w:rPr>
                <w:szCs w:val="21"/>
              </w:rPr>
              <w:t>个月</w:t>
            </w:r>
          </w:p>
        </w:tc>
      </w:tr>
      <w:tr w:rsidR="00FC7BB2">
        <w:trPr>
          <w:jc w:val="center"/>
        </w:trPr>
        <w:tc>
          <w:tcPr>
            <w:tcW w:w="0" w:type="auto"/>
            <w:vAlign w:val="center"/>
          </w:tcPr>
          <w:p w:rsidR="00FC7BB2" w:rsidRDefault="008051B2">
            <w:pPr>
              <w:jc w:val="center"/>
            </w:pPr>
            <w:r>
              <w:rPr>
                <w:szCs w:val="21"/>
              </w:rPr>
              <w:t>易方达中证</w:t>
            </w:r>
            <w:r>
              <w:rPr>
                <w:szCs w:val="21"/>
              </w:rPr>
              <w:t>A500</w:t>
            </w:r>
            <w:r>
              <w:rPr>
                <w:szCs w:val="21"/>
              </w:rPr>
              <w:t>交易型开放式指数证券投资基金</w:t>
            </w:r>
          </w:p>
        </w:tc>
        <w:tc>
          <w:tcPr>
            <w:tcW w:w="0" w:type="auto"/>
            <w:vAlign w:val="center"/>
          </w:tcPr>
          <w:p w:rsidR="00FC7BB2" w:rsidRDefault="008051B2">
            <w:pPr>
              <w:jc w:val="center"/>
            </w:pPr>
            <w:r>
              <w:rPr>
                <w:szCs w:val="21"/>
              </w:rPr>
              <w:t>957,009</w:t>
            </w:r>
          </w:p>
        </w:tc>
        <w:tc>
          <w:tcPr>
            <w:tcW w:w="0" w:type="auto"/>
            <w:vAlign w:val="center"/>
          </w:tcPr>
          <w:p w:rsidR="00FC7BB2" w:rsidRDefault="008051B2">
            <w:pPr>
              <w:jc w:val="center"/>
            </w:pPr>
            <w:r>
              <w:rPr>
                <w:szCs w:val="21"/>
              </w:rPr>
              <w:t>41,821,293.30</w:t>
            </w:r>
          </w:p>
        </w:tc>
        <w:tc>
          <w:tcPr>
            <w:tcW w:w="0" w:type="auto"/>
            <w:vAlign w:val="center"/>
          </w:tcPr>
          <w:p w:rsidR="00FC7BB2" w:rsidRDefault="008051B2">
            <w:pPr>
              <w:jc w:val="center"/>
            </w:pPr>
            <w:r>
              <w:rPr>
                <w:szCs w:val="21"/>
              </w:rPr>
              <w:t>0.17%</w:t>
            </w:r>
          </w:p>
        </w:tc>
        <w:tc>
          <w:tcPr>
            <w:tcW w:w="0" w:type="auto"/>
            <w:vAlign w:val="center"/>
          </w:tcPr>
          <w:p w:rsidR="00FC7BB2" w:rsidRDefault="008051B2">
            <w:pPr>
              <w:jc w:val="center"/>
            </w:pPr>
            <w:r>
              <w:rPr>
                <w:szCs w:val="21"/>
              </w:rPr>
              <w:t>42,874,003.20</w:t>
            </w:r>
          </w:p>
        </w:tc>
        <w:tc>
          <w:tcPr>
            <w:tcW w:w="0" w:type="auto"/>
            <w:vAlign w:val="center"/>
          </w:tcPr>
          <w:p w:rsidR="00FC7BB2" w:rsidRDefault="008051B2">
            <w:pPr>
              <w:jc w:val="center"/>
            </w:pPr>
            <w:r>
              <w:rPr>
                <w:szCs w:val="21"/>
              </w:rPr>
              <w:t>0.17%</w:t>
            </w:r>
          </w:p>
        </w:tc>
        <w:tc>
          <w:tcPr>
            <w:tcW w:w="0" w:type="auto"/>
            <w:vAlign w:val="center"/>
          </w:tcPr>
          <w:p w:rsidR="00FC7BB2" w:rsidRDefault="008051B2">
            <w:pPr>
              <w:jc w:val="center"/>
            </w:pPr>
            <w:r>
              <w:rPr>
                <w:szCs w:val="21"/>
              </w:rPr>
              <w:t>6</w:t>
            </w:r>
            <w:r>
              <w:rPr>
                <w:szCs w:val="21"/>
              </w:rPr>
              <w:t>个月</w:t>
            </w:r>
          </w:p>
        </w:tc>
      </w:tr>
      <w:tr w:rsidR="00FC7BB2">
        <w:trPr>
          <w:jc w:val="center"/>
        </w:trPr>
        <w:tc>
          <w:tcPr>
            <w:tcW w:w="0" w:type="auto"/>
            <w:vAlign w:val="center"/>
          </w:tcPr>
          <w:p w:rsidR="00FC7BB2" w:rsidRDefault="008051B2">
            <w:pPr>
              <w:jc w:val="center"/>
            </w:pPr>
            <w:r>
              <w:rPr>
                <w:szCs w:val="21"/>
              </w:rPr>
              <w:lastRenderedPageBreak/>
              <w:t>易方达中证</w:t>
            </w:r>
            <w:r>
              <w:rPr>
                <w:szCs w:val="21"/>
              </w:rPr>
              <w:t>A100</w:t>
            </w:r>
            <w:r>
              <w:rPr>
                <w:szCs w:val="21"/>
              </w:rPr>
              <w:t>交易型开放式指数证券投资基金</w:t>
            </w:r>
          </w:p>
        </w:tc>
        <w:tc>
          <w:tcPr>
            <w:tcW w:w="0" w:type="auto"/>
            <w:vAlign w:val="center"/>
          </w:tcPr>
          <w:p w:rsidR="00FC7BB2" w:rsidRDefault="008051B2">
            <w:pPr>
              <w:jc w:val="center"/>
            </w:pPr>
            <w:r>
              <w:rPr>
                <w:szCs w:val="21"/>
              </w:rPr>
              <w:t>5,665</w:t>
            </w:r>
          </w:p>
        </w:tc>
        <w:tc>
          <w:tcPr>
            <w:tcW w:w="0" w:type="auto"/>
            <w:vAlign w:val="center"/>
          </w:tcPr>
          <w:p w:rsidR="00FC7BB2" w:rsidRDefault="008051B2">
            <w:pPr>
              <w:jc w:val="center"/>
            </w:pPr>
            <w:r>
              <w:rPr>
                <w:szCs w:val="21"/>
              </w:rPr>
              <w:t>247,560.50</w:t>
            </w:r>
          </w:p>
        </w:tc>
        <w:tc>
          <w:tcPr>
            <w:tcW w:w="0" w:type="auto"/>
            <w:vAlign w:val="center"/>
          </w:tcPr>
          <w:p w:rsidR="00FC7BB2" w:rsidRDefault="008051B2">
            <w:pPr>
              <w:jc w:val="center"/>
            </w:pPr>
            <w:r>
              <w:rPr>
                <w:szCs w:val="21"/>
              </w:rPr>
              <w:t>0.31%</w:t>
            </w:r>
          </w:p>
        </w:tc>
        <w:tc>
          <w:tcPr>
            <w:tcW w:w="0" w:type="auto"/>
            <w:vAlign w:val="center"/>
          </w:tcPr>
          <w:p w:rsidR="00FC7BB2" w:rsidRDefault="008051B2">
            <w:pPr>
              <w:jc w:val="center"/>
            </w:pPr>
            <w:r>
              <w:rPr>
                <w:szCs w:val="21"/>
              </w:rPr>
              <w:t>253,792.00</w:t>
            </w:r>
          </w:p>
        </w:tc>
        <w:tc>
          <w:tcPr>
            <w:tcW w:w="0" w:type="auto"/>
            <w:vAlign w:val="center"/>
          </w:tcPr>
          <w:p w:rsidR="00FC7BB2" w:rsidRDefault="008051B2">
            <w:pPr>
              <w:jc w:val="center"/>
            </w:pPr>
            <w:r>
              <w:rPr>
                <w:szCs w:val="21"/>
              </w:rPr>
              <w:t>0.32%</w:t>
            </w:r>
          </w:p>
        </w:tc>
        <w:tc>
          <w:tcPr>
            <w:tcW w:w="0" w:type="auto"/>
            <w:vAlign w:val="center"/>
          </w:tcPr>
          <w:p w:rsidR="00FC7BB2" w:rsidRDefault="008051B2">
            <w:pPr>
              <w:jc w:val="center"/>
            </w:pPr>
            <w:r>
              <w:rPr>
                <w:szCs w:val="21"/>
              </w:rPr>
              <w:t>6</w:t>
            </w:r>
            <w:r>
              <w:rPr>
                <w:szCs w:val="21"/>
              </w:rPr>
              <w:t>个月</w:t>
            </w:r>
          </w:p>
        </w:tc>
      </w:tr>
      <w:tr w:rsidR="00FC7BB2">
        <w:trPr>
          <w:jc w:val="center"/>
        </w:trPr>
        <w:tc>
          <w:tcPr>
            <w:tcW w:w="0" w:type="auto"/>
            <w:vAlign w:val="center"/>
          </w:tcPr>
          <w:p w:rsidR="00FC7BB2" w:rsidRDefault="008051B2">
            <w:pPr>
              <w:jc w:val="center"/>
            </w:pPr>
            <w:r>
              <w:rPr>
                <w:szCs w:val="21"/>
              </w:rPr>
              <w:t>易方达上证</w:t>
            </w:r>
            <w:r>
              <w:rPr>
                <w:szCs w:val="21"/>
              </w:rPr>
              <w:t>50</w:t>
            </w:r>
            <w:r>
              <w:rPr>
                <w:szCs w:val="21"/>
              </w:rPr>
              <w:t>指数证券投资基金（</w:t>
            </w:r>
            <w:r>
              <w:rPr>
                <w:szCs w:val="21"/>
              </w:rPr>
              <w:t>LOF</w:t>
            </w:r>
            <w:r>
              <w:rPr>
                <w:szCs w:val="21"/>
              </w:rPr>
              <w:t>）</w:t>
            </w:r>
          </w:p>
        </w:tc>
        <w:tc>
          <w:tcPr>
            <w:tcW w:w="0" w:type="auto"/>
            <w:vAlign w:val="center"/>
          </w:tcPr>
          <w:p w:rsidR="00FC7BB2" w:rsidRDefault="008051B2">
            <w:pPr>
              <w:jc w:val="center"/>
            </w:pPr>
            <w:r>
              <w:rPr>
                <w:szCs w:val="21"/>
              </w:rPr>
              <w:t>32,068</w:t>
            </w:r>
          </w:p>
        </w:tc>
        <w:tc>
          <w:tcPr>
            <w:tcW w:w="0" w:type="auto"/>
            <w:vAlign w:val="center"/>
          </w:tcPr>
          <w:p w:rsidR="00FC7BB2" w:rsidRDefault="008051B2">
            <w:pPr>
              <w:jc w:val="center"/>
            </w:pPr>
            <w:r>
              <w:rPr>
                <w:szCs w:val="21"/>
              </w:rPr>
              <w:t>1,401,371.60</w:t>
            </w:r>
          </w:p>
        </w:tc>
        <w:tc>
          <w:tcPr>
            <w:tcW w:w="0" w:type="auto"/>
            <w:vAlign w:val="center"/>
          </w:tcPr>
          <w:p w:rsidR="00FC7BB2" w:rsidRDefault="008051B2">
            <w:pPr>
              <w:jc w:val="center"/>
            </w:pPr>
            <w:r>
              <w:rPr>
                <w:szCs w:val="21"/>
              </w:rPr>
              <w:t>0.57%</w:t>
            </w:r>
          </w:p>
        </w:tc>
        <w:tc>
          <w:tcPr>
            <w:tcW w:w="0" w:type="auto"/>
            <w:vAlign w:val="center"/>
          </w:tcPr>
          <w:p w:rsidR="00FC7BB2" w:rsidRDefault="008051B2">
            <w:pPr>
              <w:jc w:val="center"/>
            </w:pPr>
            <w:r>
              <w:rPr>
                <w:szCs w:val="21"/>
              </w:rPr>
              <w:t>1,436,646.40</w:t>
            </w:r>
          </w:p>
        </w:tc>
        <w:tc>
          <w:tcPr>
            <w:tcW w:w="0" w:type="auto"/>
            <w:vAlign w:val="center"/>
          </w:tcPr>
          <w:p w:rsidR="00FC7BB2" w:rsidRDefault="008051B2">
            <w:pPr>
              <w:jc w:val="center"/>
            </w:pPr>
            <w:r>
              <w:rPr>
                <w:szCs w:val="21"/>
              </w:rPr>
              <w:t>0.58%</w:t>
            </w:r>
          </w:p>
        </w:tc>
        <w:tc>
          <w:tcPr>
            <w:tcW w:w="0" w:type="auto"/>
            <w:vAlign w:val="center"/>
          </w:tcPr>
          <w:p w:rsidR="00FC7BB2" w:rsidRDefault="008051B2">
            <w:pPr>
              <w:jc w:val="center"/>
            </w:pPr>
            <w:r>
              <w:rPr>
                <w:szCs w:val="21"/>
              </w:rPr>
              <w:t>6</w:t>
            </w:r>
            <w:r>
              <w:rPr>
                <w:szCs w:val="21"/>
              </w:rPr>
              <w:t>个月</w:t>
            </w:r>
          </w:p>
        </w:tc>
      </w:tr>
      <w:tr w:rsidR="00FC7BB2">
        <w:trPr>
          <w:jc w:val="center"/>
        </w:trPr>
        <w:tc>
          <w:tcPr>
            <w:tcW w:w="0" w:type="auto"/>
            <w:vAlign w:val="center"/>
          </w:tcPr>
          <w:p w:rsidR="00FC7BB2" w:rsidRDefault="008051B2">
            <w:pPr>
              <w:jc w:val="center"/>
            </w:pPr>
            <w:r>
              <w:rPr>
                <w:szCs w:val="21"/>
              </w:rPr>
              <w:t>易方达上证</w:t>
            </w:r>
            <w:r>
              <w:rPr>
                <w:szCs w:val="21"/>
              </w:rPr>
              <w:t>50</w:t>
            </w:r>
            <w:r>
              <w:rPr>
                <w:szCs w:val="21"/>
              </w:rPr>
              <w:t>交易型开放式指数证券投资基金</w:t>
            </w:r>
          </w:p>
        </w:tc>
        <w:tc>
          <w:tcPr>
            <w:tcW w:w="0" w:type="auto"/>
            <w:vAlign w:val="center"/>
          </w:tcPr>
          <w:p w:rsidR="00FC7BB2" w:rsidRDefault="008051B2">
            <w:pPr>
              <w:jc w:val="center"/>
            </w:pPr>
            <w:r>
              <w:rPr>
                <w:szCs w:val="21"/>
              </w:rPr>
              <w:t>374,123</w:t>
            </w:r>
          </w:p>
        </w:tc>
        <w:tc>
          <w:tcPr>
            <w:tcW w:w="0" w:type="auto"/>
            <w:vAlign w:val="center"/>
          </w:tcPr>
          <w:p w:rsidR="00FC7BB2" w:rsidRDefault="008051B2">
            <w:pPr>
              <w:jc w:val="center"/>
            </w:pPr>
            <w:r>
              <w:rPr>
                <w:szCs w:val="21"/>
              </w:rPr>
              <w:t>16,349,175.10</w:t>
            </w:r>
          </w:p>
        </w:tc>
        <w:tc>
          <w:tcPr>
            <w:tcW w:w="0" w:type="auto"/>
            <w:vAlign w:val="center"/>
          </w:tcPr>
          <w:p w:rsidR="00FC7BB2" w:rsidRDefault="008051B2">
            <w:pPr>
              <w:jc w:val="center"/>
            </w:pPr>
            <w:r>
              <w:rPr>
                <w:szCs w:val="21"/>
              </w:rPr>
              <w:t>0.52%</w:t>
            </w:r>
          </w:p>
        </w:tc>
        <w:tc>
          <w:tcPr>
            <w:tcW w:w="0" w:type="auto"/>
            <w:vAlign w:val="center"/>
          </w:tcPr>
          <w:p w:rsidR="00FC7BB2" w:rsidRDefault="008051B2">
            <w:pPr>
              <w:jc w:val="center"/>
            </w:pPr>
            <w:r>
              <w:rPr>
                <w:szCs w:val="21"/>
              </w:rPr>
              <w:t>16,760,710.40</w:t>
            </w:r>
          </w:p>
        </w:tc>
        <w:tc>
          <w:tcPr>
            <w:tcW w:w="0" w:type="auto"/>
            <w:vAlign w:val="center"/>
          </w:tcPr>
          <w:p w:rsidR="00FC7BB2" w:rsidRDefault="008051B2">
            <w:pPr>
              <w:jc w:val="center"/>
            </w:pPr>
            <w:r>
              <w:rPr>
                <w:szCs w:val="21"/>
              </w:rPr>
              <w:t>0.54%</w:t>
            </w:r>
          </w:p>
        </w:tc>
        <w:tc>
          <w:tcPr>
            <w:tcW w:w="0" w:type="auto"/>
            <w:vAlign w:val="center"/>
          </w:tcPr>
          <w:p w:rsidR="00FC7BB2" w:rsidRDefault="008051B2">
            <w:pPr>
              <w:jc w:val="center"/>
            </w:pPr>
            <w:r>
              <w:rPr>
                <w:szCs w:val="21"/>
              </w:rPr>
              <w:t>6</w:t>
            </w:r>
            <w:r>
              <w:rPr>
                <w:szCs w:val="21"/>
              </w:rPr>
              <w:t>个月</w:t>
            </w:r>
          </w:p>
        </w:tc>
      </w:tr>
      <w:tr w:rsidR="00FC7BB2">
        <w:trPr>
          <w:jc w:val="center"/>
        </w:trPr>
        <w:tc>
          <w:tcPr>
            <w:tcW w:w="0" w:type="auto"/>
            <w:vAlign w:val="center"/>
          </w:tcPr>
          <w:p w:rsidR="00FC7BB2" w:rsidRDefault="008051B2">
            <w:pPr>
              <w:jc w:val="center"/>
            </w:pPr>
            <w:r>
              <w:rPr>
                <w:szCs w:val="21"/>
              </w:rPr>
              <w:t>易方达沪深</w:t>
            </w:r>
            <w:r>
              <w:rPr>
                <w:szCs w:val="21"/>
              </w:rPr>
              <w:t>300</w:t>
            </w:r>
            <w:r>
              <w:rPr>
                <w:szCs w:val="21"/>
              </w:rPr>
              <w:t>交易型开放式指数发起式证券投资基金</w:t>
            </w:r>
          </w:p>
        </w:tc>
        <w:tc>
          <w:tcPr>
            <w:tcW w:w="0" w:type="auto"/>
            <w:vAlign w:val="center"/>
          </w:tcPr>
          <w:p w:rsidR="00FC7BB2" w:rsidRDefault="008051B2">
            <w:pPr>
              <w:jc w:val="center"/>
            </w:pPr>
            <w:r>
              <w:rPr>
                <w:szCs w:val="21"/>
              </w:rPr>
              <w:t>6,413,553</w:t>
            </w:r>
          </w:p>
        </w:tc>
        <w:tc>
          <w:tcPr>
            <w:tcW w:w="0" w:type="auto"/>
            <w:vAlign w:val="center"/>
          </w:tcPr>
          <w:p w:rsidR="00FC7BB2" w:rsidRDefault="008051B2">
            <w:pPr>
              <w:jc w:val="center"/>
            </w:pPr>
            <w:r>
              <w:rPr>
                <w:szCs w:val="21"/>
              </w:rPr>
              <w:t>280,272,266.</w:t>
            </w:r>
            <w:bookmarkStart w:id="0" w:name="_GoBack"/>
            <w:bookmarkEnd w:id="0"/>
            <w:r>
              <w:rPr>
                <w:szCs w:val="21"/>
              </w:rPr>
              <w:t>10</w:t>
            </w:r>
          </w:p>
        </w:tc>
        <w:tc>
          <w:tcPr>
            <w:tcW w:w="0" w:type="auto"/>
            <w:vAlign w:val="center"/>
          </w:tcPr>
          <w:p w:rsidR="00FC7BB2" w:rsidRDefault="008051B2">
            <w:pPr>
              <w:jc w:val="center"/>
            </w:pPr>
            <w:r>
              <w:rPr>
                <w:szCs w:val="21"/>
              </w:rPr>
              <w:t>0.20%</w:t>
            </w:r>
          </w:p>
        </w:tc>
        <w:tc>
          <w:tcPr>
            <w:tcW w:w="0" w:type="auto"/>
            <w:vAlign w:val="center"/>
          </w:tcPr>
          <w:p w:rsidR="00FC7BB2" w:rsidRDefault="008051B2">
            <w:pPr>
              <w:jc w:val="center"/>
            </w:pPr>
            <w:r>
              <w:rPr>
                <w:szCs w:val="21"/>
              </w:rPr>
              <w:t>287,327,174.40</w:t>
            </w:r>
          </w:p>
        </w:tc>
        <w:tc>
          <w:tcPr>
            <w:tcW w:w="0" w:type="auto"/>
            <w:vAlign w:val="center"/>
          </w:tcPr>
          <w:p w:rsidR="00FC7BB2" w:rsidRDefault="008051B2">
            <w:pPr>
              <w:jc w:val="center"/>
            </w:pPr>
            <w:r>
              <w:rPr>
                <w:szCs w:val="21"/>
              </w:rPr>
              <w:t>0.21%</w:t>
            </w:r>
          </w:p>
        </w:tc>
        <w:tc>
          <w:tcPr>
            <w:tcW w:w="0" w:type="auto"/>
            <w:vAlign w:val="center"/>
          </w:tcPr>
          <w:p w:rsidR="00FC7BB2" w:rsidRDefault="008051B2">
            <w:pPr>
              <w:jc w:val="center"/>
            </w:pPr>
            <w:r>
              <w:rPr>
                <w:szCs w:val="21"/>
              </w:rPr>
              <w:t>6</w:t>
            </w:r>
            <w:r>
              <w:rPr>
                <w:szCs w:val="21"/>
              </w:rPr>
              <w:t>个月</w:t>
            </w:r>
          </w:p>
        </w:tc>
      </w:tr>
      <w:tr w:rsidR="00FC7BB2">
        <w:trPr>
          <w:jc w:val="center"/>
        </w:trPr>
        <w:tc>
          <w:tcPr>
            <w:tcW w:w="0" w:type="auto"/>
            <w:vAlign w:val="center"/>
          </w:tcPr>
          <w:p w:rsidR="00FC7BB2" w:rsidRDefault="008051B2">
            <w:pPr>
              <w:jc w:val="center"/>
            </w:pPr>
            <w:r>
              <w:rPr>
                <w:szCs w:val="21"/>
              </w:rPr>
              <w:t>易方达</w:t>
            </w:r>
            <w:r>
              <w:rPr>
                <w:szCs w:val="21"/>
              </w:rPr>
              <w:t>MSCI</w:t>
            </w:r>
            <w:r>
              <w:rPr>
                <w:szCs w:val="21"/>
              </w:rPr>
              <w:t>中国</w:t>
            </w:r>
            <w:r>
              <w:rPr>
                <w:szCs w:val="21"/>
              </w:rPr>
              <w:t>A</w:t>
            </w:r>
            <w:r>
              <w:rPr>
                <w:szCs w:val="21"/>
              </w:rPr>
              <w:t>股国际通交易型开放式指数证券投资基金</w:t>
            </w:r>
          </w:p>
        </w:tc>
        <w:tc>
          <w:tcPr>
            <w:tcW w:w="0" w:type="auto"/>
            <w:vAlign w:val="center"/>
          </w:tcPr>
          <w:p w:rsidR="00FC7BB2" w:rsidRDefault="008051B2">
            <w:pPr>
              <w:jc w:val="center"/>
            </w:pPr>
            <w:r>
              <w:rPr>
                <w:szCs w:val="21"/>
              </w:rPr>
              <w:t>21,377</w:t>
            </w:r>
          </w:p>
        </w:tc>
        <w:tc>
          <w:tcPr>
            <w:tcW w:w="0" w:type="auto"/>
            <w:vAlign w:val="center"/>
          </w:tcPr>
          <w:p w:rsidR="00FC7BB2" w:rsidRDefault="008051B2">
            <w:pPr>
              <w:jc w:val="center"/>
            </w:pPr>
            <w:r>
              <w:rPr>
                <w:szCs w:val="21"/>
              </w:rPr>
              <w:t>934,174.90</w:t>
            </w:r>
          </w:p>
        </w:tc>
        <w:tc>
          <w:tcPr>
            <w:tcW w:w="0" w:type="auto"/>
            <w:vAlign w:val="center"/>
          </w:tcPr>
          <w:p w:rsidR="00FC7BB2" w:rsidRDefault="008051B2">
            <w:pPr>
              <w:jc w:val="center"/>
            </w:pPr>
            <w:r>
              <w:rPr>
                <w:szCs w:val="21"/>
              </w:rPr>
              <w:t>0.16%</w:t>
            </w:r>
          </w:p>
        </w:tc>
        <w:tc>
          <w:tcPr>
            <w:tcW w:w="0" w:type="auto"/>
            <w:vAlign w:val="center"/>
          </w:tcPr>
          <w:p w:rsidR="00FC7BB2" w:rsidRDefault="008051B2">
            <w:pPr>
              <w:jc w:val="center"/>
            </w:pPr>
            <w:r>
              <w:rPr>
                <w:szCs w:val="21"/>
              </w:rPr>
              <w:t>957,689.60</w:t>
            </w:r>
          </w:p>
        </w:tc>
        <w:tc>
          <w:tcPr>
            <w:tcW w:w="0" w:type="auto"/>
            <w:vAlign w:val="center"/>
          </w:tcPr>
          <w:p w:rsidR="00FC7BB2" w:rsidRDefault="008051B2">
            <w:pPr>
              <w:jc w:val="center"/>
            </w:pPr>
            <w:r>
              <w:rPr>
                <w:szCs w:val="21"/>
              </w:rPr>
              <w:t>0.16%</w:t>
            </w:r>
          </w:p>
        </w:tc>
        <w:tc>
          <w:tcPr>
            <w:tcW w:w="0" w:type="auto"/>
            <w:vAlign w:val="center"/>
          </w:tcPr>
          <w:p w:rsidR="00FC7BB2" w:rsidRDefault="008051B2">
            <w:pPr>
              <w:jc w:val="center"/>
            </w:pPr>
            <w:r>
              <w:rPr>
                <w:szCs w:val="21"/>
              </w:rPr>
              <w:t>6</w:t>
            </w:r>
            <w:r>
              <w:rPr>
                <w:szCs w:val="21"/>
              </w:rPr>
              <w:t>个月</w:t>
            </w:r>
          </w:p>
        </w:tc>
      </w:tr>
      <w:tr w:rsidR="00FC7BB2">
        <w:trPr>
          <w:jc w:val="center"/>
        </w:trPr>
        <w:tc>
          <w:tcPr>
            <w:tcW w:w="0" w:type="auto"/>
            <w:vAlign w:val="center"/>
          </w:tcPr>
          <w:p w:rsidR="00FC7BB2" w:rsidRDefault="008051B2">
            <w:pPr>
              <w:jc w:val="center"/>
            </w:pPr>
            <w:r>
              <w:rPr>
                <w:szCs w:val="21"/>
              </w:rPr>
              <w:t>易方达中证红利交易型开放式指数证券投资基金</w:t>
            </w:r>
          </w:p>
        </w:tc>
        <w:tc>
          <w:tcPr>
            <w:tcW w:w="0" w:type="auto"/>
            <w:vAlign w:val="center"/>
          </w:tcPr>
          <w:p w:rsidR="00FC7BB2" w:rsidRDefault="008051B2">
            <w:pPr>
              <w:jc w:val="center"/>
            </w:pPr>
            <w:r>
              <w:rPr>
                <w:szCs w:val="21"/>
              </w:rPr>
              <w:t>1,068,924</w:t>
            </w:r>
          </w:p>
        </w:tc>
        <w:tc>
          <w:tcPr>
            <w:tcW w:w="0" w:type="auto"/>
            <w:vAlign w:val="center"/>
          </w:tcPr>
          <w:p w:rsidR="00FC7BB2" w:rsidRDefault="008051B2">
            <w:pPr>
              <w:jc w:val="center"/>
            </w:pPr>
            <w:r>
              <w:rPr>
                <w:szCs w:val="21"/>
              </w:rPr>
              <w:t>46,711,978.80</w:t>
            </w:r>
          </w:p>
        </w:tc>
        <w:tc>
          <w:tcPr>
            <w:tcW w:w="0" w:type="auto"/>
            <w:vAlign w:val="center"/>
          </w:tcPr>
          <w:p w:rsidR="00FC7BB2" w:rsidRDefault="008051B2">
            <w:pPr>
              <w:jc w:val="center"/>
            </w:pPr>
            <w:r>
              <w:rPr>
                <w:szCs w:val="21"/>
              </w:rPr>
              <w:t>0.37%</w:t>
            </w:r>
          </w:p>
        </w:tc>
        <w:tc>
          <w:tcPr>
            <w:tcW w:w="0" w:type="auto"/>
            <w:vAlign w:val="center"/>
          </w:tcPr>
          <w:p w:rsidR="00FC7BB2" w:rsidRDefault="008051B2">
            <w:pPr>
              <w:jc w:val="center"/>
            </w:pPr>
            <w:r>
              <w:rPr>
                <w:szCs w:val="21"/>
              </w:rPr>
              <w:t>47,887,795.20</w:t>
            </w:r>
          </w:p>
        </w:tc>
        <w:tc>
          <w:tcPr>
            <w:tcW w:w="0" w:type="auto"/>
            <w:vAlign w:val="center"/>
          </w:tcPr>
          <w:p w:rsidR="00FC7BB2" w:rsidRDefault="008051B2">
            <w:pPr>
              <w:jc w:val="center"/>
            </w:pPr>
            <w:r>
              <w:rPr>
                <w:szCs w:val="21"/>
              </w:rPr>
              <w:t>0.38%</w:t>
            </w:r>
          </w:p>
        </w:tc>
        <w:tc>
          <w:tcPr>
            <w:tcW w:w="0" w:type="auto"/>
            <w:vAlign w:val="center"/>
          </w:tcPr>
          <w:p w:rsidR="00FC7BB2" w:rsidRDefault="008051B2">
            <w:pPr>
              <w:jc w:val="center"/>
            </w:pPr>
            <w:r>
              <w:rPr>
                <w:szCs w:val="21"/>
              </w:rPr>
              <w:t>6</w:t>
            </w:r>
            <w:r>
              <w:rPr>
                <w:szCs w:val="21"/>
              </w:rPr>
              <w:t>个月</w:t>
            </w:r>
          </w:p>
        </w:tc>
      </w:tr>
      <w:tr w:rsidR="00FC7BB2">
        <w:trPr>
          <w:jc w:val="center"/>
        </w:trPr>
        <w:tc>
          <w:tcPr>
            <w:tcW w:w="0" w:type="auto"/>
            <w:vAlign w:val="center"/>
          </w:tcPr>
          <w:p w:rsidR="00FC7BB2" w:rsidRDefault="008051B2">
            <w:pPr>
              <w:jc w:val="center"/>
            </w:pPr>
            <w:r>
              <w:rPr>
                <w:szCs w:val="21"/>
              </w:rPr>
              <w:t>易方达</w:t>
            </w:r>
            <w:r>
              <w:rPr>
                <w:szCs w:val="21"/>
              </w:rPr>
              <w:t>MSCI</w:t>
            </w:r>
            <w:r>
              <w:rPr>
                <w:szCs w:val="21"/>
              </w:rPr>
              <w:t>中国</w:t>
            </w:r>
            <w:r>
              <w:rPr>
                <w:szCs w:val="21"/>
              </w:rPr>
              <w:t>A50</w:t>
            </w:r>
            <w:r>
              <w:rPr>
                <w:szCs w:val="21"/>
              </w:rPr>
              <w:t>互联互通交易型开放式指数证券投资基金</w:t>
            </w:r>
          </w:p>
        </w:tc>
        <w:tc>
          <w:tcPr>
            <w:tcW w:w="0" w:type="auto"/>
            <w:vAlign w:val="center"/>
          </w:tcPr>
          <w:p w:rsidR="00FC7BB2" w:rsidRDefault="008051B2">
            <w:pPr>
              <w:jc w:val="center"/>
            </w:pPr>
            <w:r>
              <w:rPr>
                <w:szCs w:val="21"/>
              </w:rPr>
              <w:t>128,270</w:t>
            </w:r>
          </w:p>
        </w:tc>
        <w:tc>
          <w:tcPr>
            <w:tcW w:w="0" w:type="auto"/>
            <w:vAlign w:val="center"/>
          </w:tcPr>
          <w:p w:rsidR="00FC7BB2" w:rsidRDefault="008051B2">
            <w:pPr>
              <w:jc w:val="center"/>
            </w:pPr>
            <w:r>
              <w:rPr>
                <w:szCs w:val="21"/>
              </w:rPr>
              <w:t>5,605,399.00</w:t>
            </w:r>
          </w:p>
        </w:tc>
        <w:tc>
          <w:tcPr>
            <w:tcW w:w="0" w:type="auto"/>
            <w:vAlign w:val="center"/>
          </w:tcPr>
          <w:p w:rsidR="00FC7BB2" w:rsidRDefault="008051B2">
            <w:pPr>
              <w:jc w:val="center"/>
            </w:pPr>
            <w:r>
              <w:rPr>
                <w:szCs w:val="21"/>
              </w:rPr>
              <w:t>0.27%</w:t>
            </w:r>
          </w:p>
        </w:tc>
        <w:tc>
          <w:tcPr>
            <w:tcW w:w="0" w:type="auto"/>
            <w:vAlign w:val="center"/>
          </w:tcPr>
          <w:p w:rsidR="00FC7BB2" w:rsidRDefault="008051B2">
            <w:pPr>
              <w:jc w:val="center"/>
            </w:pPr>
            <w:r>
              <w:rPr>
                <w:szCs w:val="21"/>
              </w:rPr>
              <w:t>5,746,496.00</w:t>
            </w:r>
          </w:p>
        </w:tc>
        <w:tc>
          <w:tcPr>
            <w:tcW w:w="0" w:type="auto"/>
            <w:vAlign w:val="center"/>
          </w:tcPr>
          <w:p w:rsidR="00FC7BB2" w:rsidRDefault="008051B2">
            <w:pPr>
              <w:jc w:val="center"/>
            </w:pPr>
            <w:r>
              <w:rPr>
                <w:szCs w:val="21"/>
              </w:rPr>
              <w:t>0.27%</w:t>
            </w:r>
          </w:p>
        </w:tc>
        <w:tc>
          <w:tcPr>
            <w:tcW w:w="0" w:type="auto"/>
            <w:vAlign w:val="center"/>
          </w:tcPr>
          <w:p w:rsidR="00FC7BB2" w:rsidRDefault="008051B2">
            <w:pPr>
              <w:jc w:val="center"/>
            </w:pPr>
            <w:r>
              <w:rPr>
                <w:szCs w:val="21"/>
              </w:rPr>
              <w:t>6</w:t>
            </w:r>
            <w:r>
              <w:rPr>
                <w:szCs w:val="21"/>
              </w:rPr>
              <w:t>个月</w:t>
            </w:r>
          </w:p>
        </w:tc>
      </w:tr>
      <w:tr w:rsidR="00FC7BB2">
        <w:trPr>
          <w:jc w:val="center"/>
        </w:trPr>
        <w:tc>
          <w:tcPr>
            <w:tcW w:w="0" w:type="auto"/>
            <w:vAlign w:val="center"/>
          </w:tcPr>
          <w:p w:rsidR="00FC7BB2" w:rsidRDefault="008051B2">
            <w:pPr>
              <w:jc w:val="center"/>
            </w:pPr>
            <w:r>
              <w:rPr>
                <w:szCs w:val="21"/>
              </w:rPr>
              <w:t>易方达中证</w:t>
            </w:r>
            <w:r>
              <w:rPr>
                <w:szCs w:val="21"/>
              </w:rPr>
              <w:t>A50</w:t>
            </w:r>
            <w:r>
              <w:rPr>
                <w:szCs w:val="21"/>
              </w:rPr>
              <w:t>交易型开放式指数证券投资基金</w:t>
            </w:r>
          </w:p>
        </w:tc>
        <w:tc>
          <w:tcPr>
            <w:tcW w:w="0" w:type="auto"/>
            <w:vAlign w:val="center"/>
          </w:tcPr>
          <w:p w:rsidR="00FC7BB2" w:rsidRDefault="008051B2">
            <w:pPr>
              <w:jc w:val="center"/>
            </w:pPr>
            <w:r>
              <w:rPr>
                <w:szCs w:val="21"/>
              </w:rPr>
              <w:t>116,727</w:t>
            </w:r>
          </w:p>
        </w:tc>
        <w:tc>
          <w:tcPr>
            <w:tcW w:w="0" w:type="auto"/>
            <w:vAlign w:val="center"/>
          </w:tcPr>
          <w:p w:rsidR="00FC7BB2" w:rsidRDefault="008051B2">
            <w:pPr>
              <w:jc w:val="center"/>
            </w:pPr>
            <w:r>
              <w:rPr>
                <w:szCs w:val="21"/>
              </w:rPr>
              <w:t>5,100,969.90</w:t>
            </w:r>
          </w:p>
        </w:tc>
        <w:tc>
          <w:tcPr>
            <w:tcW w:w="0" w:type="auto"/>
            <w:vAlign w:val="center"/>
          </w:tcPr>
          <w:p w:rsidR="00FC7BB2" w:rsidRDefault="008051B2">
            <w:pPr>
              <w:jc w:val="center"/>
            </w:pPr>
            <w:r>
              <w:rPr>
                <w:szCs w:val="21"/>
              </w:rPr>
              <w:t>0.32%</w:t>
            </w:r>
          </w:p>
        </w:tc>
        <w:tc>
          <w:tcPr>
            <w:tcW w:w="0" w:type="auto"/>
            <w:vAlign w:val="center"/>
          </w:tcPr>
          <w:p w:rsidR="00FC7BB2" w:rsidRDefault="008051B2">
            <w:pPr>
              <w:jc w:val="center"/>
            </w:pPr>
            <w:r>
              <w:rPr>
                <w:szCs w:val="21"/>
              </w:rPr>
              <w:t>5,229,369.60</w:t>
            </w:r>
          </w:p>
        </w:tc>
        <w:tc>
          <w:tcPr>
            <w:tcW w:w="0" w:type="auto"/>
            <w:vAlign w:val="center"/>
          </w:tcPr>
          <w:p w:rsidR="00FC7BB2" w:rsidRDefault="008051B2">
            <w:pPr>
              <w:jc w:val="center"/>
            </w:pPr>
            <w:r>
              <w:rPr>
                <w:szCs w:val="21"/>
              </w:rPr>
              <w:t>0.33%</w:t>
            </w:r>
          </w:p>
        </w:tc>
        <w:tc>
          <w:tcPr>
            <w:tcW w:w="0" w:type="auto"/>
            <w:vAlign w:val="center"/>
          </w:tcPr>
          <w:p w:rsidR="00FC7BB2" w:rsidRDefault="008051B2">
            <w:pPr>
              <w:jc w:val="center"/>
            </w:pPr>
            <w:r>
              <w:rPr>
                <w:szCs w:val="21"/>
              </w:rPr>
              <w:t>6</w:t>
            </w:r>
            <w:r>
              <w:rPr>
                <w:szCs w:val="21"/>
              </w:rPr>
              <w:t>个月</w:t>
            </w:r>
          </w:p>
        </w:tc>
      </w:tr>
    </w:tbl>
    <w:p w:rsidR="00FC7BB2" w:rsidRDefault="00FC7BB2">
      <w:pPr>
        <w:spacing w:line="360" w:lineRule="auto"/>
        <w:rPr>
          <w:kern w:val="0"/>
          <w:sz w:val="24"/>
        </w:rPr>
      </w:pPr>
    </w:p>
    <w:p w:rsidR="00FC7BB2" w:rsidRDefault="008051B2">
      <w:pPr>
        <w:spacing w:line="360" w:lineRule="auto"/>
        <w:rPr>
          <w:kern w:val="0"/>
          <w:sz w:val="24"/>
        </w:rPr>
      </w:pPr>
      <w:r>
        <w:rPr>
          <w:kern w:val="0"/>
          <w:sz w:val="24"/>
        </w:rPr>
        <w:t>注：基金资产净值、账面价值为</w:t>
      </w:r>
      <w:r>
        <w:rPr>
          <w:kern w:val="0"/>
          <w:sz w:val="24"/>
        </w:rPr>
        <w:t>2026</w:t>
      </w:r>
      <w:r>
        <w:rPr>
          <w:kern w:val="0"/>
          <w:sz w:val="24"/>
        </w:rPr>
        <w:t>年</w:t>
      </w:r>
      <w:r>
        <w:rPr>
          <w:kern w:val="0"/>
          <w:sz w:val="24"/>
        </w:rPr>
        <w:t>3</w:t>
      </w:r>
      <w:r>
        <w:rPr>
          <w:kern w:val="0"/>
          <w:sz w:val="24"/>
        </w:rPr>
        <w:t>月</w:t>
      </w:r>
      <w:r>
        <w:rPr>
          <w:kern w:val="0"/>
          <w:sz w:val="24"/>
        </w:rPr>
        <w:t>31</w:t>
      </w:r>
      <w:r>
        <w:rPr>
          <w:kern w:val="0"/>
          <w:sz w:val="24"/>
        </w:rPr>
        <w:t>日数据。</w:t>
      </w:r>
    </w:p>
    <w:p w:rsidR="00FC7BB2" w:rsidRDefault="008051B2">
      <w:pPr>
        <w:spacing w:line="360" w:lineRule="auto"/>
        <w:ind w:firstLineChars="200" w:firstLine="480"/>
        <w:rPr>
          <w:kern w:val="0"/>
          <w:sz w:val="24"/>
        </w:rPr>
      </w:pPr>
      <w:r>
        <w:rPr>
          <w:kern w:val="0"/>
          <w:sz w:val="24"/>
        </w:rPr>
        <w:t>特此公告。</w:t>
      </w:r>
    </w:p>
    <w:p w:rsidR="00FC7BB2" w:rsidRDefault="008051B2">
      <w:pPr>
        <w:spacing w:line="360" w:lineRule="auto"/>
        <w:jc w:val="right"/>
        <w:rPr>
          <w:kern w:val="0"/>
          <w:sz w:val="24"/>
        </w:rPr>
      </w:pPr>
      <w:r>
        <w:rPr>
          <w:kern w:val="0"/>
          <w:sz w:val="24"/>
        </w:rPr>
        <w:t>易方达基金管理有限公司</w:t>
      </w:r>
    </w:p>
    <w:p w:rsidR="00FC7BB2" w:rsidRDefault="008051B2">
      <w:pPr>
        <w:spacing w:line="360" w:lineRule="auto"/>
        <w:jc w:val="right"/>
        <w:rPr>
          <w:kern w:val="0"/>
          <w:sz w:val="24"/>
        </w:rPr>
      </w:pPr>
      <w:r>
        <w:rPr>
          <w:kern w:val="0"/>
          <w:sz w:val="24"/>
        </w:rPr>
        <w:t>2026</w:t>
      </w:r>
      <w:r>
        <w:rPr>
          <w:kern w:val="0"/>
          <w:sz w:val="24"/>
        </w:rPr>
        <w:t>年</w:t>
      </w:r>
      <w:r>
        <w:rPr>
          <w:kern w:val="0"/>
          <w:sz w:val="24"/>
        </w:rPr>
        <w:t>4</w:t>
      </w:r>
      <w:r>
        <w:rPr>
          <w:kern w:val="0"/>
          <w:sz w:val="24"/>
        </w:rPr>
        <w:t>月</w:t>
      </w:r>
      <w:r>
        <w:rPr>
          <w:kern w:val="0"/>
          <w:sz w:val="24"/>
        </w:rPr>
        <w:t>2</w:t>
      </w:r>
      <w:r>
        <w:rPr>
          <w:kern w:val="0"/>
          <w:sz w:val="24"/>
        </w:rPr>
        <w:t>日</w:t>
      </w:r>
    </w:p>
    <w:p w:rsidR="00FC7BB2" w:rsidRDefault="00FC7BB2">
      <w:pPr>
        <w:spacing w:line="360" w:lineRule="auto"/>
        <w:jc w:val="right"/>
        <w:rPr>
          <w:rFonts w:ascii="宋体" w:hAnsi="宋体" w:cs="宋体"/>
          <w:kern w:val="0"/>
          <w:sz w:val="24"/>
        </w:rPr>
      </w:pPr>
    </w:p>
    <w:p w:rsidR="00FC7BB2" w:rsidRDefault="00FC7BB2">
      <w:pPr>
        <w:spacing w:line="360" w:lineRule="auto"/>
        <w:jc w:val="right"/>
        <w:rPr>
          <w:rFonts w:ascii="宋体" w:hAnsi="宋体" w:cs="宋体"/>
          <w:kern w:val="0"/>
          <w:sz w:val="24"/>
        </w:rPr>
      </w:pPr>
    </w:p>
    <w:p w:rsidR="00FC7BB2" w:rsidRDefault="00FC7BB2">
      <w:pPr>
        <w:spacing w:line="360" w:lineRule="auto"/>
        <w:jc w:val="right"/>
      </w:pPr>
    </w:p>
    <w:sectPr w:rsidR="00FC7BB2" w:rsidSect="00FC7BB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 w:name="等线">
    <w:charset w:val="86"/>
    <w:family w:val="auto"/>
    <w:pitch w:val="default"/>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A10E2"/>
    <w:rsid w:val="000068AC"/>
    <w:rsid w:val="00056A9D"/>
    <w:rsid w:val="00067C88"/>
    <w:rsid w:val="0007578E"/>
    <w:rsid w:val="00084730"/>
    <w:rsid w:val="00091454"/>
    <w:rsid w:val="00091C26"/>
    <w:rsid w:val="000D409F"/>
    <w:rsid w:val="000F4885"/>
    <w:rsid w:val="001104F8"/>
    <w:rsid w:val="00182DBA"/>
    <w:rsid w:val="00185879"/>
    <w:rsid w:val="00196752"/>
    <w:rsid w:val="001B1DBB"/>
    <w:rsid w:val="001C374B"/>
    <w:rsid w:val="001C412F"/>
    <w:rsid w:val="001E1CD2"/>
    <w:rsid w:val="00225369"/>
    <w:rsid w:val="00277148"/>
    <w:rsid w:val="00294F51"/>
    <w:rsid w:val="00296B13"/>
    <w:rsid w:val="00301B9A"/>
    <w:rsid w:val="00303C8C"/>
    <w:rsid w:val="0033061C"/>
    <w:rsid w:val="00340B3A"/>
    <w:rsid w:val="003535FC"/>
    <w:rsid w:val="00377AFD"/>
    <w:rsid w:val="00387016"/>
    <w:rsid w:val="003B10DF"/>
    <w:rsid w:val="003B1232"/>
    <w:rsid w:val="003C1E98"/>
    <w:rsid w:val="003E178A"/>
    <w:rsid w:val="003F4B29"/>
    <w:rsid w:val="00426619"/>
    <w:rsid w:val="00437EFE"/>
    <w:rsid w:val="004536F8"/>
    <w:rsid w:val="00457BBE"/>
    <w:rsid w:val="0046432B"/>
    <w:rsid w:val="00465A81"/>
    <w:rsid w:val="00472218"/>
    <w:rsid w:val="0047707C"/>
    <w:rsid w:val="004864EF"/>
    <w:rsid w:val="00491539"/>
    <w:rsid w:val="004A37D9"/>
    <w:rsid w:val="004A6FD4"/>
    <w:rsid w:val="004A748B"/>
    <w:rsid w:val="004E00DA"/>
    <w:rsid w:val="005104D0"/>
    <w:rsid w:val="00514C2A"/>
    <w:rsid w:val="005173AF"/>
    <w:rsid w:val="0054079D"/>
    <w:rsid w:val="005410D0"/>
    <w:rsid w:val="00545916"/>
    <w:rsid w:val="0054726D"/>
    <w:rsid w:val="00557020"/>
    <w:rsid w:val="0056424C"/>
    <w:rsid w:val="00565313"/>
    <w:rsid w:val="00575028"/>
    <w:rsid w:val="00594EC0"/>
    <w:rsid w:val="00597646"/>
    <w:rsid w:val="005B7759"/>
    <w:rsid w:val="005D6EFF"/>
    <w:rsid w:val="005F5B86"/>
    <w:rsid w:val="006162D1"/>
    <w:rsid w:val="00617E6A"/>
    <w:rsid w:val="0066427C"/>
    <w:rsid w:val="0067264D"/>
    <w:rsid w:val="006742D8"/>
    <w:rsid w:val="006904DC"/>
    <w:rsid w:val="006905CB"/>
    <w:rsid w:val="00694AB9"/>
    <w:rsid w:val="006A6F40"/>
    <w:rsid w:val="006B20BE"/>
    <w:rsid w:val="006B73C3"/>
    <w:rsid w:val="006E31C5"/>
    <w:rsid w:val="006E3C8F"/>
    <w:rsid w:val="00701BA4"/>
    <w:rsid w:val="00713551"/>
    <w:rsid w:val="00740340"/>
    <w:rsid w:val="00767737"/>
    <w:rsid w:val="007A0408"/>
    <w:rsid w:val="007C2F1F"/>
    <w:rsid w:val="008051B2"/>
    <w:rsid w:val="008068CA"/>
    <w:rsid w:val="00824F39"/>
    <w:rsid w:val="008700B0"/>
    <w:rsid w:val="00875A99"/>
    <w:rsid w:val="00881EB9"/>
    <w:rsid w:val="0088426E"/>
    <w:rsid w:val="008905B4"/>
    <w:rsid w:val="008C245D"/>
    <w:rsid w:val="008E3175"/>
    <w:rsid w:val="00943EEF"/>
    <w:rsid w:val="00945A25"/>
    <w:rsid w:val="00953744"/>
    <w:rsid w:val="009744BE"/>
    <w:rsid w:val="00990035"/>
    <w:rsid w:val="009A0A35"/>
    <w:rsid w:val="009A4875"/>
    <w:rsid w:val="009B4906"/>
    <w:rsid w:val="009C0D0E"/>
    <w:rsid w:val="009F70AA"/>
    <w:rsid w:val="009F7B3D"/>
    <w:rsid w:val="00A023DA"/>
    <w:rsid w:val="00A76FCB"/>
    <w:rsid w:val="00A9101C"/>
    <w:rsid w:val="00AD2F78"/>
    <w:rsid w:val="00AE5C3D"/>
    <w:rsid w:val="00B06905"/>
    <w:rsid w:val="00B27AC1"/>
    <w:rsid w:val="00B37206"/>
    <w:rsid w:val="00B57F57"/>
    <w:rsid w:val="00B64A1E"/>
    <w:rsid w:val="00B67FB7"/>
    <w:rsid w:val="00BA15AC"/>
    <w:rsid w:val="00BA3220"/>
    <w:rsid w:val="00BA3E0A"/>
    <w:rsid w:val="00BB54B0"/>
    <w:rsid w:val="00BC5A9F"/>
    <w:rsid w:val="00BC5B73"/>
    <w:rsid w:val="00BD22BB"/>
    <w:rsid w:val="00BD58A6"/>
    <w:rsid w:val="00BD7CE6"/>
    <w:rsid w:val="00BE0613"/>
    <w:rsid w:val="00BE6C39"/>
    <w:rsid w:val="00BE7D30"/>
    <w:rsid w:val="00BF7639"/>
    <w:rsid w:val="00C010A4"/>
    <w:rsid w:val="00C16B5A"/>
    <w:rsid w:val="00C16E41"/>
    <w:rsid w:val="00C16E87"/>
    <w:rsid w:val="00C342E5"/>
    <w:rsid w:val="00C51485"/>
    <w:rsid w:val="00C53F2C"/>
    <w:rsid w:val="00C73256"/>
    <w:rsid w:val="00C74CAB"/>
    <w:rsid w:val="00C76D21"/>
    <w:rsid w:val="00CA7C64"/>
    <w:rsid w:val="00D66832"/>
    <w:rsid w:val="00D753C1"/>
    <w:rsid w:val="00D82CEE"/>
    <w:rsid w:val="00D86EEB"/>
    <w:rsid w:val="00D87EB7"/>
    <w:rsid w:val="00D9314C"/>
    <w:rsid w:val="00DA0710"/>
    <w:rsid w:val="00DB4A42"/>
    <w:rsid w:val="00DD04AC"/>
    <w:rsid w:val="00DE18A7"/>
    <w:rsid w:val="00E04841"/>
    <w:rsid w:val="00E0716B"/>
    <w:rsid w:val="00E11A5D"/>
    <w:rsid w:val="00E2716D"/>
    <w:rsid w:val="00E37F29"/>
    <w:rsid w:val="00E41585"/>
    <w:rsid w:val="00E46D9A"/>
    <w:rsid w:val="00E62CE3"/>
    <w:rsid w:val="00E72B6A"/>
    <w:rsid w:val="00E80951"/>
    <w:rsid w:val="00E94FC4"/>
    <w:rsid w:val="00EA10E2"/>
    <w:rsid w:val="00EB2D11"/>
    <w:rsid w:val="00EB5883"/>
    <w:rsid w:val="00EC223E"/>
    <w:rsid w:val="00EE4CF2"/>
    <w:rsid w:val="00EF34D7"/>
    <w:rsid w:val="00F11F77"/>
    <w:rsid w:val="00F20762"/>
    <w:rsid w:val="00F22B55"/>
    <w:rsid w:val="00F54A05"/>
    <w:rsid w:val="00F72C67"/>
    <w:rsid w:val="00FA2042"/>
    <w:rsid w:val="00FC2449"/>
    <w:rsid w:val="00FC7BB2"/>
    <w:rsid w:val="00FC7DF3"/>
    <w:rsid w:val="00FF2B45"/>
    <w:rsid w:val="00FF37E9"/>
    <w:rsid w:val="00FF402D"/>
    <w:rsid w:val="7FDB99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HTML Typewriter"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B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FC7BB2"/>
    <w:pPr>
      <w:ind w:leftChars="2500" w:left="100"/>
    </w:pPr>
  </w:style>
  <w:style w:type="paragraph" w:styleId="a4">
    <w:name w:val="Balloon Text"/>
    <w:basedOn w:val="a"/>
    <w:semiHidden/>
    <w:qFormat/>
    <w:rsid w:val="00FC7BB2"/>
    <w:rPr>
      <w:sz w:val="18"/>
      <w:szCs w:val="18"/>
    </w:rPr>
  </w:style>
  <w:style w:type="paragraph" w:styleId="a5">
    <w:name w:val="footer"/>
    <w:basedOn w:val="a"/>
    <w:link w:val="Char0"/>
    <w:qFormat/>
    <w:rsid w:val="00FC7BB2"/>
    <w:pPr>
      <w:tabs>
        <w:tab w:val="center" w:pos="4153"/>
        <w:tab w:val="right" w:pos="8306"/>
      </w:tabs>
      <w:snapToGrid w:val="0"/>
      <w:jc w:val="left"/>
    </w:pPr>
    <w:rPr>
      <w:sz w:val="18"/>
      <w:szCs w:val="18"/>
    </w:rPr>
  </w:style>
  <w:style w:type="paragraph" w:styleId="a6">
    <w:name w:val="header"/>
    <w:basedOn w:val="a"/>
    <w:link w:val="Char1"/>
    <w:qFormat/>
    <w:rsid w:val="00FC7BB2"/>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FC7B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FC7BB2"/>
    <w:rPr>
      <w:b/>
      <w:bCs/>
    </w:rPr>
  </w:style>
  <w:style w:type="character" w:styleId="HTML">
    <w:name w:val="HTML Typewriter"/>
    <w:qFormat/>
    <w:rsid w:val="00FC7BB2"/>
    <w:rPr>
      <w:rFonts w:ascii="宋体" w:eastAsia="宋体" w:hAnsi="宋体" w:cs="宋体"/>
      <w:sz w:val="24"/>
      <w:szCs w:val="24"/>
    </w:rPr>
  </w:style>
  <w:style w:type="paragraph" w:customStyle="1" w:styleId="font14">
    <w:name w:val="font14"/>
    <w:basedOn w:val="a"/>
    <w:qFormat/>
    <w:rsid w:val="00FC7BB2"/>
    <w:pPr>
      <w:widowControl/>
      <w:spacing w:before="100" w:beforeAutospacing="1" w:after="100" w:afterAutospacing="1" w:line="360" w:lineRule="auto"/>
      <w:jc w:val="left"/>
    </w:pPr>
    <w:rPr>
      <w:rFonts w:ascii="宋体" w:hAnsi="宋体" w:cs="宋体"/>
      <w:kern w:val="0"/>
      <w:szCs w:val="21"/>
    </w:rPr>
  </w:style>
  <w:style w:type="character" w:customStyle="1" w:styleId="Char1">
    <w:name w:val="页眉 Char"/>
    <w:link w:val="a6"/>
    <w:qFormat/>
    <w:rsid w:val="00FC7BB2"/>
    <w:rPr>
      <w:kern w:val="2"/>
      <w:sz w:val="18"/>
      <w:szCs w:val="18"/>
    </w:rPr>
  </w:style>
  <w:style w:type="character" w:customStyle="1" w:styleId="Char0">
    <w:name w:val="页脚 Char"/>
    <w:link w:val="a5"/>
    <w:qFormat/>
    <w:rsid w:val="00FC7BB2"/>
    <w:rPr>
      <w:kern w:val="2"/>
      <w:sz w:val="18"/>
      <w:szCs w:val="18"/>
    </w:rPr>
  </w:style>
  <w:style w:type="character" w:customStyle="1" w:styleId="Char">
    <w:name w:val="日期 Char"/>
    <w:link w:val="a3"/>
    <w:qFormat/>
    <w:rsid w:val="00FC7BB2"/>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9A250B1D-F95B-43C5-8688-B50B58292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1288</Characters>
  <Application>Microsoft Office Word</Application>
  <DocSecurity>4</DocSecurity>
  <Lines>10</Lines>
  <Paragraphs>3</Paragraphs>
  <ScaleCrop>false</ScaleCrop>
  <Company/>
  <LinksUpToDate>false</LinksUpToDate>
  <CharactersWithSpaces>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2026-04-01T16:02:00Z</dcterms:created>
  <dcterms:modified xsi:type="dcterms:W3CDTF">2026-04-01T16:02:00Z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9861E2A5F94B8C892D85CC69D41829D8</vt:lpwstr>
  </property>
  <property fmtid="{D5CDD505-2E9C-101B-9397-08002B2CF9AE}" pid="3" name="KSOProductBuildVer">
    <vt:lpwstr>2052-11.8.2.12219</vt:lpwstr>
  </property>
</Properties>
</file>