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F86218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F8621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2026</w:t>
      </w:r>
      <w:r w:rsidR="00F8621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F8621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4</w:t>
      </w:r>
      <w:r w:rsidR="00F8621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F8621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</w:t>
      </w:r>
      <w:r w:rsidR="00F86218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F86218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部分销售机构为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FF42FD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新增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申赎代办证券公司及对应基金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119"/>
        <w:gridCol w:w="2126"/>
        <w:gridCol w:w="2459"/>
      </w:tblGrid>
      <w:tr w:rsidR="001F66F0" w:rsidRPr="00353A73" w:rsidTr="00057AED">
        <w:trPr>
          <w:trHeight w:val="72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F66F0" w:rsidRPr="00A73715" w:rsidRDefault="001F66F0" w:rsidP="00A73715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2126" w:type="dxa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新增申赎代办证券公司</w:t>
            </w:r>
          </w:p>
        </w:tc>
      </w:tr>
      <w:tr w:rsidR="001F66F0" w:rsidRPr="00353A73" w:rsidTr="00057AED">
        <w:trPr>
          <w:trHeight w:val="469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B70468" w:rsidRDefault="00FF5C8A">
            <w:pPr>
              <w:jc w:val="center"/>
            </w:pPr>
            <w:r>
              <w:t>159381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468" w:rsidRDefault="00FF5C8A">
            <w:r>
              <w:t>华夏创业板人工智能交易型开放式指数证券投资基金</w:t>
            </w:r>
          </w:p>
        </w:tc>
        <w:tc>
          <w:tcPr>
            <w:tcW w:w="2126" w:type="dxa"/>
            <w:vAlign w:val="center"/>
          </w:tcPr>
          <w:p w:rsidR="00B70468" w:rsidRDefault="00FF5C8A">
            <w:r>
              <w:t>创业板人工智能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B70468" w:rsidRDefault="00FF5C8A">
            <w:r>
              <w:t>东吴证券股份有限公司</w:t>
            </w:r>
          </w:p>
        </w:tc>
      </w:tr>
      <w:tr w:rsidR="00B70468">
        <w:trPr>
          <w:jc w:val="center"/>
        </w:trPr>
        <w:tc>
          <w:tcPr>
            <w:tcW w:w="1242" w:type="dxa"/>
            <w:vAlign w:val="center"/>
          </w:tcPr>
          <w:p w:rsidR="00B70468" w:rsidRDefault="00FF5C8A">
            <w:pPr>
              <w:jc w:val="center"/>
            </w:pPr>
            <w:r>
              <w:t>159151</w:t>
            </w:r>
          </w:p>
        </w:tc>
        <w:tc>
          <w:tcPr>
            <w:tcW w:w="3119" w:type="dxa"/>
          </w:tcPr>
          <w:p w:rsidR="00B70468" w:rsidRDefault="00FF5C8A">
            <w:r>
              <w:t>华夏中证全指食品交易型开放式指数证券投资基金</w:t>
            </w:r>
          </w:p>
        </w:tc>
        <w:tc>
          <w:tcPr>
            <w:tcW w:w="2126" w:type="dxa"/>
            <w:vAlign w:val="center"/>
          </w:tcPr>
          <w:p w:rsidR="00B70468" w:rsidRDefault="00FF5C8A">
            <w:r>
              <w:t>食品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B70468" w:rsidRDefault="00FF5C8A">
            <w:r>
              <w:t>东吴证券股份有限公司</w:t>
            </w:r>
          </w:p>
        </w:tc>
      </w:tr>
      <w:tr w:rsidR="00B70468">
        <w:trPr>
          <w:jc w:val="center"/>
        </w:trPr>
        <w:tc>
          <w:tcPr>
            <w:tcW w:w="1242" w:type="dxa"/>
            <w:vAlign w:val="center"/>
          </w:tcPr>
          <w:p w:rsidR="00B70468" w:rsidRDefault="00FF5C8A">
            <w:pPr>
              <w:jc w:val="center"/>
            </w:pPr>
            <w:r>
              <w:t>159367</w:t>
            </w:r>
          </w:p>
        </w:tc>
        <w:tc>
          <w:tcPr>
            <w:tcW w:w="3119" w:type="dxa"/>
          </w:tcPr>
          <w:p w:rsidR="00B70468" w:rsidRDefault="00FF5C8A">
            <w:r>
              <w:t>华夏创业板</w:t>
            </w:r>
            <w:r>
              <w:t>50</w:t>
            </w:r>
            <w:r>
              <w:t>交易型开放式指数证券投资基金</w:t>
            </w:r>
          </w:p>
        </w:tc>
        <w:tc>
          <w:tcPr>
            <w:tcW w:w="2126" w:type="dxa"/>
            <w:vAlign w:val="center"/>
          </w:tcPr>
          <w:p w:rsidR="00B70468" w:rsidRDefault="00FF5C8A">
            <w:r>
              <w:t>创业板</w:t>
            </w:r>
            <w:r>
              <w:t>50ETF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B70468" w:rsidRDefault="00FF5C8A">
            <w:r>
              <w:t>华鑫证券有限责任公司</w:t>
            </w:r>
          </w:p>
        </w:tc>
      </w:tr>
      <w:tr w:rsidR="00B70468">
        <w:trPr>
          <w:jc w:val="center"/>
        </w:trPr>
        <w:tc>
          <w:tcPr>
            <w:tcW w:w="1242" w:type="dxa"/>
            <w:vAlign w:val="center"/>
          </w:tcPr>
          <w:p w:rsidR="00B70468" w:rsidRDefault="00FF5C8A">
            <w:pPr>
              <w:jc w:val="center"/>
            </w:pPr>
            <w:r>
              <w:t>159323</w:t>
            </w:r>
          </w:p>
        </w:tc>
        <w:tc>
          <w:tcPr>
            <w:tcW w:w="3119" w:type="dxa"/>
          </w:tcPr>
          <w:p w:rsidR="00B70468" w:rsidRDefault="00FF5C8A">
            <w:r>
              <w:t>华夏中证港股通汽车产业主题交易型开放式指数证券投资基金</w:t>
            </w:r>
          </w:p>
        </w:tc>
        <w:tc>
          <w:tcPr>
            <w:tcW w:w="2126" w:type="dxa"/>
            <w:vAlign w:val="center"/>
          </w:tcPr>
          <w:p w:rsidR="00B70468" w:rsidRDefault="00FF5C8A">
            <w:r>
              <w:t>港股通汽车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B70468" w:rsidRDefault="00FF5C8A">
            <w:r>
              <w:t>华鑫证券有限责任公司</w:t>
            </w:r>
          </w:p>
        </w:tc>
      </w:tr>
      <w:tr w:rsidR="00B70468">
        <w:trPr>
          <w:jc w:val="center"/>
        </w:trPr>
        <w:tc>
          <w:tcPr>
            <w:tcW w:w="1242" w:type="dxa"/>
            <w:vAlign w:val="center"/>
          </w:tcPr>
          <w:p w:rsidR="00B70468" w:rsidRDefault="00FF5C8A">
            <w:pPr>
              <w:jc w:val="center"/>
            </w:pPr>
            <w:r>
              <w:t>159256</w:t>
            </w:r>
          </w:p>
        </w:tc>
        <w:tc>
          <w:tcPr>
            <w:tcW w:w="3119" w:type="dxa"/>
          </w:tcPr>
          <w:p w:rsidR="00B70468" w:rsidRDefault="00FF5C8A">
            <w:r>
              <w:t>华夏创业板软件交易型开放式指数证券投资基金</w:t>
            </w:r>
          </w:p>
        </w:tc>
        <w:tc>
          <w:tcPr>
            <w:tcW w:w="2126" w:type="dxa"/>
            <w:vAlign w:val="center"/>
          </w:tcPr>
          <w:p w:rsidR="00B70468" w:rsidRDefault="00FF5C8A">
            <w:r>
              <w:t>创业板软件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B70468" w:rsidRDefault="00FF5C8A">
            <w:r>
              <w:t>华鑫证券有限责任公司</w:t>
            </w:r>
          </w:p>
        </w:tc>
      </w:tr>
      <w:tr w:rsidR="00B70468">
        <w:trPr>
          <w:jc w:val="center"/>
        </w:trPr>
        <w:tc>
          <w:tcPr>
            <w:tcW w:w="1242" w:type="dxa"/>
            <w:vAlign w:val="center"/>
          </w:tcPr>
          <w:p w:rsidR="00B70468" w:rsidRDefault="00FF5C8A">
            <w:pPr>
              <w:jc w:val="center"/>
            </w:pPr>
            <w:r>
              <w:t>159227</w:t>
            </w:r>
          </w:p>
        </w:tc>
        <w:tc>
          <w:tcPr>
            <w:tcW w:w="3119" w:type="dxa"/>
          </w:tcPr>
          <w:p w:rsidR="00B70468" w:rsidRDefault="00FF5C8A">
            <w:r>
              <w:t>华夏国证航天航空行业交易型开放式指数证券投资基金</w:t>
            </w:r>
          </w:p>
        </w:tc>
        <w:tc>
          <w:tcPr>
            <w:tcW w:w="2126" w:type="dxa"/>
            <w:vAlign w:val="center"/>
          </w:tcPr>
          <w:p w:rsidR="00B70468" w:rsidRDefault="00FF5C8A">
            <w:r>
              <w:t>航空航天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B70468" w:rsidRDefault="00FF5C8A">
            <w:r>
              <w:t>华鑫证券有限责任公司</w:t>
            </w:r>
          </w:p>
        </w:tc>
      </w:tr>
      <w:tr w:rsidR="00B70468">
        <w:trPr>
          <w:jc w:val="center"/>
        </w:trPr>
        <w:tc>
          <w:tcPr>
            <w:tcW w:w="1242" w:type="dxa"/>
            <w:vAlign w:val="center"/>
          </w:tcPr>
          <w:p w:rsidR="00B70468" w:rsidRDefault="00FF5C8A">
            <w:pPr>
              <w:jc w:val="center"/>
            </w:pPr>
            <w:r>
              <w:t>159201</w:t>
            </w:r>
          </w:p>
        </w:tc>
        <w:tc>
          <w:tcPr>
            <w:tcW w:w="3119" w:type="dxa"/>
          </w:tcPr>
          <w:p w:rsidR="00B70468" w:rsidRDefault="00FF5C8A">
            <w:r>
              <w:t>华夏国证自由现金流交易型开放式指数证券投资基金</w:t>
            </w:r>
          </w:p>
        </w:tc>
        <w:tc>
          <w:tcPr>
            <w:tcW w:w="2126" w:type="dxa"/>
            <w:vAlign w:val="center"/>
          </w:tcPr>
          <w:p w:rsidR="00B70468" w:rsidRDefault="00FF5C8A">
            <w:r>
              <w:t>自由现金流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B70468" w:rsidRDefault="00FF5C8A">
            <w:r>
              <w:t>华鑫证券有限责任公司</w:t>
            </w:r>
          </w:p>
        </w:tc>
      </w:tr>
      <w:tr w:rsidR="00B70468">
        <w:trPr>
          <w:jc w:val="center"/>
        </w:trPr>
        <w:tc>
          <w:tcPr>
            <w:tcW w:w="1242" w:type="dxa"/>
            <w:vAlign w:val="center"/>
          </w:tcPr>
          <w:p w:rsidR="00B70468" w:rsidRDefault="00FF5C8A">
            <w:pPr>
              <w:jc w:val="center"/>
            </w:pPr>
            <w:r>
              <w:t>159118</w:t>
            </w:r>
          </w:p>
        </w:tc>
        <w:tc>
          <w:tcPr>
            <w:tcW w:w="3119" w:type="dxa"/>
          </w:tcPr>
          <w:p w:rsidR="00B70468" w:rsidRDefault="00FF5C8A">
            <w:r>
              <w:t>华夏标普港股通低波红利交易型开放式指数证券投资基金</w:t>
            </w:r>
          </w:p>
        </w:tc>
        <w:tc>
          <w:tcPr>
            <w:tcW w:w="2126" w:type="dxa"/>
            <w:vAlign w:val="center"/>
          </w:tcPr>
          <w:p w:rsidR="00B70468" w:rsidRDefault="00FF5C8A">
            <w:r>
              <w:t>港股通红利低波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B70468" w:rsidRDefault="00FF5C8A">
            <w:r>
              <w:t>华鑫证券有限责任公司</w:t>
            </w:r>
          </w:p>
        </w:tc>
      </w:tr>
      <w:tr w:rsidR="00B70468">
        <w:trPr>
          <w:jc w:val="center"/>
        </w:trPr>
        <w:tc>
          <w:tcPr>
            <w:tcW w:w="1242" w:type="dxa"/>
            <w:vAlign w:val="center"/>
          </w:tcPr>
          <w:p w:rsidR="00B70468" w:rsidRDefault="00FF5C8A">
            <w:pPr>
              <w:jc w:val="center"/>
            </w:pPr>
            <w:r>
              <w:t>159101</w:t>
            </w:r>
          </w:p>
        </w:tc>
        <w:tc>
          <w:tcPr>
            <w:tcW w:w="3119" w:type="dxa"/>
          </w:tcPr>
          <w:p w:rsidR="00B70468" w:rsidRDefault="00FF5C8A">
            <w:r>
              <w:t>华夏国证港股通科技交易型开放式指数证券投资基金</w:t>
            </w:r>
          </w:p>
        </w:tc>
        <w:tc>
          <w:tcPr>
            <w:tcW w:w="2126" w:type="dxa"/>
            <w:vAlign w:val="center"/>
          </w:tcPr>
          <w:p w:rsidR="00B70468" w:rsidRDefault="00FF5C8A">
            <w:r>
              <w:t>港股通科技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B70468" w:rsidRDefault="00FF5C8A">
            <w:r>
              <w:t>华鑫证券有限责任公司</w:t>
            </w:r>
          </w:p>
        </w:tc>
      </w:tr>
      <w:tr w:rsidR="00B70468">
        <w:trPr>
          <w:jc w:val="center"/>
        </w:trPr>
        <w:tc>
          <w:tcPr>
            <w:tcW w:w="1242" w:type="dxa"/>
            <w:vAlign w:val="center"/>
          </w:tcPr>
          <w:p w:rsidR="00B70468" w:rsidRDefault="00FF5C8A">
            <w:pPr>
              <w:jc w:val="center"/>
            </w:pPr>
            <w:r>
              <w:t>159100</w:t>
            </w:r>
          </w:p>
        </w:tc>
        <w:tc>
          <w:tcPr>
            <w:tcW w:w="3119" w:type="dxa"/>
          </w:tcPr>
          <w:p w:rsidR="00B70468" w:rsidRDefault="00FF5C8A">
            <w:r>
              <w:t>华夏布拉德斯科巴西伊博维斯帕交易型开放式指数证券投资基金（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126" w:type="dxa"/>
            <w:vAlign w:val="center"/>
          </w:tcPr>
          <w:p w:rsidR="00B70468" w:rsidRDefault="00FF5C8A">
            <w:r>
              <w:t>巴西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B70468" w:rsidRDefault="00FF5C8A">
            <w:r>
              <w:t>华鑫证券有限责任公司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F86218">
        <w:rPr>
          <w:rStyle w:val="c1"/>
          <w:color w:val="auto"/>
          <w:sz w:val="24"/>
          <w:szCs w:val="24"/>
        </w:rPr>
        <w:t>2026</w:t>
      </w:r>
      <w:r w:rsidR="00F86218">
        <w:rPr>
          <w:rStyle w:val="c1"/>
          <w:color w:val="auto"/>
          <w:sz w:val="24"/>
          <w:szCs w:val="24"/>
        </w:rPr>
        <w:t>年</w:t>
      </w:r>
      <w:r w:rsidR="00F86218">
        <w:rPr>
          <w:rStyle w:val="c1"/>
          <w:color w:val="auto"/>
          <w:sz w:val="24"/>
          <w:szCs w:val="24"/>
        </w:rPr>
        <w:t>4</w:t>
      </w:r>
      <w:r w:rsidR="00F86218">
        <w:rPr>
          <w:rStyle w:val="c1"/>
          <w:color w:val="auto"/>
          <w:sz w:val="24"/>
          <w:szCs w:val="24"/>
        </w:rPr>
        <w:t>月</w:t>
      </w:r>
      <w:r w:rsidR="00F86218">
        <w:rPr>
          <w:rStyle w:val="c1"/>
          <w:color w:val="auto"/>
          <w:sz w:val="24"/>
          <w:szCs w:val="24"/>
        </w:rPr>
        <w:t>2</w:t>
      </w:r>
      <w:r w:rsidR="00F86218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起在上述</w:t>
      </w:r>
      <w:r w:rsidR="00A6274B">
        <w:rPr>
          <w:rStyle w:val="c1"/>
          <w:rFonts w:hAnsi="宋体" w:hint="eastAsia"/>
          <w:color w:val="auto"/>
          <w:sz w:val="24"/>
          <w:szCs w:val="24"/>
        </w:rPr>
        <w:t>销售机构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347706">
        <w:trPr>
          <w:jc w:val="center"/>
        </w:trPr>
        <w:tc>
          <w:tcPr>
            <w:tcW w:w="534" w:type="dxa"/>
            <w:shd w:val="clear" w:color="auto" w:fill="auto"/>
          </w:tcPr>
          <w:p w:rsidR="00B70468" w:rsidRDefault="00FF5C8A"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B70468" w:rsidRDefault="00FF5C8A">
            <w:r>
              <w:t>东吴证券股份有限公司</w:t>
            </w:r>
          </w:p>
        </w:tc>
        <w:tc>
          <w:tcPr>
            <w:tcW w:w="2835" w:type="dxa"/>
            <w:shd w:val="clear" w:color="auto" w:fill="auto"/>
          </w:tcPr>
          <w:p w:rsidR="00B70468" w:rsidRDefault="00FF5C8A">
            <w:r>
              <w:t>www.dwzq.com.cn</w:t>
            </w:r>
          </w:p>
        </w:tc>
        <w:tc>
          <w:tcPr>
            <w:tcW w:w="2601" w:type="dxa"/>
            <w:shd w:val="clear" w:color="auto" w:fill="auto"/>
          </w:tcPr>
          <w:p w:rsidR="00B70468" w:rsidRDefault="00FF5C8A">
            <w:r>
              <w:t>95330</w:t>
            </w:r>
          </w:p>
        </w:tc>
      </w:tr>
      <w:tr w:rsidR="00B70468">
        <w:trPr>
          <w:jc w:val="center"/>
        </w:trPr>
        <w:tc>
          <w:tcPr>
            <w:tcW w:w="534" w:type="dxa"/>
          </w:tcPr>
          <w:p w:rsidR="00B70468" w:rsidRDefault="00FF5C8A">
            <w:r>
              <w:t>2</w:t>
            </w:r>
          </w:p>
        </w:tc>
        <w:tc>
          <w:tcPr>
            <w:tcW w:w="2976" w:type="dxa"/>
          </w:tcPr>
          <w:p w:rsidR="00B70468" w:rsidRDefault="00FF5C8A">
            <w:r>
              <w:t>华鑫证券有限责任公司</w:t>
            </w:r>
          </w:p>
        </w:tc>
        <w:tc>
          <w:tcPr>
            <w:tcW w:w="2835" w:type="dxa"/>
          </w:tcPr>
          <w:p w:rsidR="00B70468" w:rsidRDefault="00FF5C8A">
            <w:r>
              <w:t>www.cfsc.com.cn</w:t>
            </w:r>
          </w:p>
        </w:tc>
        <w:tc>
          <w:tcPr>
            <w:tcW w:w="2601" w:type="dxa"/>
          </w:tcPr>
          <w:p w:rsidR="00B70468" w:rsidRDefault="00FF5C8A">
            <w:r>
              <w:t>95323</w:t>
            </w:r>
            <w:r>
              <w:t>、</w:t>
            </w:r>
            <w:r>
              <w:t>400-109-9918</w:t>
            </w:r>
          </w:p>
        </w:tc>
      </w:tr>
    </w:tbl>
    <w:p w:rsidR="00A1106D" w:rsidRDefault="00A1106D" w:rsidP="008B7A08">
      <w:pPr>
        <w:spacing w:line="360" w:lineRule="auto"/>
        <w:ind w:firstLine="42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</w:t>
      </w:r>
      <w:r w:rsidRPr="00755C67">
        <w:rPr>
          <w:rFonts w:hAnsi="宋体" w:hint="eastAsia"/>
          <w:sz w:val="24"/>
        </w:rPr>
        <w:lastRenderedPageBreak/>
        <w:t>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AB318C" w:rsidRPr="006800D7" w:rsidRDefault="00F86218" w:rsidP="007C740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二〇二六年四月二日</w:t>
      </w: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DD" w:rsidRDefault="00F464DD">
      <w:r>
        <w:separator/>
      </w:r>
    </w:p>
  </w:endnote>
  <w:endnote w:type="continuationSeparator" w:id="0">
    <w:p w:rsidR="00F464DD" w:rsidRDefault="00F4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DD" w:rsidRDefault="00F464DD">
      <w:r>
        <w:separator/>
      </w:r>
    </w:p>
  </w:footnote>
  <w:footnote w:type="continuationSeparator" w:id="0">
    <w:p w:rsidR="00F464DD" w:rsidRDefault="00F46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D5E76"/>
    <w:rsid w:val="003E5187"/>
    <w:rsid w:val="003F2DF9"/>
    <w:rsid w:val="003F53F4"/>
    <w:rsid w:val="003F7251"/>
    <w:rsid w:val="00401793"/>
    <w:rsid w:val="00402DE5"/>
    <w:rsid w:val="0041481A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B7A08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57F3"/>
    <w:rsid w:val="0098633F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2F8C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0468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E9F"/>
    <w:rsid w:val="00EE423E"/>
    <w:rsid w:val="00EE5315"/>
    <w:rsid w:val="00EF10BD"/>
    <w:rsid w:val="00EF389A"/>
    <w:rsid w:val="00F036D0"/>
    <w:rsid w:val="00F23CA7"/>
    <w:rsid w:val="00F30B22"/>
    <w:rsid w:val="00F320C3"/>
    <w:rsid w:val="00F3301A"/>
    <w:rsid w:val="00F401A7"/>
    <w:rsid w:val="00F41608"/>
    <w:rsid w:val="00F464DD"/>
    <w:rsid w:val="00F53DD8"/>
    <w:rsid w:val="00F549A0"/>
    <w:rsid w:val="00F748B2"/>
    <w:rsid w:val="00F74B45"/>
    <w:rsid w:val="00F77F54"/>
    <w:rsid w:val="00F86218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  <w:rsid w:val="00FF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A617A-6691-42D6-B86E-509C78C8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4</DocSecurity>
  <Lines>7</Lines>
  <Paragraphs>2</Paragraphs>
  <ScaleCrop>false</ScaleCrop>
  <Company>MC SYSTEM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2026-04-01T16:02:00Z</dcterms:created>
  <dcterms:modified xsi:type="dcterms:W3CDTF">2026-04-01T16:02:00Z</dcterms:modified>
</cp:coreProperties>
</file>