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A1" w:rsidRDefault="00825EF8" w:rsidP="00005359">
      <w:pPr>
        <w:spacing w:line="360" w:lineRule="auto"/>
        <w:jc w:val="center"/>
        <w:rPr>
          <w:rStyle w:val="d1"/>
          <w:rFonts w:hAnsi="宋体"/>
          <w:color w:val="000000"/>
          <w:sz w:val="24"/>
          <w:szCs w:val="24"/>
        </w:rPr>
      </w:pPr>
      <w:bookmarkStart w:id="0" w:name="_GoBack"/>
      <w:bookmarkStart w:id="1" w:name="OLE_LINK1"/>
      <w:bookmarkStart w:id="2" w:name="OLE_LINK2"/>
      <w:bookmarkStart w:id="3" w:name="OLE_LINK3"/>
      <w:bookmarkEnd w:id="0"/>
      <w:r w:rsidRPr="00005359">
        <w:rPr>
          <w:rStyle w:val="d1"/>
          <w:rFonts w:hAnsi="宋体"/>
          <w:color w:val="000000"/>
          <w:sz w:val="24"/>
          <w:szCs w:val="24"/>
        </w:rPr>
        <w:t>华夏基金管理有限公司</w:t>
      </w:r>
      <w:r w:rsidR="00E11E8B" w:rsidRPr="00005359">
        <w:rPr>
          <w:rStyle w:val="d1"/>
          <w:rFonts w:hAnsi="宋体" w:hint="eastAsia"/>
          <w:color w:val="auto"/>
          <w:sz w:val="24"/>
          <w:szCs w:val="24"/>
        </w:rPr>
        <w:t>关于</w:t>
      </w:r>
      <w:r w:rsidR="00A214B6" w:rsidRPr="00005359">
        <w:rPr>
          <w:rStyle w:val="d1"/>
          <w:rFonts w:hAnsi="宋体" w:hint="eastAsia"/>
          <w:color w:val="000000"/>
          <w:sz w:val="24"/>
          <w:szCs w:val="24"/>
        </w:rPr>
        <w:t>旗下部分</w:t>
      </w:r>
      <w:r w:rsidR="00CC4B9C">
        <w:rPr>
          <w:rStyle w:val="d1"/>
          <w:rFonts w:hAnsi="宋体" w:hint="eastAsia"/>
          <w:color w:val="000000"/>
          <w:sz w:val="24"/>
          <w:szCs w:val="24"/>
        </w:rPr>
        <w:t>上交所</w:t>
      </w:r>
      <w:r w:rsidR="0034503E">
        <w:rPr>
          <w:rStyle w:val="d1"/>
          <w:rFonts w:hAnsi="宋体" w:hint="eastAsia"/>
          <w:color w:val="000000"/>
          <w:sz w:val="24"/>
          <w:szCs w:val="24"/>
        </w:rPr>
        <w:t>E</w:t>
      </w:r>
      <w:r w:rsidR="00443D48">
        <w:rPr>
          <w:rStyle w:val="d1"/>
          <w:rFonts w:hAnsi="宋体"/>
          <w:color w:val="000000"/>
          <w:sz w:val="24"/>
          <w:szCs w:val="24"/>
        </w:rPr>
        <w:t>TF</w:t>
      </w:r>
    </w:p>
    <w:p w:rsidR="00ED4403" w:rsidRPr="00005359" w:rsidRDefault="00E11E8B" w:rsidP="00005359">
      <w:pPr>
        <w:spacing w:line="360" w:lineRule="auto"/>
        <w:jc w:val="center"/>
        <w:rPr>
          <w:rStyle w:val="d1"/>
          <w:rFonts w:hAnsi="宋体"/>
          <w:color w:val="000000"/>
          <w:sz w:val="24"/>
          <w:szCs w:val="24"/>
        </w:rPr>
      </w:pPr>
      <w:r w:rsidRPr="00005359">
        <w:rPr>
          <w:rStyle w:val="d1"/>
          <w:rFonts w:hAnsi="宋体" w:hint="eastAsia"/>
          <w:color w:val="auto"/>
          <w:sz w:val="24"/>
          <w:szCs w:val="24"/>
        </w:rPr>
        <w:t>新增</w:t>
      </w:r>
      <w:r w:rsidR="00ED4403" w:rsidRPr="00005359">
        <w:rPr>
          <w:rStyle w:val="d1"/>
          <w:rFonts w:hAnsi="宋体"/>
          <w:color w:val="auto"/>
          <w:sz w:val="24"/>
          <w:szCs w:val="24"/>
        </w:rPr>
        <w:t>申购赎回代办证券公司的公告</w:t>
      </w:r>
      <w:bookmarkEnd w:id="1"/>
    </w:p>
    <w:bookmarkEnd w:id="2"/>
    <w:bookmarkEnd w:id="3"/>
    <w:p w:rsidR="00ED4403" w:rsidRPr="00005359" w:rsidRDefault="00ED4403" w:rsidP="00ED4403">
      <w:pPr>
        <w:spacing w:line="360" w:lineRule="auto"/>
        <w:jc w:val="center"/>
        <w:rPr>
          <w:rStyle w:val="c1"/>
          <w:rFonts w:hAnsi="宋体"/>
          <w:b/>
          <w:bCs/>
          <w:color w:val="auto"/>
          <w:kern w:val="0"/>
          <w:sz w:val="24"/>
          <w:szCs w:val="24"/>
        </w:rPr>
      </w:pPr>
    </w:p>
    <w:p w:rsidR="00737436" w:rsidRPr="00B04C94" w:rsidRDefault="00737436" w:rsidP="00737436">
      <w:pPr>
        <w:pStyle w:val="c"/>
        <w:spacing w:before="0" w:beforeAutospacing="0" w:after="0" w:afterAutospacing="0" w:line="360" w:lineRule="auto"/>
        <w:ind w:firstLineChars="200" w:firstLine="480"/>
        <w:rPr>
          <w:rStyle w:val="c1"/>
          <w:rFonts w:ascii="Times New Roman" w:eastAsia="宋体" w:hAnsi="Times New Roman" w:cs="Times New Roman"/>
          <w:color w:val="auto"/>
          <w:sz w:val="24"/>
          <w:szCs w:val="24"/>
        </w:rPr>
      </w:pPr>
      <w:r w:rsidRPr="00005359">
        <w:rPr>
          <w:rStyle w:val="c1"/>
          <w:rFonts w:ascii="Times New Roman" w:eastAsia="宋体" w:hAnsi="Times New Roman" w:cs="Times New Roman"/>
          <w:color w:val="auto"/>
          <w:sz w:val="24"/>
          <w:szCs w:val="24"/>
        </w:rPr>
        <w:t>自</w:t>
      </w:r>
      <w:r w:rsidR="00CC4B9C">
        <w:rPr>
          <w:rStyle w:val="c1"/>
          <w:rFonts w:ascii="Times New Roman" w:eastAsia="宋体" w:hAnsi="Times New Roman" w:cs="Times New Roman" w:hint="eastAsia"/>
          <w:color w:val="auto"/>
          <w:sz w:val="24"/>
          <w:szCs w:val="24"/>
        </w:rPr>
        <w:t>2026</w:t>
      </w:r>
      <w:r w:rsidR="00CC4B9C">
        <w:rPr>
          <w:rStyle w:val="c1"/>
          <w:rFonts w:ascii="Times New Roman" w:eastAsia="宋体" w:hAnsi="Times New Roman" w:cs="Times New Roman" w:hint="eastAsia"/>
          <w:color w:val="auto"/>
          <w:sz w:val="24"/>
          <w:szCs w:val="24"/>
        </w:rPr>
        <w:t>年</w:t>
      </w:r>
      <w:r w:rsidR="00CC4B9C">
        <w:rPr>
          <w:rStyle w:val="c1"/>
          <w:rFonts w:ascii="Times New Roman" w:eastAsia="宋体" w:hAnsi="Times New Roman" w:cs="Times New Roman" w:hint="eastAsia"/>
          <w:color w:val="auto"/>
          <w:sz w:val="24"/>
          <w:szCs w:val="24"/>
        </w:rPr>
        <w:t>4</w:t>
      </w:r>
      <w:r w:rsidR="00CC4B9C">
        <w:rPr>
          <w:rStyle w:val="c1"/>
          <w:rFonts w:ascii="Times New Roman" w:eastAsia="宋体" w:hAnsi="Times New Roman" w:cs="Times New Roman" w:hint="eastAsia"/>
          <w:color w:val="auto"/>
          <w:sz w:val="24"/>
          <w:szCs w:val="24"/>
        </w:rPr>
        <w:t>月</w:t>
      </w:r>
      <w:r w:rsidR="00CC4B9C">
        <w:rPr>
          <w:rStyle w:val="c1"/>
          <w:rFonts w:ascii="Times New Roman" w:eastAsia="宋体" w:hAnsi="Times New Roman" w:cs="Times New Roman" w:hint="eastAsia"/>
          <w:color w:val="auto"/>
          <w:sz w:val="24"/>
          <w:szCs w:val="24"/>
        </w:rPr>
        <w:t>2</w:t>
      </w:r>
      <w:r w:rsidR="00CC4B9C">
        <w:rPr>
          <w:rStyle w:val="c1"/>
          <w:rFonts w:ascii="Times New Roman" w:eastAsia="宋体" w:hAnsi="Times New Roman" w:cs="Times New Roman" w:hint="eastAsia"/>
          <w:color w:val="auto"/>
          <w:sz w:val="24"/>
          <w:szCs w:val="24"/>
        </w:rPr>
        <w:t>日</w:t>
      </w:r>
      <w:r w:rsidRPr="00005359">
        <w:rPr>
          <w:rStyle w:val="c1"/>
          <w:rFonts w:ascii="Times New Roman" w:eastAsia="宋体" w:hAnsi="Times New Roman" w:cs="Times New Roman"/>
          <w:color w:val="auto"/>
          <w:sz w:val="24"/>
          <w:szCs w:val="24"/>
        </w:rPr>
        <w:t>起，</w:t>
      </w:r>
      <w:r w:rsidR="00B04C94" w:rsidRPr="00B04C94">
        <w:rPr>
          <w:rStyle w:val="c1"/>
          <w:rFonts w:ascii="Times New Roman" w:eastAsia="宋体" w:hAnsi="Times New Roman" w:cs="Times New Roman"/>
          <w:bCs/>
          <w:color w:val="auto"/>
          <w:sz w:val="24"/>
          <w:szCs w:val="24"/>
        </w:rPr>
        <w:t>华夏基金管理有限公司</w:t>
      </w:r>
      <w:r w:rsidR="00B04C94" w:rsidRPr="00B04C94">
        <w:rPr>
          <w:rStyle w:val="c1"/>
          <w:rFonts w:ascii="Times New Roman" w:eastAsia="宋体" w:hAnsi="Times New Roman" w:cs="Times New Roman" w:hint="eastAsia"/>
          <w:bCs/>
          <w:color w:val="auto"/>
          <w:sz w:val="24"/>
          <w:szCs w:val="24"/>
        </w:rPr>
        <w:t>（以下简称“本公司”）</w:t>
      </w:r>
      <w:r w:rsidR="001C100F" w:rsidRPr="00B04C94">
        <w:rPr>
          <w:rStyle w:val="c1"/>
          <w:rFonts w:ascii="Times New Roman" w:eastAsia="宋体" w:hAnsi="Times New Roman" w:cs="Times New Roman"/>
          <w:color w:val="auto"/>
          <w:sz w:val="24"/>
          <w:szCs w:val="24"/>
        </w:rPr>
        <w:t>旗下</w:t>
      </w:r>
      <w:r w:rsidR="00430047">
        <w:rPr>
          <w:rStyle w:val="c1"/>
          <w:rFonts w:ascii="Times New Roman" w:eastAsia="宋体" w:hAnsi="Times New Roman" w:cs="Times New Roman" w:hint="eastAsia"/>
          <w:color w:val="auto"/>
          <w:sz w:val="24"/>
          <w:szCs w:val="24"/>
        </w:rPr>
        <w:t>部分</w:t>
      </w:r>
      <w:r w:rsidR="00CC4B9C">
        <w:rPr>
          <w:rStyle w:val="d1"/>
          <w:rFonts w:ascii="宋体" w:eastAsia="宋体" w:hAnsi="宋体" w:hint="eastAsia"/>
          <w:b w:val="0"/>
          <w:color w:val="000000"/>
          <w:sz w:val="24"/>
          <w:szCs w:val="24"/>
        </w:rPr>
        <w:t>上交所</w:t>
      </w:r>
      <w:r w:rsidR="00443D48" w:rsidRPr="00B04C94">
        <w:rPr>
          <w:rStyle w:val="c1"/>
          <w:rFonts w:ascii="Times New Roman" w:eastAsia="宋体" w:hAnsi="Times New Roman" w:cs="Times New Roman"/>
          <w:color w:val="auto"/>
          <w:sz w:val="24"/>
          <w:szCs w:val="24"/>
        </w:rPr>
        <w:t>ETF</w:t>
      </w:r>
      <w:r w:rsidRPr="00B04C94">
        <w:rPr>
          <w:rStyle w:val="c1"/>
          <w:rFonts w:ascii="Times New Roman" w:eastAsia="宋体" w:hAnsi="Times New Roman" w:cs="Times New Roman"/>
          <w:color w:val="auto"/>
          <w:sz w:val="24"/>
          <w:szCs w:val="24"/>
        </w:rPr>
        <w:t>新增</w:t>
      </w:r>
      <w:r w:rsidR="00E90262" w:rsidRPr="00B04C94">
        <w:rPr>
          <w:rStyle w:val="c1"/>
          <w:rFonts w:ascii="Times New Roman" w:eastAsia="宋体" w:hAnsi="Times New Roman" w:cs="Times New Roman"/>
          <w:color w:val="auto"/>
          <w:sz w:val="24"/>
          <w:szCs w:val="24"/>
        </w:rPr>
        <w:t>部分销售机构为</w:t>
      </w:r>
      <w:r w:rsidR="00062D7F" w:rsidRPr="00B04C94">
        <w:rPr>
          <w:rStyle w:val="c1"/>
          <w:rFonts w:ascii="Times New Roman" w:eastAsia="宋体" w:hAnsi="Times New Roman" w:cs="Times New Roman"/>
          <w:color w:val="auto"/>
          <w:sz w:val="24"/>
          <w:szCs w:val="24"/>
        </w:rPr>
        <w:t>申购赎回代办证券公司</w:t>
      </w:r>
      <w:r w:rsidR="00E90262" w:rsidRPr="00B04C94">
        <w:rPr>
          <w:rStyle w:val="c1"/>
          <w:rFonts w:ascii="Times New Roman" w:eastAsia="宋体" w:hAnsi="Times New Roman" w:cs="Times New Roman"/>
          <w:color w:val="auto"/>
          <w:sz w:val="24"/>
          <w:szCs w:val="24"/>
        </w:rPr>
        <w:t>。</w:t>
      </w:r>
      <w:r w:rsidR="00C0246E" w:rsidRPr="00B04C94">
        <w:rPr>
          <w:rStyle w:val="c1"/>
          <w:rFonts w:ascii="Times New Roman" w:eastAsia="宋体" w:hAnsi="Times New Roman" w:cs="Times New Roman"/>
          <w:color w:val="auto"/>
          <w:sz w:val="24"/>
          <w:szCs w:val="24"/>
        </w:rPr>
        <w:t>具体</w:t>
      </w:r>
      <w:r w:rsidRPr="00B04C94">
        <w:rPr>
          <w:rStyle w:val="c1"/>
          <w:rFonts w:ascii="Times New Roman" w:eastAsia="宋体" w:hAnsi="Times New Roman" w:cs="Times New Roman"/>
          <w:color w:val="auto"/>
          <w:sz w:val="24"/>
          <w:szCs w:val="24"/>
        </w:rPr>
        <w:t>情况如下：</w:t>
      </w:r>
    </w:p>
    <w:p w:rsidR="007C740C" w:rsidRDefault="00731DAE" w:rsidP="00731DAE">
      <w:pPr>
        <w:pStyle w:val="c"/>
        <w:spacing w:before="0" w:beforeAutospacing="0" w:after="0" w:afterAutospacing="0" w:line="360" w:lineRule="auto"/>
        <w:ind w:firstLine="420"/>
        <w:rPr>
          <w:rStyle w:val="c1"/>
          <w:rFonts w:ascii="宋体" w:eastAsia="宋体" w:hAnsi="宋体" w:cs="Times New Roman"/>
          <w:color w:val="auto"/>
          <w:sz w:val="24"/>
          <w:szCs w:val="24"/>
        </w:rPr>
      </w:pPr>
      <w:r>
        <w:rPr>
          <w:rStyle w:val="c1"/>
          <w:rFonts w:ascii="宋体" w:eastAsia="宋体" w:hAnsi="宋体" w:cs="Times New Roman" w:hint="eastAsia"/>
          <w:color w:val="auto"/>
          <w:sz w:val="24"/>
          <w:szCs w:val="24"/>
        </w:rPr>
        <w:t>一、</w:t>
      </w:r>
      <w:r w:rsidR="00FF42FD">
        <w:rPr>
          <w:rStyle w:val="c1"/>
          <w:rFonts w:ascii="宋体" w:eastAsia="宋体" w:hAnsi="宋体" w:cs="Times New Roman" w:hint="eastAsia"/>
          <w:color w:val="auto"/>
          <w:sz w:val="24"/>
          <w:szCs w:val="24"/>
        </w:rPr>
        <w:t>新增</w:t>
      </w:r>
      <w:r w:rsidR="003706ED" w:rsidRPr="00005359">
        <w:rPr>
          <w:rStyle w:val="c1"/>
          <w:rFonts w:ascii="宋体" w:eastAsia="宋体" w:hAnsi="宋体" w:cs="Times New Roman"/>
          <w:color w:val="auto"/>
          <w:sz w:val="24"/>
          <w:szCs w:val="24"/>
        </w:rPr>
        <w:t>申赎代办证券公司及对应基金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432"/>
        <w:gridCol w:w="1603"/>
        <w:gridCol w:w="1878"/>
        <w:gridCol w:w="1932"/>
      </w:tblGrid>
      <w:tr w:rsidR="008D2F32" w:rsidRPr="00353A73" w:rsidTr="00A56741">
        <w:trPr>
          <w:jc w:val="center"/>
        </w:trPr>
        <w:tc>
          <w:tcPr>
            <w:tcW w:w="1101" w:type="dxa"/>
            <w:shd w:val="clear" w:color="auto" w:fill="auto"/>
            <w:vAlign w:val="center"/>
          </w:tcPr>
          <w:p w:rsidR="008D2F32" w:rsidRPr="00353A73" w:rsidRDefault="008D2F32" w:rsidP="00353A73">
            <w:pPr>
              <w:pStyle w:val="c"/>
              <w:spacing w:before="0" w:beforeAutospacing="0" w:after="0" w:afterAutospacing="0" w:line="360" w:lineRule="auto"/>
              <w:jc w:val="center"/>
              <w:rPr>
                <w:rFonts w:ascii="Times New Roman" w:eastAsia="宋体" w:hAnsi="Times New Roman" w:cs="Times New Roman"/>
                <w:b/>
                <w:sz w:val="21"/>
                <w:szCs w:val="21"/>
              </w:rPr>
            </w:pPr>
            <w:r w:rsidRPr="00353A73">
              <w:rPr>
                <w:rFonts w:ascii="Times New Roman" w:eastAsia="宋体" w:hAnsi="Times New Roman" w:cs="Times New Roman"/>
                <w:b/>
                <w:sz w:val="21"/>
                <w:szCs w:val="21"/>
              </w:rPr>
              <w:t>基金</w:t>
            </w:r>
          </w:p>
          <w:p w:rsidR="008D2F32" w:rsidRPr="00353A73" w:rsidRDefault="008D2F32" w:rsidP="00353A73">
            <w:pPr>
              <w:spacing w:line="360" w:lineRule="auto"/>
              <w:jc w:val="center"/>
              <w:outlineLvl w:val="0"/>
              <w:rPr>
                <w:rStyle w:val="c1"/>
                <w:rFonts w:hAnsi="宋体"/>
                <w:color w:val="auto"/>
                <w:sz w:val="24"/>
                <w:szCs w:val="24"/>
              </w:rPr>
            </w:pPr>
            <w:r w:rsidRPr="00353A73">
              <w:rPr>
                <w:b/>
                <w:color w:val="000000"/>
                <w:kern w:val="0"/>
                <w:szCs w:val="21"/>
              </w:rPr>
              <w:t>代码</w:t>
            </w:r>
          </w:p>
        </w:tc>
        <w:tc>
          <w:tcPr>
            <w:tcW w:w="2432" w:type="dxa"/>
            <w:shd w:val="clear" w:color="auto" w:fill="auto"/>
            <w:vAlign w:val="center"/>
          </w:tcPr>
          <w:p w:rsidR="008D2F32" w:rsidRPr="00353A73" w:rsidRDefault="008D2F32" w:rsidP="00353A73">
            <w:pPr>
              <w:spacing w:line="360" w:lineRule="auto"/>
              <w:jc w:val="center"/>
              <w:outlineLvl w:val="0"/>
              <w:rPr>
                <w:rStyle w:val="c1"/>
                <w:rFonts w:hAnsi="宋体"/>
                <w:color w:val="auto"/>
                <w:sz w:val="24"/>
                <w:szCs w:val="24"/>
              </w:rPr>
            </w:pPr>
            <w:r w:rsidRPr="00353A73">
              <w:rPr>
                <w:b/>
                <w:color w:val="000000"/>
                <w:kern w:val="0"/>
                <w:szCs w:val="21"/>
              </w:rPr>
              <w:t>基金全称</w:t>
            </w:r>
          </w:p>
        </w:tc>
        <w:tc>
          <w:tcPr>
            <w:tcW w:w="1603" w:type="dxa"/>
            <w:shd w:val="clear" w:color="auto" w:fill="auto"/>
            <w:vAlign w:val="center"/>
          </w:tcPr>
          <w:p w:rsidR="008D2F32" w:rsidRPr="00353A73" w:rsidRDefault="008D2F32" w:rsidP="00353A73">
            <w:pPr>
              <w:spacing w:line="360" w:lineRule="auto"/>
              <w:jc w:val="center"/>
              <w:outlineLvl w:val="0"/>
              <w:rPr>
                <w:rStyle w:val="c1"/>
                <w:rFonts w:hAnsi="宋体"/>
                <w:color w:val="auto"/>
                <w:sz w:val="24"/>
                <w:szCs w:val="24"/>
              </w:rPr>
            </w:pPr>
            <w:r w:rsidRPr="00353A73">
              <w:rPr>
                <w:b/>
                <w:color w:val="000000"/>
                <w:kern w:val="0"/>
                <w:szCs w:val="21"/>
              </w:rPr>
              <w:t>场内简称</w:t>
            </w:r>
          </w:p>
        </w:tc>
        <w:tc>
          <w:tcPr>
            <w:tcW w:w="1878" w:type="dxa"/>
            <w:vAlign w:val="center"/>
          </w:tcPr>
          <w:p w:rsidR="008D2F32" w:rsidRPr="00353A73" w:rsidRDefault="008D2F32" w:rsidP="00353A73">
            <w:pPr>
              <w:spacing w:line="360" w:lineRule="auto"/>
              <w:jc w:val="center"/>
              <w:outlineLvl w:val="0"/>
              <w:rPr>
                <w:b/>
                <w:color w:val="000000"/>
                <w:kern w:val="0"/>
                <w:szCs w:val="21"/>
              </w:rPr>
            </w:pPr>
            <w:r>
              <w:rPr>
                <w:rFonts w:hint="eastAsia"/>
                <w:b/>
                <w:color w:val="000000"/>
                <w:kern w:val="0"/>
                <w:szCs w:val="21"/>
              </w:rPr>
              <w:t>扩位简称</w:t>
            </w:r>
          </w:p>
        </w:tc>
        <w:tc>
          <w:tcPr>
            <w:tcW w:w="1932" w:type="dxa"/>
            <w:shd w:val="clear" w:color="auto" w:fill="auto"/>
            <w:vAlign w:val="center"/>
          </w:tcPr>
          <w:p w:rsidR="008D2F32" w:rsidRPr="00353A73" w:rsidRDefault="008D2F32" w:rsidP="00353A73">
            <w:pPr>
              <w:spacing w:line="360" w:lineRule="auto"/>
              <w:jc w:val="center"/>
              <w:outlineLvl w:val="0"/>
              <w:rPr>
                <w:rStyle w:val="c1"/>
                <w:rFonts w:hAnsi="宋体"/>
                <w:color w:val="auto"/>
                <w:sz w:val="24"/>
                <w:szCs w:val="24"/>
              </w:rPr>
            </w:pPr>
            <w:r w:rsidRPr="00353A73">
              <w:rPr>
                <w:b/>
                <w:color w:val="000000"/>
                <w:kern w:val="0"/>
                <w:szCs w:val="21"/>
              </w:rPr>
              <w:t>新增申赎代办证券公司</w:t>
            </w:r>
          </w:p>
        </w:tc>
      </w:tr>
      <w:tr w:rsidR="008D2F32" w:rsidRPr="00353A73" w:rsidTr="00A56741">
        <w:trPr>
          <w:jc w:val="center"/>
        </w:trPr>
        <w:tc>
          <w:tcPr>
            <w:tcW w:w="1101" w:type="dxa"/>
            <w:shd w:val="clear" w:color="auto" w:fill="auto"/>
            <w:vAlign w:val="center"/>
          </w:tcPr>
          <w:p w:rsidR="0088609C" w:rsidRDefault="00240F69">
            <w:pPr>
              <w:jc w:val="center"/>
            </w:pPr>
            <w:r>
              <w:t>520910</w:t>
            </w:r>
          </w:p>
        </w:tc>
        <w:tc>
          <w:tcPr>
            <w:tcW w:w="2432" w:type="dxa"/>
            <w:shd w:val="clear" w:color="auto" w:fill="auto"/>
            <w:vAlign w:val="center"/>
          </w:tcPr>
          <w:p w:rsidR="0088609C" w:rsidRDefault="00240F69">
            <w:r>
              <w:t>华夏中证港股通互联网交易型开放式指数证券投资基金</w:t>
            </w:r>
          </w:p>
        </w:tc>
        <w:tc>
          <w:tcPr>
            <w:tcW w:w="1603" w:type="dxa"/>
            <w:shd w:val="clear" w:color="auto" w:fill="auto"/>
            <w:vAlign w:val="center"/>
          </w:tcPr>
          <w:p w:rsidR="0088609C" w:rsidRDefault="00240F69">
            <w:r>
              <w:t>HK</w:t>
            </w:r>
            <w:r>
              <w:t>互联</w:t>
            </w:r>
          </w:p>
        </w:tc>
        <w:tc>
          <w:tcPr>
            <w:tcW w:w="1878" w:type="dxa"/>
            <w:vAlign w:val="center"/>
          </w:tcPr>
          <w:p w:rsidR="0088609C" w:rsidRDefault="00240F69">
            <w:r>
              <w:t>港股通互联网</w:t>
            </w:r>
            <w:r>
              <w:t>ETF</w:t>
            </w:r>
            <w:r>
              <w:t>华夏</w:t>
            </w:r>
          </w:p>
        </w:tc>
        <w:tc>
          <w:tcPr>
            <w:tcW w:w="1932" w:type="dxa"/>
            <w:shd w:val="clear" w:color="auto" w:fill="auto"/>
            <w:vAlign w:val="center"/>
          </w:tcPr>
          <w:p w:rsidR="0088609C" w:rsidRDefault="00240F69">
            <w:r>
              <w:t>东吴证券股份有限公司</w:t>
            </w:r>
          </w:p>
        </w:tc>
      </w:tr>
      <w:tr w:rsidR="0088609C">
        <w:trPr>
          <w:jc w:val="center"/>
        </w:trPr>
        <w:tc>
          <w:tcPr>
            <w:tcW w:w="1101" w:type="dxa"/>
            <w:vAlign w:val="center"/>
          </w:tcPr>
          <w:p w:rsidR="0088609C" w:rsidRDefault="00240F69">
            <w:pPr>
              <w:jc w:val="center"/>
            </w:pPr>
            <w:r>
              <w:t>588170</w:t>
            </w:r>
          </w:p>
        </w:tc>
        <w:tc>
          <w:tcPr>
            <w:tcW w:w="2432" w:type="dxa"/>
          </w:tcPr>
          <w:p w:rsidR="0088609C" w:rsidRDefault="00240F69">
            <w:r>
              <w:t>华夏上证科创板半导体材料设备主题交易型开放式指数证券投资基金</w:t>
            </w:r>
          </w:p>
        </w:tc>
        <w:tc>
          <w:tcPr>
            <w:tcW w:w="1603" w:type="dxa"/>
            <w:vAlign w:val="center"/>
          </w:tcPr>
          <w:p w:rsidR="0088609C" w:rsidRDefault="00240F69">
            <w:r>
              <w:t>科创半导</w:t>
            </w:r>
          </w:p>
        </w:tc>
        <w:tc>
          <w:tcPr>
            <w:tcW w:w="1878" w:type="dxa"/>
            <w:vAlign w:val="center"/>
          </w:tcPr>
          <w:p w:rsidR="0088609C" w:rsidRDefault="00240F69">
            <w:r>
              <w:t>科创半导体</w:t>
            </w:r>
            <w:r>
              <w:t>ETF</w:t>
            </w:r>
            <w:r>
              <w:t>华夏</w:t>
            </w:r>
          </w:p>
        </w:tc>
        <w:tc>
          <w:tcPr>
            <w:tcW w:w="1932" w:type="dxa"/>
            <w:vAlign w:val="center"/>
          </w:tcPr>
          <w:p w:rsidR="0088609C" w:rsidRDefault="00240F69">
            <w:r>
              <w:t>东吴证券股份有限公司</w:t>
            </w:r>
          </w:p>
        </w:tc>
      </w:tr>
      <w:tr w:rsidR="0088609C">
        <w:trPr>
          <w:jc w:val="center"/>
        </w:trPr>
        <w:tc>
          <w:tcPr>
            <w:tcW w:w="1101" w:type="dxa"/>
            <w:vAlign w:val="center"/>
          </w:tcPr>
          <w:p w:rsidR="0088609C" w:rsidRDefault="00240F69">
            <w:pPr>
              <w:jc w:val="center"/>
            </w:pPr>
            <w:r>
              <w:t>589550</w:t>
            </w:r>
          </w:p>
        </w:tc>
        <w:tc>
          <w:tcPr>
            <w:tcW w:w="2432" w:type="dxa"/>
          </w:tcPr>
          <w:p w:rsidR="0088609C" w:rsidRDefault="00240F69">
            <w:r>
              <w:t>华夏上证智选科创板价值</w:t>
            </w:r>
            <w:r>
              <w:t>50</w:t>
            </w:r>
            <w:r>
              <w:t>策略交易型开放式指数证券投资基金</w:t>
            </w:r>
          </w:p>
        </w:tc>
        <w:tc>
          <w:tcPr>
            <w:tcW w:w="1603" w:type="dxa"/>
            <w:vAlign w:val="center"/>
          </w:tcPr>
          <w:p w:rsidR="0088609C" w:rsidRDefault="00240F69">
            <w:r>
              <w:t>KC</w:t>
            </w:r>
            <w:r>
              <w:t>价值</w:t>
            </w:r>
          </w:p>
        </w:tc>
        <w:tc>
          <w:tcPr>
            <w:tcW w:w="1878" w:type="dxa"/>
            <w:vAlign w:val="center"/>
          </w:tcPr>
          <w:p w:rsidR="0088609C" w:rsidRDefault="00240F69">
            <w:r>
              <w:t>科创价值</w:t>
            </w:r>
            <w:r>
              <w:t>ETF</w:t>
            </w:r>
            <w:r>
              <w:t>华夏</w:t>
            </w:r>
          </w:p>
        </w:tc>
        <w:tc>
          <w:tcPr>
            <w:tcW w:w="1932" w:type="dxa"/>
            <w:vAlign w:val="center"/>
          </w:tcPr>
          <w:p w:rsidR="0088609C" w:rsidRDefault="00240F69">
            <w:r>
              <w:t>华鑫证券有限责任公司</w:t>
            </w:r>
          </w:p>
        </w:tc>
      </w:tr>
      <w:tr w:rsidR="0088609C">
        <w:trPr>
          <w:jc w:val="center"/>
        </w:trPr>
        <w:tc>
          <w:tcPr>
            <w:tcW w:w="1101" w:type="dxa"/>
            <w:vAlign w:val="center"/>
          </w:tcPr>
          <w:p w:rsidR="0088609C" w:rsidRDefault="00240F69">
            <w:pPr>
              <w:jc w:val="center"/>
            </w:pPr>
            <w:r>
              <w:t>588820</w:t>
            </w:r>
          </w:p>
        </w:tc>
        <w:tc>
          <w:tcPr>
            <w:tcW w:w="2432" w:type="dxa"/>
          </w:tcPr>
          <w:p w:rsidR="0088609C" w:rsidRDefault="00240F69">
            <w:r>
              <w:t>华夏上证科创板</w:t>
            </w:r>
            <w:r>
              <w:t>200</w:t>
            </w:r>
            <w:r>
              <w:t>交易型开放式指数证券投资基金</w:t>
            </w:r>
          </w:p>
        </w:tc>
        <w:tc>
          <w:tcPr>
            <w:tcW w:w="1603" w:type="dxa"/>
            <w:vAlign w:val="center"/>
          </w:tcPr>
          <w:p w:rsidR="0088609C" w:rsidRDefault="00240F69">
            <w:r>
              <w:t>科创</w:t>
            </w:r>
            <w:r>
              <w:t>200E</w:t>
            </w:r>
          </w:p>
        </w:tc>
        <w:tc>
          <w:tcPr>
            <w:tcW w:w="1878" w:type="dxa"/>
            <w:vAlign w:val="center"/>
          </w:tcPr>
          <w:p w:rsidR="0088609C" w:rsidRDefault="00240F69">
            <w:r>
              <w:t>科创</w:t>
            </w:r>
            <w:r>
              <w:t>200ETF</w:t>
            </w:r>
            <w:r>
              <w:t>华夏</w:t>
            </w:r>
          </w:p>
        </w:tc>
        <w:tc>
          <w:tcPr>
            <w:tcW w:w="1932" w:type="dxa"/>
            <w:vAlign w:val="center"/>
          </w:tcPr>
          <w:p w:rsidR="0088609C" w:rsidRDefault="00240F69">
            <w:r>
              <w:t>华鑫证券有限责任公司</w:t>
            </w:r>
          </w:p>
        </w:tc>
      </w:tr>
      <w:tr w:rsidR="0088609C">
        <w:trPr>
          <w:jc w:val="center"/>
        </w:trPr>
        <w:tc>
          <w:tcPr>
            <w:tcW w:w="1101" w:type="dxa"/>
            <w:vAlign w:val="center"/>
          </w:tcPr>
          <w:p w:rsidR="0088609C" w:rsidRDefault="00240F69">
            <w:pPr>
              <w:jc w:val="center"/>
            </w:pPr>
            <w:r>
              <w:t>588130</w:t>
            </w:r>
          </w:p>
        </w:tc>
        <w:tc>
          <w:tcPr>
            <w:tcW w:w="2432" w:type="dxa"/>
          </w:tcPr>
          <w:p w:rsidR="0088609C" w:rsidRDefault="00240F69">
            <w:r>
              <w:t>华夏上证科创板生物医药交易型开放式指数证券投资基金</w:t>
            </w:r>
          </w:p>
        </w:tc>
        <w:tc>
          <w:tcPr>
            <w:tcW w:w="1603" w:type="dxa"/>
            <w:vAlign w:val="center"/>
          </w:tcPr>
          <w:p w:rsidR="0088609C" w:rsidRDefault="00240F69">
            <w:r>
              <w:t>科创药</w:t>
            </w:r>
          </w:p>
        </w:tc>
        <w:tc>
          <w:tcPr>
            <w:tcW w:w="1878" w:type="dxa"/>
            <w:vAlign w:val="center"/>
          </w:tcPr>
          <w:p w:rsidR="0088609C" w:rsidRDefault="00240F69">
            <w:r>
              <w:t>科创医药</w:t>
            </w:r>
            <w:r>
              <w:t>ETF</w:t>
            </w:r>
            <w:r>
              <w:t>华夏</w:t>
            </w:r>
          </w:p>
        </w:tc>
        <w:tc>
          <w:tcPr>
            <w:tcW w:w="1932" w:type="dxa"/>
            <w:vAlign w:val="center"/>
          </w:tcPr>
          <w:p w:rsidR="0088609C" w:rsidRDefault="00240F69">
            <w:r>
              <w:t>华鑫证券有限责任公司</w:t>
            </w:r>
          </w:p>
        </w:tc>
      </w:tr>
      <w:tr w:rsidR="0088609C">
        <w:trPr>
          <w:jc w:val="center"/>
        </w:trPr>
        <w:tc>
          <w:tcPr>
            <w:tcW w:w="1101" w:type="dxa"/>
            <w:vAlign w:val="center"/>
          </w:tcPr>
          <w:p w:rsidR="0088609C" w:rsidRDefault="00240F69">
            <w:pPr>
              <w:jc w:val="center"/>
            </w:pPr>
            <w:r>
              <w:t>551550</w:t>
            </w:r>
          </w:p>
        </w:tc>
        <w:tc>
          <w:tcPr>
            <w:tcW w:w="2432" w:type="dxa"/>
          </w:tcPr>
          <w:p w:rsidR="0088609C" w:rsidRDefault="00240F69">
            <w:r>
              <w:t>华夏中证</w:t>
            </w:r>
            <w:r>
              <w:t>AAA</w:t>
            </w:r>
            <w:r>
              <w:t>科技创新公司债交易型开放式指数证券投资基金</w:t>
            </w:r>
          </w:p>
        </w:tc>
        <w:tc>
          <w:tcPr>
            <w:tcW w:w="1603" w:type="dxa"/>
            <w:vAlign w:val="center"/>
          </w:tcPr>
          <w:p w:rsidR="0088609C" w:rsidRDefault="00240F69">
            <w:r>
              <w:t>科创</w:t>
            </w:r>
            <w:r>
              <w:t>AAA</w:t>
            </w:r>
          </w:p>
        </w:tc>
        <w:tc>
          <w:tcPr>
            <w:tcW w:w="1878" w:type="dxa"/>
            <w:vAlign w:val="center"/>
          </w:tcPr>
          <w:p w:rsidR="0088609C" w:rsidRDefault="00240F69">
            <w:r>
              <w:t>科创债</w:t>
            </w:r>
            <w:r>
              <w:t>ETF</w:t>
            </w:r>
            <w:r>
              <w:t>华夏</w:t>
            </w:r>
          </w:p>
        </w:tc>
        <w:tc>
          <w:tcPr>
            <w:tcW w:w="1932" w:type="dxa"/>
            <w:vAlign w:val="center"/>
          </w:tcPr>
          <w:p w:rsidR="0088609C" w:rsidRDefault="00240F69">
            <w:r>
              <w:t>华鑫证券有限责任公司</w:t>
            </w:r>
          </w:p>
        </w:tc>
      </w:tr>
      <w:tr w:rsidR="0088609C">
        <w:trPr>
          <w:jc w:val="center"/>
        </w:trPr>
        <w:tc>
          <w:tcPr>
            <w:tcW w:w="1101" w:type="dxa"/>
            <w:vAlign w:val="center"/>
          </w:tcPr>
          <w:p w:rsidR="0088609C" w:rsidRDefault="00240F69">
            <w:pPr>
              <w:jc w:val="center"/>
            </w:pPr>
            <w:r>
              <w:t>520510</w:t>
            </w:r>
          </w:p>
        </w:tc>
        <w:tc>
          <w:tcPr>
            <w:tcW w:w="2432" w:type="dxa"/>
          </w:tcPr>
          <w:p w:rsidR="0088609C" w:rsidRDefault="00240F69">
            <w:r>
              <w:t>华夏中证港股通医疗主题交易型开放式指数证券投资基金</w:t>
            </w:r>
          </w:p>
        </w:tc>
        <w:tc>
          <w:tcPr>
            <w:tcW w:w="1603" w:type="dxa"/>
            <w:vAlign w:val="center"/>
          </w:tcPr>
          <w:p w:rsidR="0088609C" w:rsidRDefault="00240F69">
            <w:r>
              <w:t>港股医疗</w:t>
            </w:r>
          </w:p>
        </w:tc>
        <w:tc>
          <w:tcPr>
            <w:tcW w:w="1878" w:type="dxa"/>
            <w:vAlign w:val="center"/>
          </w:tcPr>
          <w:p w:rsidR="0088609C" w:rsidRDefault="00240F69">
            <w:r>
              <w:t>港股通医疗</w:t>
            </w:r>
            <w:r>
              <w:t>ETF</w:t>
            </w:r>
            <w:r>
              <w:t>华夏</w:t>
            </w:r>
          </w:p>
        </w:tc>
        <w:tc>
          <w:tcPr>
            <w:tcW w:w="1932" w:type="dxa"/>
            <w:vAlign w:val="center"/>
          </w:tcPr>
          <w:p w:rsidR="0088609C" w:rsidRDefault="00240F69">
            <w:r>
              <w:t>华鑫证券有限责任公司</w:t>
            </w:r>
          </w:p>
        </w:tc>
      </w:tr>
      <w:tr w:rsidR="0088609C">
        <w:trPr>
          <w:jc w:val="center"/>
        </w:trPr>
        <w:tc>
          <w:tcPr>
            <w:tcW w:w="1101" w:type="dxa"/>
            <w:vAlign w:val="center"/>
          </w:tcPr>
          <w:p w:rsidR="0088609C" w:rsidRDefault="00240F69">
            <w:pPr>
              <w:jc w:val="center"/>
            </w:pPr>
            <w:r>
              <w:t>515970</w:t>
            </w:r>
          </w:p>
        </w:tc>
        <w:tc>
          <w:tcPr>
            <w:tcW w:w="2432" w:type="dxa"/>
          </w:tcPr>
          <w:p w:rsidR="0088609C" w:rsidRDefault="00240F69">
            <w:r>
              <w:t>华夏中证工程机械主题交易型开放式指数证券投资基金</w:t>
            </w:r>
          </w:p>
        </w:tc>
        <w:tc>
          <w:tcPr>
            <w:tcW w:w="1603" w:type="dxa"/>
            <w:vAlign w:val="center"/>
          </w:tcPr>
          <w:p w:rsidR="0088609C" w:rsidRDefault="00240F69">
            <w:r>
              <w:t>华夏机械</w:t>
            </w:r>
          </w:p>
        </w:tc>
        <w:tc>
          <w:tcPr>
            <w:tcW w:w="1878" w:type="dxa"/>
            <w:vAlign w:val="center"/>
          </w:tcPr>
          <w:p w:rsidR="0088609C" w:rsidRDefault="00240F69">
            <w:r>
              <w:t>工程机械</w:t>
            </w:r>
            <w:r>
              <w:t>ETF</w:t>
            </w:r>
            <w:r>
              <w:t>华夏</w:t>
            </w:r>
          </w:p>
        </w:tc>
        <w:tc>
          <w:tcPr>
            <w:tcW w:w="1932" w:type="dxa"/>
            <w:vAlign w:val="center"/>
          </w:tcPr>
          <w:p w:rsidR="0088609C" w:rsidRDefault="00240F69">
            <w:r>
              <w:t>华鑫证券有限责任公司</w:t>
            </w:r>
          </w:p>
        </w:tc>
      </w:tr>
      <w:tr w:rsidR="0088609C">
        <w:trPr>
          <w:jc w:val="center"/>
        </w:trPr>
        <w:tc>
          <w:tcPr>
            <w:tcW w:w="1101" w:type="dxa"/>
            <w:vAlign w:val="center"/>
          </w:tcPr>
          <w:p w:rsidR="0088609C" w:rsidRDefault="00240F69">
            <w:pPr>
              <w:jc w:val="center"/>
            </w:pPr>
            <w:r>
              <w:t>515370</w:t>
            </w:r>
          </w:p>
        </w:tc>
        <w:tc>
          <w:tcPr>
            <w:tcW w:w="2432" w:type="dxa"/>
          </w:tcPr>
          <w:p w:rsidR="0088609C" w:rsidRDefault="00240F69">
            <w:r>
              <w:t>华夏中证光伏产业交易型开放式指数证券投资基金</w:t>
            </w:r>
          </w:p>
        </w:tc>
        <w:tc>
          <w:tcPr>
            <w:tcW w:w="1603" w:type="dxa"/>
            <w:vAlign w:val="center"/>
          </w:tcPr>
          <w:p w:rsidR="0088609C" w:rsidRDefault="00240F69">
            <w:r>
              <w:t>中证光伏</w:t>
            </w:r>
          </w:p>
        </w:tc>
        <w:tc>
          <w:tcPr>
            <w:tcW w:w="1878" w:type="dxa"/>
            <w:vAlign w:val="center"/>
          </w:tcPr>
          <w:p w:rsidR="0088609C" w:rsidRDefault="00240F69">
            <w:r>
              <w:t>光伏</w:t>
            </w:r>
            <w:r>
              <w:t>ETF</w:t>
            </w:r>
            <w:r>
              <w:t>华夏</w:t>
            </w:r>
          </w:p>
        </w:tc>
        <w:tc>
          <w:tcPr>
            <w:tcW w:w="1932" w:type="dxa"/>
            <w:vAlign w:val="center"/>
          </w:tcPr>
          <w:p w:rsidR="0088609C" w:rsidRDefault="00240F69">
            <w:r>
              <w:t>华鑫证券有限责任公司</w:t>
            </w:r>
          </w:p>
        </w:tc>
      </w:tr>
    </w:tbl>
    <w:p w:rsidR="00D440BE" w:rsidRPr="00005359" w:rsidRDefault="00D440BE" w:rsidP="00216EF1">
      <w:pPr>
        <w:spacing w:line="360" w:lineRule="auto"/>
        <w:ind w:firstLineChars="200" w:firstLine="480"/>
        <w:jc w:val="left"/>
        <w:outlineLvl w:val="0"/>
        <w:rPr>
          <w:rStyle w:val="c1"/>
          <w:color w:val="auto"/>
          <w:sz w:val="24"/>
          <w:szCs w:val="24"/>
        </w:rPr>
      </w:pPr>
      <w:r w:rsidRPr="00005359">
        <w:rPr>
          <w:rStyle w:val="c1"/>
          <w:rFonts w:hAnsi="宋体" w:hint="eastAsia"/>
          <w:color w:val="auto"/>
          <w:sz w:val="24"/>
          <w:szCs w:val="24"/>
        </w:rPr>
        <w:t>投资者可自</w:t>
      </w:r>
      <w:r w:rsidR="00CC4B9C">
        <w:rPr>
          <w:rStyle w:val="c1"/>
          <w:color w:val="auto"/>
          <w:sz w:val="24"/>
          <w:szCs w:val="24"/>
        </w:rPr>
        <w:t>2026</w:t>
      </w:r>
      <w:r w:rsidR="00CC4B9C">
        <w:rPr>
          <w:rStyle w:val="c1"/>
          <w:color w:val="auto"/>
          <w:sz w:val="24"/>
          <w:szCs w:val="24"/>
        </w:rPr>
        <w:t>年</w:t>
      </w:r>
      <w:r w:rsidR="00CC4B9C">
        <w:rPr>
          <w:rStyle w:val="c1"/>
          <w:color w:val="auto"/>
          <w:sz w:val="24"/>
          <w:szCs w:val="24"/>
        </w:rPr>
        <w:t>4</w:t>
      </w:r>
      <w:r w:rsidR="00CC4B9C">
        <w:rPr>
          <w:rStyle w:val="c1"/>
          <w:color w:val="auto"/>
          <w:sz w:val="24"/>
          <w:szCs w:val="24"/>
        </w:rPr>
        <w:t>月</w:t>
      </w:r>
      <w:r w:rsidR="00CC4B9C">
        <w:rPr>
          <w:rStyle w:val="c1"/>
          <w:color w:val="auto"/>
          <w:sz w:val="24"/>
          <w:szCs w:val="24"/>
        </w:rPr>
        <w:t>2</w:t>
      </w:r>
      <w:r w:rsidR="00CC4B9C">
        <w:rPr>
          <w:rStyle w:val="c1"/>
          <w:color w:val="auto"/>
          <w:sz w:val="24"/>
          <w:szCs w:val="24"/>
        </w:rPr>
        <w:t>日</w:t>
      </w:r>
      <w:r w:rsidRPr="00005359">
        <w:rPr>
          <w:rStyle w:val="c1"/>
          <w:rFonts w:hAnsi="宋体" w:hint="eastAsia"/>
          <w:color w:val="auto"/>
          <w:sz w:val="24"/>
          <w:szCs w:val="24"/>
        </w:rPr>
        <w:t>起在上述</w:t>
      </w:r>
      <w:r w:rsidR="00A6274B">
        <w:rPr>
          <w:rStyle w:val="c1"/>
          <w:rFonts w:hAnsi="宋体" w:hint="eastAsia"/>
          <w:color w:val="auto"/>
          <w:sz w:val="24"/>
          <w:szCs w:val="24"/>
        </w:rPr>
        <w:t>销售机构</w:t>
      </w:r>
      <w:r w:rsidR="00EA7CF7">
        <w:rPr>
          <w:rStyle w:val="c1"/>
          <w:rFonts w:ascii="宋体" w:hAnsi="宋体" w:hint="eastAsia"/>
          <w:color w:val="auto"/>
          <w:sz w:val="24"/>
          <w:szCs w:val="24"/>
        </w:rPr>
        <w:t>办理对应基金的申购、赎回等业务</w:t>
      </w:r>
      <w:r w:rsidR="00A0600C">
        <w:rPr>
          <w:rStyle w:val="c1"/>
          <w:rFonts w:ascii="宋体" w:hAnsi="宋体" w:hint="eastAsia"/>
          <w:color w:val="auto"/>
          <w:sz w:val="24"/>
          <w:szCs w:val="24"/>
        </w:rPr>
        <w:t>。投资者在销售机构办理</w:t>
      </w:r>
      <w:r w:rsidR="007B09C1">
        <w:rPr>
          <w:rStyle w:val="c1"/>
          <w:rFonts w:ascii="宋体" w:hAnsi="宋体" w:hint="eastAsia"/>
          <w:color w:val="auto"/>
          <w:sz w:val="24"/>
          <w:szCs w:val="24"/>
        </w:rPr>
        <w:t>基金</w:t>
      </w:r>
      <w:r w:rsidR="00A0600C">
        <w:rPr>
          <w:rStyle w:val="c1"/>
          <w:rFonts w:ascii="宋体" w:hAnsi="宋体" w:hint="eastAsia"/>
          <w:color w:val="auto"/>
          <w:sz w:val="24"/>
          <w:szCs w:val="24"/>
        </w:rPr>
        <w:t>申购赎回等业务的</w:t>
      </w:r>
      <w:r w:rsidR="00124CAF">
        <w:rPr>
          <w:rStyle w:val="c1"/>
          <w:color w:val="auto"/>
          <w:sz w:val="24"/>
          <w:szCs w:val="24"/>
        </w:rPr>
        <w:t>具体流程、规则等以各销售机构的规定为准，</w:t>
      </w:r>
      <w:r w:rsidRPr="00005359">
        <w:rPr>
          <w:rStyle w:val="c1"/>
          <w:color w:val="auto"/>
          <w:sz w:val="24"/>
          <w:szCs w:val="24"/>
        </w:rPr>
        <w:t>销售机构的业务办理状况亦</w:t>
      </w:r>
      <w:r w:rsidR="00A822F2">
        <w:rPr>
          <w:rStyle w:val="c1"/>
          <w:rFonts w:hint="eastAsia"/>
          <w:color w:val="auto"/>
          <w:sz w:val="24"/>
          <w:szCs w:val="24"/>
        </w:rPr>
        <w:t>请</w:t>
      </w:r>
      <w:r w:rsidRPr="00005359">
        <w:rPr>
          <w:rStyle w:val="c1"/>
          <w:color w:val="auto"/>
          <w:sz w:val="24"/>
          <w:szCs w:val="24"/>
        </w:rPr>
        <w:t>遵循其</w:t>
      </w:r>
      <w:r w:rsidR="00E70BD6">
        <w:rPr>
          <w:rStyle w:val="c1"/>
          <w:color w:val="auto"/>
          <w:sz w:val="24"/>
          <w:szCs w:val="24"/>
        </w:rPr>
        <w:t>各自</w:t>
      </w:r>
      <w:r w:rsidRPr="00005359">
        <w:rPr>
          <w:rStyle w:val="c1"/>
          <w:color w:val="auto"/>
          <w:sz w:val="24"/>
          <w:szCs w:val="24"/>
        </w:rPr>
        <w:t>规定执行。</w:t>
      </w:r>
    </w:p>
    <w:p w:rsidR="007577A2" w:rsidRPr="00005359" w:rsidRDefault="004B62DD" w:rsidP="00216EF1">
      <w:pPr>
        <w:spacing w:line="360" w:lineRule="auto"/>
        <w:ind w:firstLineChars="200" w:firstLine="480"/>
        <w:jc w:val="left"/>
        <w:outlineLvl w:val="0"/>
        <w:rPr>
          <w:rStyle w:val="c1"/>
          <w:rFonts w:hAnsi="宋体"/>
          <w:color w:val="auto"/>
          <w:sz w:val="24"/>
          <w:szCs w:val="24"/>
        </w:rPr>
      </w:pPr>
      <w:r w:rsidRPr="00005359">
        <w:rPr>
          <w:rStyle w:val="c1"/>
          <w:rFonts w:hAnsi="宋体" w:hint="eastAsia"/>
          <w:color w:val="auto"/>
          <w:kern w:val="0"/>
          <w:sz w:val="24"/>
          <w:szCs w:val="24"/>
        </w:rPr>
        <w:lastRenderedPageBreak/>
        <w:t>二</w:t>
      </w:r>
      <w:r w:rsidRPr="00005359">
        <w:rPr>
          <w:rStyle w:val="c1"/>
          <w:rFonts w:hAnsi="宋体"/>
          <w:color w:val="auto"/>
          <w:kern w:val="0"/>
          <w:sz w:val="24"/>
          <w:szCs w:val="24"/>
        </w:rPr>
        <w:t>、</w:t>
      </w:r>
      <w:r w:rsidR="009579E8" w:rsidRPr="00871C74">
        <w:rPr>
          <w:color w:val="000000"/>
          <w:sz w:val="24"/>
        </w:rPr>
        <w:t>咨询渠道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977"/>
        <w:gridCol w:w="3135"/>
        <w:gridCol w:w="2442"/>
      </w:tblGrid>
      <w:tr w:rsidR="002971BF" w:rsidTr="002971BF">
        <w:tc>
          <w:tcPr>
            <w:tcW w:w="1883" w:type="pct"/>
            <w:gridSpan w:val="2"/>
            <w:shd w:val="clear" w:color="auto" w:fill="auto"/>
            <w:vAlign w:val="center"/>
          </w:tcPr>
          <w:p w:rsidR="002971BF" w:rsidRPr="00476B5C" w:rsidRDefault="002971BF" w:rsidP="00476B5C">
            <w:pPr>
              <w:spacing w:line="360" w:lineRule="auto"/>
              <w:jc w:val="center"/>
              <w:outlineLvl w:val="0"/>
              <w:rPr>
                <w:rFonts w:hAnsi="宋体"/>
                <w:b/>
                <w:bCs/>
                <w:kern w:val="0"/>
                <w:szCs w:val="21"/>
              </w:rPr>
            </w:pPr>
            <w:r w:rsidRPr="00476B5C">
              <w:rPr>
                <w:rFonts w:hAnsi="宋体"/>
                <w:b/>
                <w:bCs/>
                <w:kern w:val="0"/>
                <w:szCs w:val="21"/>
              </w:rPr>
              <w:t>销售机构名称</w:t>
            </w:r>
          </w:p>
        </w:tc>
        <w:tc>
          <w:tcPr>
            <w:tcW w:w="1752" w:type="pct"/>
            <w:shd w:val="clear" w:color="auto" w:fill="auto"/>
            <w:vAlign w:val="center"/>
          </w:tcPr>
          <w:p w:rsidR="002971BF" w:rsidRPr="00476B5C" w:rsidRDefault="002971BF" w:rsidP="00476B5C">
            <w:pPr>
              <w:spacing w:line="360" w:lineRule="auto"/>
              <w:jc w:val="center"/>
              <w:outlineLvl w:val="0"/>
              <w:rPr>
                <w:rFonts w:hAnsi="宋体"/>
                <w:kern w:val="0"/>
                <w:sz w:val="24"/>
              </w:rPr>
            </w:pPr>
            <w:r w:rsidRPr="00476B5C">
              <w:rPr>
                <w:rFonts w:hAnsi="宋体"/>
                <w:b/>
                <w:bCs/>
                <w:kern w:val="0"/>
                <w:szCs w:val="21"/>
              </w:rPr>
              <w:t>网址</w:t>
            </w:r>
          </w:p>
        </w:tc>
        <w:tc>
          <w:tcPr>
            <w:tcW w:w="1365" w:type="pct"/>
            <w:shd w:val="clear" w:color="auto" w:fill="auto"/>
            <w:vAlign w:val="center"/>
          </w:tcPr>
          <w:p w:rsidR="002971BF" w:rsidRPr="00476B5C" w:rsidRDefault="002971BF" w:rsidP="00476B5C">
            <w:pPr>
              <w:spacing w:line="360" w:lineRule="auto"/>
              <w:jc w:val="center"/>
              <w:outlineLvl w:val="0"/>
              <w:rPr>
                <w:rFonts w:hAnsi="宋体"/>
                <w:kern w:val="0"/>
                <w:sz w:val="24"/>
              </w:rPr>
            </w:pPr>
            <w:r w:rsidRPr="00476B5C">
              <w:rPr>
                <w:rFonts w:hAnsi="宋体"/>
                <w:b/>
                <w:bCs/>
                <w:kern w:val="0"/>
                <w:szCs w:val="21"/>
              </w:rPr>
              <w:t>客户服务电话</w:t>
            </w:r>
          </w:p>
        </w:tc>
      </w:tr>
      <w:tr w:rsidR="002971BF" w:rsidTr="002971BF">
        <w:tc>
          <w:tcPr>
            <w:tcW w:w="219" w:type="pct"/>
            <w:shd w:val="clear" w:color="auto" w:fill="auto"/>
            <w:vAlign w:val="center"/>
          </w:tcPr>
          <w:p w:rsidR="0088609C" w:rsidRDefault="00240F69">
            <w:r>
              <w:t>1</w:t>
            </w:r>
          </w:p>
        </w:tc>
        <w:tc>
          <w:tcPr>
            <w:tcW w:w="1664" w:type="pct"/>
          </w:tcPr>
          <w:p w:rsidR="0088609C" w:rsidRDefault="00240F69">
            <w:r>
              <w:t>东吴证券股份有限公司</w:t>
            </w:r>
          </w:p>
        </w:tc>
        <w:tc>
          <w:tcPr>
            <w:tcW w:w="1752" w:type="pct"/>
            <w:shd w:val="clear" w:color="auto" w:fill="auto"/>
            <w:vAlign w:val="center"/>
          </w:tcPr>
          <w:p w:rsidR="0088609C" w:rsidRDefault="00240F69">
            <w:r>
              <w:t>www.dwzq.com.cn</w:t>
            </w:r>
          </w:p>
        </w:tc>
        <w:tc>
          <w:tcPr>
            <w:tcW w:w="1365" w:type="pct"/>
            <w:shd w:val="clear" w:color="auto" w:fill="auto"/>
            <w:vAlign w:val="center"/>
          </w:tcPr>
          <w:p w:rsidR="0088609C" w:rsidRDefault="00240F69">
            <w:r>
              <w:t>95330</w:t>
            </w:r>
          </w:p>
        </w:tc>
      </w:tr>
      <w:tr w:rsidR="0088609C">
        <w:tc>
          <w:tcPr>
            <w:tcW w:w="392" w:type="dxa"/>
          </w:tcPr>
          <w:p w:rsidR="0088609C" w:rsidRDefault="00240F69">
            <w:r>
              <w:t>2</w:t>
            </w:r>
          </w:p>
        </w:tc>
        <w:tc>
          <w:tcPr>
            <w:tcW w:w="2977" w:type="dxa"/>
          </w:tcPr>
          <w:p w:rsidR="0088609C" w:rsidRDefault="00240F69">
            <w:r>
              <w:t>华鑫证券有限责任公司</w:t>
            </w:r>
          </w:p>
        </w:tc>
        <w:tc>
          <w:tcPr>
            <w:tcW w:w="3135" w:type="dxa"/>
          </w:tcPr>
          <w:p w:rsidR="0088609C" w:rsidRDefault="00240F69">
            <w:r>
              <w:t>www.cfsc.com.cn</w:t>
            </w:r>
          </w:p>
        </w:tc>
        <w:tc>
          <w:tcPr>
            <w:tcW w:w="2442" w:type="dxa"/>
          </w:tcPr>
          <w:p w:rsidR="0088609C" w:rsidRDefault="00240F69">
            <w:r>
              <w:t>95323</w:t>
            </w:r>
            <w:r>
              <w:t>、</w:t>
            </w:r>
            <w:r>
              <w:t>400-109-9918</w:t>
            </w:r>
          </w:p>
        </w:tc>
      </w:tr>
    </w:tbl>
    <w:p w:rsidR="00A1106D" w:rsidRDefault="00A1106D" w:rsidP="00A1106D">
      <w:pPr>
        <w:spacing w:line="360" w:lineRule="auto"/>
        <w:ind w:firstLineChars="200" w:firstLine="480"/>
        <w:outlineLvl w:val="0"/>
        <w:rPr>
          <w:rFonts w:hAnsi="宋体"/>
          <w:sz w:val="24"/>
        </w:rPr>
      </w:pPr>
      <w:r w:rsidRPr="00755C67">
        <w:rPr>
          <w:rFonts w:hAnsi="宋体" w:hint="eastAsia"/>
          <w:sz w:val="24"/>
        </w:rPr>
        <w:t>投资者可拨打本公司客户服务电话（</w:t>
      </w:r>
      <w:r w:rsidRPr="00755C67">
        <w:rPr>
          <w:rFonts w:hAnsi="宋体" w:hint="eastAsia"/>
          <w:sz w:val="24"/>
        </w:rPr>
        <w:t>400-818-6666</w:t>
      </w:r>
      <w:r w:rsidRPr="00755C67">
        <w:rPr>
          <w:rFonts w:hAnsi="宋体" w:hint="eastAsia"/>
          <w:sz w:val="24"/>
        </w:rPr>
        <w:t>）或登录本公司网站（</w:t>
      </w:r>
      <w:r w:rsidRPr="00755C67">
        <w:rPr>
          <w:rFonts w:hAnsi="宋体" w:hint="eastAsia"/>
          <w:sz w:val="24"/>
        </w:rPr>
        <w:t>www.ChinaAMC.com</w:t>
      </w:r>
      <w:r w:rsidRPr="00755C67">
        <w:rPr>
          <w:rFonts w:hAnsi="宋体" w:hint="eastAsia"/>
          <w:sz w:val="24"/>
        </w:rPr>
        <w:t>）了解相关信息。</w:t>
      </w:r>
    </w:p>
    <w:p w:rsidR="00444E30" w:rsidRDefault="00444E30" w:rsidP="00216EF1">
      <w:pPr>
        <w:spacing w:line="360" w:lineRule="auto"/>
        <w:ind w:firstLineChars="200" w:firstLine="480"/>
        <w:jc w:val="left"/>
        <w:outlineLvl w:val="0"/>
        <w:rPr>
          <w:rStyle w:val="c1"/>
          <w:rFonts w:hAnsi="宋体"/>
          <w:color w:val="auto"/>
          <w:kern w:val="0"/>
          <w:sz w:val="24"/>
          <w:szCs w:val="24"/>
        </w:rPr>
      </w:pPr>
      <w:r>
        <w:rPr>
          <w:rFonts w:ascii="宋体" w:cs="宋体" w:hint="eastAsia"/>
          <w:kern w:val="0"/>
          <w:sz w:val="24"/>
        </w:rPr>
        <w:t>上述基金的申购赎回代办证券公司可通过本公司网站进行查询。</w:t>
      </w:r>
    </w:p>
    <w:p w:rsidR="00ED4403" w:rsidRDefault="00ED4403" w:rsidP="00216EF1">
      <w:pPr>
        <w:spacing w:line="360" w:lineRule="auto"/>
        <w:ind w:firstLineChars="200" w:firstLine="480"/>
        <w:jc w:val="left"/>
        <w:outlineLvl w:val="0"/>
        <w:rPr>
          <w:rStyle w:val="c1"/>
          <w:rFonts w:hAnsi="宋体"/>
          <w:color w:val="auto"/>
          <w:kern w:val="0"/>
          <w:sz w:val="24"/>
          <w:szCs w:val="24"/>
        </w:rPr>
      </w:pPr>
      <w:r w:rsidRPr="00005359">
        <w:rPr>
          <w:rStyle w:val="c1"/>
          <w:rFonts w:hAnsi="宋体"/>
          <w:color w:val="auto"/>
          <w:kern w:val="0"/>
          <w:sz w:val="24"/>
          <w:szCs w:val="24"/>
        </w:rPr>
        <w:t>特此公告</w:t>
      </w:r>
    </w:p>
    <w:p w:rsidR="003B51FA" w:rsidRDefault="003B51FA" w:rsidP="00216EF1">
      <w:pPr>
        <w:spacing w:line="360" w:lineRule="auto"/>
        <w:ind w:firstLineChars="200" w:firstLine="480"/>
        <w:jc w:val="left"/>
        <w:outlineLvl w:val="0"/>
        <w:rPr>
          <w:rStyle w:val="c1"/>
          <w:rFonts w:hAnsi="宋体"/>
          <w:color w:val="auto"/>
          <w:kern w:val="0"/>
          <w:sz w:val="24"/>
          <w:szCs w:val="24"/>
        </w:rPr>
      </w:pPr>
    </w:p>
    <w:p w:rsidR="003B51FA" w:rsidRDefault="003B51FA" w:rsidP="00216EF1">
      <w:pPr>
        <w:spacing w:line="360" w:lineRule="auto"/>
        <w:ind w:firstLineChars="200" w:firstLine="480"/>
        <w:jc w:val="left"/>
        <w:outlineLvl w:val="0"/>
        <w:rPr>
          <w:rStyle w:val="c1"/>
          <w:rFonts w:hAnsi="宋体"/>
          <w:color w:val="auto"/>
          <w:kern w:val="0"/>
          <w:sz w:val="24"/>
          <w:szCs w:val="24"/>
        </w:rPr>
      </w:pPr>
    </w:p>
    <w:p w:rsidR="00ED4403" w:rsidRPr="00005359" w:rsidRDefault="00ED4403" w:rsidP="00ED4403">
      <w:pPr>
        <w:spacing w:line="360" w:lineRule="auto"/>
        <w:ind w:firstLineChars="200" w:firstLine="480"/>
        <w:jc w:val="right"/>
        <w:rPr>
          <w:sz w:val="24"/>
        </w:rPr>
      </w:pPr>
      <w:r w:rsidRPr="00005359">
        <w:rPr>
          <w:rFonts w:hAnsi="宋体"/>
          <w:sz w:val="24"/>
        </w:rPr>
        <w:t>华夏基金管理有限公司</w:t>
      </w:r>
    </w:p>
    <w:p w:rsidR="00AB318C" w:rsidRPr="006800D7" w:rsidRDefault="00CC4B9C" w:rsidP="007C740C">
      <w:pPr>
        <w:spacing w:line="360" w:lineRule="auto"/>
        <w:ind w:firstLineChars="200" w:firstLine="480"/>
        <w:jc w:val="right"/>
        <w:rPr>
          <w:rFonts w:hAnsi="宋体"/>
          <w:sz w:val="24"/>
        </w:rPr>
      </w:pPr>
      <w:r>
        <w:rPr>
          <w:rFonts w:hAnsi="宋体" w:hint="eastAsia"/>
          <w:sz w:val="24"/>
        </w:rPr>
        <w:t>二〇二六年四月二日</w:t>
      </w:r>
    </w:p>
    <w:sectPr w:rsidR="00AB318C" w:rsidRPr="006800D7" w:rsidSect="00A87F34">
      <w:head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3F3" w:rsidRDefault="00B363F3">
      <w:r>
        <w:separator/>
      </w:r>
    </w:p>
  </w:endnote>
  <w:endnote w:type="continuationSeparator" w:id="0">
    <w:p w:rsidR="00B363F3" w:rsidRDefault="00B36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3F3" w:rsidRDefault="00B363F3">
      <w:r>
        <w:separator/>
      </w:r>
    </w:p>
  </w:footnote>
  <w:footnote w:type="continuationSeparator" w:id="0">
    <w:p w:rsidR="00B363F3" w:rsidRDefault="00B36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03" w:rsidRDefault="000E2803" w:rsidP="00931E0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947"/>
    <w:multiLevelType w:val="hybridMultilevel"/>
    <w:tmpl w:val="D68EA194"/>
    <w:lvl w:ilvl="0" w:tplc="FA20229A">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5096425"/>
    <w:multiLevelType w:val="hybridMultilevel"/>
    <w:tmpl w:val="8F60ED76"/>
    <w:lvl w:ilvl="0" w:tplc="287688A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5CC6069"/>
    <w:multiLevelType w:val="hybridMultilevel"/>
    <w:tmpl w:val="6BD8D916"/>
    <w:lvl w:ilvl="0" w:tplc="8DF0B918">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4403"/>
    <w:rsid w:val="00004A27"/>
    <w:rsid w:val="00005359"/>
    <w:rsid w:val="00005B0B"/>
    <w:rsid w:val="00011D4D"/>
    <w:rsid w:val="0001367A"/>
    <w:rsid w:val="00025FFB"/>
    <w:rsid w:val="0004030B"/>
    <w:rsid w:val="000422AF"/>
    <w:rsid w:val="00042706"/>
    <w:rsid w:val="0004528A"/>
    <w:rsid w:val="000515B4"/>
    <w:rsid w:val="00052927"/>
    <w:rsid w:val="00056734"/>
    <w:rsid w:val="00057433"/>
    <w:rsid w:val="000577F0"/>
    <w:rsid w:val="00062D7F"/>
    <w:rsid w:val="000678AC"/>
    <w:rsid w:val="00067FFC"/>
    <w:rsid w:val="00072ADD"/>
    <w:rsid w:val="00077EFE"/>
    <w:rsid w:val="000809A2"/>
    <w:rsid w:val="00082B5B"/>
    <w:rsid w:val="000B2C0E"/>
    <w:rsid w:val="000B6319"/>
    <w:rsid w:val="000B7CE7"/>
    <w:rsid w:val="000C0A87"/>
    <w:rsid w:val="000C5611"/>
    <w:rsid w:val="000C5D7F"/>
    <w:rsid w:val="000D2D98"/>
    <w:rsid w:val="000D2E11"/>
    <w:rsid w:val="000E03A5"/>
    <w:rsid w:val="000E2803"/>
    <w:rsid w:val="000E3EAF"/>
    <w:rsid w:val="000F0115"/>
    <w:rsid w:val="000F2D06"/>
    <w:rsid w:val="000F512B"/>
    <w:rsid w:val="000F6DDC"/>
    <w:rsid w:val="00101842"/>
    <w:rsid w:val="00101C34"/>
    <w:rsid w:val="00101DA0"/>
    <w:rsid w:val="00102EC9"/>
    <w:rsid w:val="00103047"/>
    <w:rsid w:val="00103EED"/>
    <w:rsid w:val="00106317"/>
    <w:rsid w:val="00106360"/>
    <w:rsid w:val="00107186"/>
    <w:rsid w:val="0012378F"/>
    <w:rsid w:val="00124CAF"/>
    <w:rsid w:val="0013573D"/>
    <w:rsid w:val="001521C6"/>
    <w:rsid w:val="001559F7"/>
    <w:rsid w:val="00161241"/>
    <w:rsid w:val="00175C5E"/>
    <w:rsid w:val="00180F31"/>
    <w:rsid w:val="0018338F"/>
    <w:rsid w:val="00185854"/>
    <w:rsid w:val="001875AB"/>
    <w:rsid w:val="00192365"/>
    <w:rsid w:val="00193309"/>
    <w:rsid w:val="0019339D"/>
    <w:rsid w:val="00195436"/>
    <w:rsid w:val="001A3DC7"/>
    <w:rsid w:val="001A64E0"/>
    <w:rsid w:val="001A6C82"/>
    <w:rsid w:val="001B06B3"/>
    <w:rsid w:val="001C100F"/>
    <w:rsid w:val="001C1D22"/>
    <w:rsid w:val="001C2840"/>
    <w:rsid w:val="001C3801"/>
    <w:rsid w:val="001C5360"/>
    <w:rsid w:val="001E6855"/>
    <w:rsid w:val="001E7602"/>
    <w:rsid w:val="001F0D81"/>
    <w:rsid w:val="001F1672"/>
    <w:rsid w:val="001F292B"/>
    <w:rsid w:val="001F3AAB"/>
    <w:rsid w:val="00205C83"/>
    <w:rsid w:val="00207C71"/>
    <w:rsid w:val="0021388C"/>
    <w:rsid w:val="00216EF1"/>
    <w:rsid w:val="0022502B"/>
    <w:rsid w:val="002266B8"/>
    <w:rsid w:val="00231171"/>
    <w:rsid w:val="00236739"/>
    <w:rsid w:val="00240F69"/>
    <w:rsid w:val="0024226E"/>
    <w:rsid w:val="00245877"/>
    <w:rsid w:val="00246CC3"/>
    <w:rsid w:val="002512E8"/>
    <w:rsid w:val="00251683"/>
    <w:rsid w:val="00254C3B"/>
    <w:rsid w:val="00261AF3"/>
    <w:rsid w:val="002648A8"/>
    <w:rsid w:val="002712CC"/>
    <w:rsid w:val="00284B79"/>
    <w:rsid w:val="002920D0"/>
    <w:rsid w:val="002971BF"/>
    <w:rsid w:val="00297BE2"/>
    <w:rsid w:val="002A6A93"/>
    <w:rsid w:val="002B0F7B"/>
    <w:rsid w:val="002B3754"/>
    <w:rsid w:val="002B6158"/>
    <w:rsid w:val="002C3422"/>
    <w:rsid w:val="002C7459"/>
    <w:rsid w:val="002D60B2"/>
    <w:rsid w:val="002D7604"/>
    <w:rsid w:val="002E3117"/>
    <w:rsid w:val="002E685F"/>
    <w:rsid w:val="002F0FF8"/>
    <w:rsid w:val="002F19C4"/>
    <w:rsid w:val="002F301E"/>
    <w:rsid w:val="002F4933"/>
    <w:rsid w:val="002F71DF"/>
    <w:rsid w:val="00300D57"/>
    <w:rsid w:val="00305AA9"/>
    <w:rsid w:val="00311097"/>
    <w:rsid w:val="00312BE0"/>
    <w:rsid w:val="00335094"/>
    <w:rsid w:val="003370CB"/>
    <w:rsid w:val="003405D4"/>
    <w:rsid w:val="0034503E"/>
    <w:rsid w:val="003539A4"/>
    <w:rsid w:val="00353A73"/>
    <w:rsid w:val="00353F40"/>
    <w:rsid w:val="003635BD"/>
    <w:rsid w:val="00364840"/>
    <w:rsid w:val="003706ED"/>
    <w:rsid w:val="00377985"/>
    <w:rsid w:val="00384EFB"/>
    <w:rsid w:val="00387EED"/>
    <w:rsid w:val="00395364"/>
    <w:rsid w:val="0039565C"/>
    <w:rsid w:val="003A3B2B"/>
    <w:rsid w:val="003A530C"/>
    <w:rsid w:val="003A6FBA"/>
    <w:rsid w:val="003B242E"/>
    <w:rsid w:val="003B51FA"/>
    <w:rsid w:val="003C29AD"/>
    <w:rsid w:val="003D29CA"/>
    <w:rsid w:val="003E5187"/>
    <w:rsid w:val="003F2DF9"/>
    <w:rsid w:val="003F53F4"/>
    <w:rsid w:val="003F7251"/>
    <w:rsid w:val="00401793"/>
    <w:rsid w:val="00402DE5"/>
    <w:rsid w:val="0041481A"/>
    <w:rsid w:val="00416006"/>
    <w:rsid w:val="00430047"/>
    <w:rsid w:val="00434E8B"/>
    <w:rsid w:val="00440C2A"/>
    <w:rsid w:val="00442945"/>
    <w:rsid w:val="00443D48"/>
    <w:rsid w:val="00444E30"/>
    <w:rsid w:val="0044540A"/>
    <w:rsid w:val="0044565C"/>
    <w:rsid w:val="00447E98"/>
    <w:rsid w:val="0045087A"/>
    <w:rsid w:val="004510B9"/>
    <w:rsid w:val="0046280A"/>
    <w:rsid w:val="00467466"/>
    <w:rsid w:val="00470072"/>
    <w:rsid w:val="00470129"/>
    <w:rsid w:val="004708D6"/>
    <w:rsid w:val="00471E96"/>
    <w:rsid w:val="00476B5C"/>
    <w:rsid w:val="004815F4"/>
    <w:rsid w:val="00482F11"/>
    <w:rsid w:val="00483F62"/>
    <w:rsid w:val="00484474"/>
    <w:rsid w:val="004854DF"/>
    <w:rsid w:val="0049121A"/>
    <w:rsid w:val="004A6E7B"/>
    <w:rsid w:val="004B16E5"/>
    <w:rsid w:val="004B4356"/>
    <w:rsid w:val="004B6088"/>
    <w:rsid w:val="004B62DD"/>
    <w:rsid w:val="004B6D14"/>
    <w:rsid w:val="004C159B"/>
    <w:rsid w:val="004C2670"/>
    <w:rsid w:val="004C62AE"/>
    <w:rsid w:val="004D4700"/>
    <w:rsid w:val="004D51ED"/>
    <w:rsid w:val="004E6685"/>
    <w:rsid w:val="004E6E81"/>
    <w:rsid w:val="004E7975"/>
    <w:rsid w:val="004F7939"/>
    <w:rsid w:val="005036A0"/>
    <w:rsid w:val="00503D75"/>
    <w:rsid w:val="00504463"/>
    <w:rsid w:val="00512548"/>
    <w:rsid w:val="00513DC6"/>
    <w:rsid w:val="00520A23"/>
    <w:rsid w:val="00526299"/>
    <w:rsid w:val="00531B3E"/>
    <w:rsid w:val="005364FF"/>
    <w:rsid w:val="00536B26"/>
    <w:rsid w:val="00537A58"/>
    <w:rsid w:val="005433D0"/>
    <w:rsid w:val="00557B30"/>
    <w:rsid w:val="0056420D"/>
    <w:rsid w:val="005642CB"/>
    <w:rsid w:val="005724DC"/>
    <w:rsid w:val="005734C1"/>
    <w:rsid w:val="00581CE3"/>
    <w:rsid w:val="00591262"/>
    <w:rsid w:val="005A588A"/>
    <w:rsid w:val="005B1DE3"/>
    <w:rsid w:val="005B4A84"/>
    <w:rsid w:val="005B508B"/>
    <w:rsid w:val="005C39C3"/>
    <w:rsid w:val="005C73D7"/>
    <w:rsid w:val="005C7675"/>
    <w:rsid w:val="005E08BC"/>
    <w:rsid w:val="005E4DD6"/>
    <w:rsid w:val="005E607D"/>
    <w:rsid w:val="005E7708"/>
    <w:rsid w:val="005E7F0E"/>
    <w:rsid w:val="005F4C02"/>
    <w:rsid w:val="005F622B"/>
    <w:rsid w:val="00601248"/>
    <w:rsid w:val="0061161B"/>
    <w:rsid w:val="00611E9D"/>
    <w:rsid w:val="00623C23"/>
    <w:rsid w:val="00630AF9"/>
    <w:rsid w:val="00633A3C"/>
    <w:rsid w:val="00635513"/>
    <w:rsid w:val="00635B6D"/>
    <w:rsid w:val="006364FB"/>
    <w:rsid w:val="0064070C"/>
    <w:rsid w:val="00650336"/>
    <w:rsid w:val="00655122"/>
    <w:rsid w:val="006562B4"/>
    <w:rsid w:val="0065633F"/>
    <w:rsid w:val="006606D1"/>
    <w:rsid w:val="00664E3A"/>
    <w:rsid w:val="006653D4"/>
    <w:rsid w:val="00665E61"/>
    <w:rsid w:val="00665F49"/>
    <w:rsid w:val="0066615B"/>
    <w:rsid w:val="00667184"/>
    <w:rsid w:val="0066784D"/>
    <w:rsid w:val="00672CA5"/>
    <w:rsid w:val="006742E6"/>
    <w:rsid w:val="00674EA1"/>
    <w:rsid w:val="0067541F"/>
    <w:rsid w:val="006800D7"/>
    <w:rsid w:val="0068577C"/>
    <w:rsid w:val="0069316C"/>
    <w:rsid w:val="00693C52"/>
    <w:rsid w:val="006946A4"/>
    <w:rsid w:val="00695055"/>
    <w:rsid w:val="006A537C"/>
    <w:rsid w:val="006A7564"/>
    <w:rsid w:val="006B0473"/>
    <w:rsid w:val="006C179A"/>
    <w:rsid w:val="006C28CC"/>
    <w:rsid w:val="006C2EB9"/>
    <w:rsid w:val="006D36BB"/>
    <w:rsid w:val="006D47EA"/>
    <w:rsid w:val="006E0F5C"/>
    <w:rsid w:val="006E55FC"/>
    <w:rsid w:val="006E6504"/>
    <w:rsid w:val="006E6608"/>
    <w:rsid w:val="006E68A9"/>
    <w:rsid w:val="006E70A1"/>
    <w:rsid w:val="006E7BEB"/>
    <w:rsid w:val="006F715D"/>
    <w:rsid w:val="00703589"/>
    <w:rsid w:val="007062F4"/>
    <w:rsid w:val="0071009B"/>
    <w:rsid w:val="00710AF6"/>
    <w:rsid w:val="007148D6"/>
    <w:rsid w:val="00716D8D"/>
    <w:rsid w:val="007175D8"/>
    <w:rsid w:val="0073005E"/>
    <w:rsid w:val="00731DAE"/>
    <w:rsid w:val="0073283A"/>
    <w:rsid w:val="00733867"/>
    <w:rsid w:val="00736AF0"/>
    <w:rsid w:val="00737436"/>
    <w:rsid w:val="00754F30"/>
    <w:rsid w:val="007577A2"/>
    <w:rsid w:val="00760B95"/>
    <w:rsid w:val="00771DE7"/>
    <w:rsid w:val="00776153"/>
    <w:rsid w:val="00783168"/>
    <w:rsid w:val="007842E2"/>
    <w:rsid w:val="00785500"/>
    <w:rsid w:val="00791339"/>
    <w:rsid w:val="007924F4"/>
    <w:rsid w:val="007940D7"/>
    <w:rsid w:val="00796D3B"/>
    <w:rsid w:val="007A0829"/>
    <w:rsid w:val="007A5889"/>
    <w:rsid w:val="007B09C1"/>
    <w:rsid w:val="007B1904"/>
    <w:rsid w:val="007B4700"/>
    <w:rsid w:val="007B6263"/>
    <w:rsid w:val="007C19F0"/>
    <w:rsid w:val="007C24FE"/>
    <w:rsid w:val="007C4220"/>
    <w:rsid w:val="007C740C"/>
    <w:rsid w:val="007D3036"/>
    <w:rsid w:val="007E3F6E"/>
    <w:rsid w:val="007F10CA"/>
    <w:rsid w:val="007F2052"/>
    <w:rsid w:val="007F720A"/>
    <w:rsid w:val="008067FD"/>
    <w:rsid w:val="00807BAD"/>
    <w:rsid w:val="00810DD6"/>
    <w:rsid w:val="00810FFE"/>
    <w:rsid w:val="00811E37"/>
    <w:rsid w:val="00812388"/>
    <w:rsid w:val="008258E1"/>
    <w:rsid w:val="00825EF8"/>
    <w:rsid w:val="008261CE"/>
    <w:rsid w:val="00832796"/>
    <w:rsid w:val="00832835"/>
    <w:rsid w:val="00841C1E"/>
    <w:rsid w:val="00843955"/>
    <w:rsid w:val="00845991"/>
    <w:rsid w:val="00854D00"/>
    <w:rsid w:val="008570C8"/>
    <w:rsid w:val="00866761"/>
    <w:rsid w:val="00874F7B"/>
    <w:rsid w:val="00876C28"/>
    <w:rsid w:val="0088609C"/>
    <w:rsid w:val="0088704B"/>
    <w:rsid w:val="00890497"/>
    <w:rsid w:val="00890837"/>
    <w:rsid w:val="00893EDE"/>
    <w:rsid w:val="008957F4"/>
    <w:rsid w:val="00897277"/>
    <w:rsid w:val="008A1C29"/>
    <w:rsid w:val="008A5EE5"/>
    <w:rsid w:val="008A6375"/>
    <w:rsid w:val="008A7424"/>
    <w:rsid w:val="008B372D"/>
    <w:rsid w:val="008B40EF"/>
    <w:rsid w:val="008B5432"/>
    <w:rsid w:val="008C283B"/>
    <w:rsid w:val="008C71E2"/>
    <w:rsid w:val="008C7B6F"/>
    <w:rsid w:val="008D2F32"/>
    <w:rsid w:val="008D6915"/>
    <w:rsid w:val="008E0B09"/>
    <w:rsid w:val="008F350B"/>
    <w:rsid w:val="008F3F69"/>
    <w:rsid w:val="008F7443"/>
    <w:rsid w:val="00905AD9"/>
    <w:rsid w:val="009076B1"/>
    <w:rsid w:val="00911BCB"/>
    <w:rsid w:val="00912386"/>
    <w:rsid w:val="00916BE2"/>
    <w:rsid w:val="00917FBF"/>
    <w:rsid w:val="00925DA3"/>
    <w:rsid w:val="00927D29"/>
    <w:rsid w:val="00931E01"/>
    <w:rsid w:val="00943EC7"/>
    <w:rsid w:val="009463A0"/>
    <w:rsid w:val="00955029"/>
    <w:rsid w:val="009579E8"/>
    <w:rsid w:val="00960A29"/>
    <w:rsid w:val="009630CF"/>
    <w:rsid w:val="0097000A"/>
    <w:rsid w:val="00982DAF"/>
    <w:rsid w:val="00983213"/>
    <w:rsid w:val="009857F3"/>
    <w:rsid w:val="0098633F"/>
    <w:rsid w:val="009A0B40"/>
    <w:rsid w:val="009A1B48"/>
    <w:rsid w:val="009A4625"/>
    <w:rsid w:val="009A5DD0"/>
    <w:rsid w:val="009B0035"/>
    <w:rsid w:val="009B0FA1"/>
    <w:rsid w:val="009B540C"/>
    <w:rsid w:val="009B7B27"/>
    <w:rsid w:val="009C058D"/>
    <w:rsid w:val="009C10A7"/>
    <w:rsid w:val="009C3B98"/>
    <w:rsid w:val="009E2C4A"/>
    <w:rsid w:val="009E2C89"/>
    <w:rsid w:val="009E6DAF"/>
    <w:rsid w:val="00A02531"/>
    <w:rsid w:val="00A0600C"/>
    <w:rsid w:val="00A1106D"/>
    <w:rsid w:val="00A214B6"/>
    <w:rsid w:val="00A370CD"/>
    <w:rsid w:val="00A375F7"/>
    <w:rsid w:val="00A40AFE"/>
    <w:rsid w:val="00A40F46"/>
    <w:rsid w:val="00A44763"/>
    <w:rsid w:val="00A5116D"/>
    <w:rsid w:val="00A56741"/>
    <w:rsid w:val="00A6274B"/>
    <w:rsid w:val="00A71FE2"/>
    <w:rsid w:val="00A7241E"/>
    <w:rsid w:val="00A822F2"/>
    <w:rsid w:val="00A87F34"/>
    <w:rsid w:val="00A94BC8"/>
    <w:rsid w:val="00A96511"/>
    <w:rsid w:val="00A97F24"/>
    <w:rsid w:val="00AB222D"/>
    <w:rsid w:val="00AB318C"/>
    <w:rsid w:val="00AC0A62"/>
    <w:rsid w:val="00AD0709"/>
    <w:rsid w:val="00AD0DEF"/>
    <w:rsid w:val="00AD2C59"/>
    <w:rsid w:val="00AD5D92"/>
    <w:rsid w:val="00AE4720"/>
    <w:rsid w:val="00AE73D4"/>
    <w:rsid w:val="00AF14A3"/>
    <w:rsid w:val="00AF304C"/>
    <w:rsid w:val="00AF3950"/>
    <w:rsid w:val="00AF7245"/>
    <w:rsid w:val="00AF7A16"/>
    <w:rsid w:val="00B017B0"/>
    <w:rsid w:val="00B01915"/>
    <w:rsid w:val="00B04C94"/>
    <w:rsid w:val="00B12D26"/>
    <w:rsid w:val="00B14779"/>
    <w:rsid w:val="00B17BED"/>
    <w:rsid w:val="00B22140"/>
    <w:rsid w:val="00B2680B"/>
    <w:rsid w:val="00B3536D"/>
    <w:rsid w:val="00B363F3"/>
    <w:rsid w:val="00B50A70"/>
    <w:rsid w:val="00B5236E"/>
    <w:rsid w:val="00B529A7"/>
    <w:rsid w:val="00B53BF4"/>
    <w:rsid w:val="00B544FD"/>
    <w:rsid w:val="00B61033"/>
    <w:rsid w:val="00B64CDF"/>
    <w:rsid w:val="00B665F0"/>
    <w:rsid w:val="00B71179"/>
    <w:rsid w:val="00B72C2D"/>
    <w:rsid w:val="00B73863"/>
    <w:rsid w:val="00B81B15"/>
    <w:rsid w:val="00B81BEA"/>
    <w:rsid w:val="00B82F95"/>
    <w:rsid w:val="00B86A0F"/>
    <w:rsid w:val="00B92B2F"/>
    <w:rsid w:val="00B93D50"/>
    <w:rsid w:val="00B94A5E"/>
    <w:rsid w:val="00B95572"/>
    <w:rsid w:val="00B963DD"/>
    <w:rsid w:val="00BA3569"/>
    <w:rsid w:val="00BA3D3F"/>
    <w:rsid w:val="00BB3D9E"/>
    <w:rsid w:val="00BB52D7"/>
    <w:rsid w:val="00BB52EA"/>
    <w:rsid w:val="00BC4DD4"/>
    <w:rsid w:val="00BC5AEB"/>
    <w:rsid w:val="00BC63D2"/>
    <w:rsid w:val="00BD2A3B"/>
    <w:rsid w:val="00BD2BA1"/>
    <w:rsid w:val="00BE0EDF"/>
    <w:rsid w:val="00BE523E"/>
    <w:rsid w:val="00C0246E"/>
    <w:rsid w:val="00C03953"/>
    <w:rsid w:val="00C210B2"/>
    <w:rsid w:val="00C22709"/>
    <w:rsid w:val="00C249D5"/>
    <w:rsid w:val="00C31D82"/>
    <w:rsid w:val="00C37F56"/>
    <w:rsid w:val="00C51331"/>
    <w:rsid w:val="00C51FDA"/>
    <w:rsid w:val="00C57F38"/>
    <w:rsid w:val="00C6282A"/>
    <w:rsid w:val="00C71199"/>
    <w:rsid w:val="00C747C0"/>
    <w:rsid w:val="00C768C2"/>
    <w:rsid w:val="00C76E95"/>
    <w:rsid w:val="00C7769D"/>
    <w:rsid w:val="00C8099C"/>
    <w:rsid w:val="00C812EF"/>
    <w:rsid w:val="00C93FBC"/>
    <w:rsid w:val="00C94CEF"/>
    <w:rsid w:val="00C97ED0"/>
    <w:rsid w:val="00CA02D8"/>
    <w:rsid w:val="00CA03DD"/>
    <w:rsid w:val="00CA21DE"/>
    <w:rsid w:val="00CA327D"/>
    <w:rsid w:val="00CA3756"/>
    <w:rsid w:val="00CB2503"/>
    <w:rsid w:val="00CB5E3D"/>
    <w:rsid w:val="00CC2788"/>
    <w:rsid w:val="00CC4B9C"/>
    <w:rsid w:val="00CC7F40"/>
    <w:rsid w:val="00CD26B1"/>
    <w:rsid w:val="00CD271E"/>
    <w:rsid w:val="00CD3457"/>
    <w:rsid w:val="00CD3EF0"/>
    <w:rsid w:val="00CD534C"/>
    <w:rsid w:val="00CD5C1E"/>
    <w:rsid w:val="00CE234D"/>
    <w:rsid w:val="00CE79DE"/>
    <w:rsid w:val="00CF4742"/>
    <w:rsid w:val="00D008E5"/>
    <w:rsid w:val="00D064D3"/>
    <w:rsid w:val="00D07E55"/>
    <w:rsid w:val="00D11F5A"/>
    <w:rsid w:val="00D12DE3"/>
    <w:rsid w:val="00D14537"/>
    <w:rsid w:val="00D15B78"/>
    <w:rsid w:val="00D16266"/>
    <w:rsid w:val="00D203B5"/>
    <w:rsid w:val="00D2183E"/>
    <w:rsid w:val="00D22F47"/>
    <w:rsid w:val="00D26D99"/>
    <w:rsid w:val="00D37D7D"/>
    <w:rsid w:val="00D42669"/>
    <w:rsid w:val="00D440BE"/>
    <w:rsid w:val="00D44C0A"/>
    <w:rsid w:val="00D44CDE"/>
    <w:rsid w:val="00D47A78"/>
    <w:rsid w:val="00D5204A"/>
    <w:rsid w:val="00D61C59"/>
    <w:rsid w:val="00D64337"/>
    <w:rsid w:val="00D72348"/>
    <w:rsid w:val="00D7335E"/>
    <w:rsid w:val="00D76B06"/>
    <w:rsid w:val="00D77D02"/>
    <w:rsid w:val="00D80A7E"/>
    <w:rsid w:val="00D864FF"/>
    <w:rsid w:val="00D91E6E"/>
    <w:rsid w:val="00D92E11"/>
    <w:rsid w:val="00DB16E3"/>
    <w:rsid w:val="00DB1B75"/>
    <w:rsid w:val="00DB3224"/>
    <w:rsid w:val="00DB5FAC"/>
    <w:rsid w:val="00DB67C1"/>
    <w:rsid w:val="00DC10BB"/>
    <w:rsid w:val="00DC18F6"/>
    <w:rsid w:val="00DC7C9B"/>
    <w:rsid w:val="00DD5F51"/>
    <w:rsid w:val="00DE545F"/>
    <w:rsid w:val="00DE7A90"/>
    <w:rsid w:val="00DF5165"/>
    <w:rsid w:val="00E0164E"/>
    <w:rsid w:val="00E100AD"/>
    <w:rsid w:val="00E11E8B"/>
    <w:rsid w:val="00E12FFC"/>
    <w:rsid w:val="00E132A3"/>
    <w:rsid w:val="00E14098"/>
    <w:rsid w:val="00E21642"/>
    <w:rsid w:val="00E22A22"/>
    <w:rsid w:val="00E24707"/>
    <w:rsid w:val="00E32DA5"/>
    <w:rsid w:val="00E450A9"/>
    <w:rsid w:val="00E462F9"/>
    <w:rsid w:val="00E4748F"/>
    <w:rsid w:val="00E47EF4"/>
    <w:rsid w:val="00E614FD"/>
    <w:rsid w:val="00E70BD6"/>
    <w:rsid w:val="00E738E2"/>
    <w:rsid w:val="00E75DB7"/>
    <w:rsid w:val="00E75FC1"/>
    <w:rsid w:val="00E8016B"/>
    <w:rsid w:val="00E82854"/>
    <w:rsid w:val="00E86769"/>
    <w:rsid w:val="00E90262"/>
    <w:rsid w:val="00E97471"/>
    <w:rsid w:val="00EA072D"/>
    <w:rsid w:val="00EA1031"/>
    <w:rsid w:val="00EA1C50"/>
    <w:rsid w:val="00EA4F15"/>
    <w:rsid w:val="00EA7CF7"/>
    <w:rsid w:val="00EB06B3"/>
    <w:rsid w:val="00EB0F88"/>
    <w:rsid w:val="00EB7C0B"/>
    <w:rsid w:val="00EC4280"/>
    <w:rsid w:val="00ED11F9"/>
    <w:rsid w:val="00ED4403"/>
    <w:rsid w:val="00ED580B"/>
    <w:rsid w:val="00EE0E9F"/>
    <w:rsid w:val="00EE423E"/>
    <w:rsid w:val="00EE5315"/>
    <w:rsid w:val="00EF10BD"/>
    <w:rsid w:val="00EF389A"/>
    <w:rsid w:val="00F036D0"/>
    <w:rsid w:val="00F23CA7"/>
    <w:rsid w:val="00F30B22"/>
    <w:rsid w:val="00F320C3"/>
    <w:rsid w:val="00F3301A"/>
    <w:rsid w:val="00F401A7"/>
    <w:rsid w:val="00F41608"/>
    <w:rsid w:val="00F53DD8"/>
    <w:rsid w:val="00F549A0"/>
    <w:rsid w:val="00F748B2"/>
    <w:rsid w:val="00F74B45"/>
    <w:rsid w:val="00F77F54"/>
    <w:rsid w:val="00F91CF8"/>
    <w:rsid w:val="00F95FF0"/>
    <w:rsid w:val="00FA0560"/>
    <w:rsid w:val="00FA4B12"/>
    <w:rsid w:val="00FA4E1C"/>
    <w:rsid w:val="00FA668E"/>
    <w:rsid w:val="00FB3278"/>
    <w:rsid w:val="00FB4EDF"/>
    <w:rsid w:val="00FB7650"/>
    <w:rsid w:val="00FD330D"/>
    <w:rsid w:val="00FD4A03"/>
    <w:rsid w:val="00FF42FD"/>
    <w:rsid w:val="00FF436B"/>
    <w:rsid w:val="00FF51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0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1">
    <w:name w:val="d1"/>
    <w:rsid w:val="00ED4403"/>
    <w:rPr>
      <w:b/>
      <w:bCs/>
      <w:color w:val="000066"/>
      <w:sz w:val="21"/>
      <w:szCs w:val="21"/>
    </w:rPr>
  </w:style>
  <w:style w:type="paragraph" w:customStyle="1" w:styleId="c">
    <w:name w:val="c"/>
    <w:basedOn w:val="a"/>
    <w:rsid w:val="00ED4403"/>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rsid w:val="00ED4403"/>
    <w:rPr>
      <w:color w:val="000000"/>
      <w:sz w:val="18"/>
      <w:szCs w:val="18"/>
    </w:rPr>
  </w:style>
  <w:style w:type="paragraph" w:styleId="a3">
    <w:name w:val="Balloon Text"/>
    <w:basedOn w:val="a"/>
    <w:semiHidden/>
    <w:rsid w:val="00ED4403"/>
    <w:rPr>
      <w:sz w:val="18"/>
      <w:szCs w:val="18"/>
    </w:rPr>
  </w:style>
  <w:style w:type="paragraph" w:styleId="a4">
    <w:name w:val="header"/>
    <w:basedOn w:val="a"/>
    <w:link w:val="Char"/>
    <w:rsid w:val="000577F0"/>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4"/>
    <w:rsid w:val="000577F0"/>
    <w:rPr>
      <w:kern w:val="2"/>
      <w:sz w:val="18"/>
      <w:szCs w:val="18"/>
    </w:rPr>
  </w:style>
  <w:style w:type="paragraph" w:styleId="a5">
    <w:name w:val="footer"/>
    <w:basedOn w:val="a"/>
    <w:link w:val="Char0"/>
    <w:rsid w:val="000577F0"/>
    <w:pPr>
      <w:tabs>
        <w:tab w:val="center" w:pos="4153"/>
        <w:tab w:val="right" w:pos="8306"/>
      </w:tabs>
      <w:snapToGrid w:val="0"/>
      <w:jc w:val="left"/>
    </w:pPr>
    <w:rPr>
      <w:sz w:val="18"/>
      <w:szCs w:val="18"/>
      <w:lang/>
    </w:rPr>
  </w:style>
  <w:style w:type="character" w:customStyle="1" w:styleId="Char0">
    <w:name w:val="页脚 Char"/>
    <w:link w:val="a5"/>
    <w:rsid w:val="000577F0"/>
    <w:rPr>
      <w:kern w:val="2"/>
      <w:sz w:val="18"/>
      <w:szCs w:val="18"/>
    </w:rPr>
  </w:style>
  <w:style w:type="paragraph" w:styleId="a6">
    <w:name w:val="Document Map"/>
    <w:basedOn w:val="a"/>
    <w:link w:val="Char1"/>
    <w:rsid w:val="00931E01"/>
    <w:rPr>
      <w:rFonts w:ascii="宋体"/>
      <w:sz w:val="18"/>
      <w:szCs w:val="18"/>
      <w:lang/>
    </w:rPr>
  </w:style>
  <w:style w:type="character" w:customStyle="1" w:styleId="Char1">
    <w:name w:val="文档结构图 Char"/>
    <w:link w:val="a6"/>
    <w:rsid w:val="00931E01"/>
    <w:rPr>
      <w:rFonts w:ascii="宋体"/>
      <w:kern w:val="2"/>
      <w:sz w:val="18"/>
      <w:szCs w:val="18"/>
    </w:rPr>
  </w:style>
  <w:style w:type="table" w:styleId="a7">
    <w:name w:val="Table Grid"/>
    <w:basedOn w:val="a1"/>
    <w:rsid w:val="00E14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9E2C4A"/>
    <w:rPr>
      <w:color w:val="0000FF"/>
      <w:u w:val="single"/>
    </w:rPr>
  </w:style>
  <w:style w:type="paragraph" w:styleId="a9">
    <w:name w:val="Normal (Web)"/>
    <w:basedOn w:val="a"/>
    <w:rsid w:val="009E2C4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a">
    <w:name w:val="Revision"/>
    <w:hidden/>
    <w:uiPriority w:val="99"/>
    <w:semiHidden/>
    <w:rsid w:val="00CE234D"/>
    <w:rPr>
      <w:kern w:val="2"/>
      <w:sz w:val="21"/>
      <w:szCs w:val="24"/>
    </w:rPr>
  </w:style>
  <w:style w:type="character" w:styleId="ab">
    <w:name w:val="annotation reference"/>
    <w:rsid w:val="000C5D7F"/>
    <w:rPr>
      <w:sz w:val="21"/>
      <w:szCs w:val="21"/>
    </w:rPr>
  </w:style>
  <w:style w:type="paragraph" w:styleId="ac">
    <w:name w:val="annotation text"/>
    <w:basedOn w:val="a"/>
    <w:link w:val="Char2"/>
    <w:rsid w:val="000C5D7F"/>
    <w:pPr>
      <w:jc w:val="left"/>
    </w:pPr>
    <w:rPr>
      <w:lang/>
    </w:rPr>
  </w:style>
  <w:style w:type="character" w:customStyle="1" w:styleId="Char2">
    <w:name w:val="批注文字 Char"/>
    <w:link w:val="ac"/>
    <w:rsid w:val="000C5D7F"/>
    <w:rPr>
      <w:kern w:val="2"/>
      <w:sz w:val="21"/>
      <w:szCs w:val="24"/>
    </w:rPr>
  </w:style>
  <w:style w:type="paragraph" w:styleId="ad">
    <w:name w:val="annotation subject"/>
    <w:basedOn w:val="ac"/>
    <w:next w:val="ac"/>
    <w:link w:val="Char3"/>
    <w:rsid w:val="000C5D7F"/>
    <w:rPr>
      <w:b/>
      <w:bCs/>
    </w:rPr>
  </w:style>
  <w:style w:type="character" w:customStyle="1" w:styleId="Char3">
    <w:name w:val="批注主题 Char"/>
    <w:link w:val="ad"/>
    <w:rsid w:val="000C5D7F"/>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41488996">
      <w:bodyDiv w:val="1"/>
      <w:marLeft w:val="0"/>
      <w:marRight w:val="0"/>
      <w:marTop w:val="0"/>
      <w:marBottom w:val="0"/>
      <w:divBdr>
        <w:top w:val="none" w:sz="0" w:space="0" w:color="auto"/>
        <w:left w:val="none" w:sz="0" w:space="0" w:color="auto"/>
        <w:bottom w:val="none" w:sz="0" w:space="0" w:color="auto"/>
        <w:right w:val="none" w:sz="0" w:space="0" w:color="auto"/>
      </w:divBdr>
    </w:div>
    <w:div w:id="138160061">
      <w:bodyDiv w:val="1"/>
      <w:marLeft w:val="0"/>
      <w:marRight w:val="0"/>
      <w:marTop w:val="0"/>
      <w:marBottom w:val="0"/>
      <w:divBdr>
        <w:top w:val="none" w:sz="0" w:space="0" w:color="auto"/>
        <w:left w:val="none" w:sz="0" w:space="0" w:color="auto"/>
        <w:bottom w:val="none" w:sz="0" w:space="0" w:color="auto"/>
        <w:right w:val="none" w:sz="0" w:space="0" w:color="auto"/>
      </w:divBdr>
    </w:div>
    <w:div w:id="143789274">
      <w:bodyDiv w:val="1"/>
      <w:marLeft w:val="0"/>
      <w:marRight w:val="0"/>
      <w:marTop w:val="0"/>
      <w:marBottom w:val="0"/>
      <w:divBdr>
        <w:top w:val="none" w:sz="0" w:space="0" w:color="auto"/>
        <w:left w:val="none" w:sz="0" w:space="0" w:color="auto"/>
        <w:bottom w:val="none" w:sz="0" w:space="0" w:color="auto"/>
        <w:right w:val="none" w:sz="0" w:space="0" w:color="auto"/>
      </w:divBdr>
    </w:div>
    <w:div w:id="153842950">
      <w:bodyDiv w:val="1"/>
      <w:marLeft w:val="0"/>
      <w:marRight w:val="0"/>
      <w:marTop w:val="0"/>
      <w:marBottom w:val="0"/>
      <w:divBdr>
        <w:top w:val="none" w:sz="0" w:space="0" w:color="auto"/>
        <w:left w:val="none" w:sz="0" w:space="0" w:color="auto"/>
        <w:bottom w:val="none" w:sz="0" w:space="0" w:color="auto"/>
        <w:right w:val="none" w:sz="0" w:space="0" w:color="auto"/>
      </w:divBdr>
    </w:div>
    <w:div w:id="275790653">
      <w:bodyDiv w:val="1"/>
      <w:marLeft w:val="0"/>
      <w:marRight w:val="0"/>
      <w:marTop w:val="0"/>
      <w:marBottom w:val="0"/>
      <w:divBdr>
        <w:top w:val="none" w:sz="0" w:space="0" w:color="auto"/>
        <w:left w:val="none" w:sz="0" w:space="0" w:color="auto"/>
        <w:bottom w:val="none" w:sz="0" w:space="0" w:color="auto"/>
        <w:right w:val="none" w:sz="0" w:space="0" w:color="auto"/>
      </w:divBdr>
    </w:div>
    <w:div w:id="358704641">
      <w:bodyDiv w:val="1"/>
      <w:marLeft w:val="0"/>
      <w:marRight w:val="0"/>
      <w:marTop w:val="0"/>
      <w:marBottom w:val="0"/>
      <w:divBdr>
        <w:top w:val="none" w:sz="0" w:space="0" w:color="auto"/>
        <w:left w:val="none" w:sz="0" w:space="0" w:color="auto"/>
        <w:bottom w:val="none" w:sz="0" w:space="0" w:color="auto"/>
        <w:right w:val="none" w:sz="0" w:space="0" w:color="auto"/>
      </w:divBdr>
    </w:div>
    <w:div w:id="365444653">
      <w:bodyDiv w:val="1"/>
      <w:marLeft w:val="0"/>
      <w:marRight w:val="0"/>
      <w:marTop w:val="0"/>
      <w:marBottom w:val="0"/>
      <w:divBdr>
        <w:top w:val="none" w:sz="0" w:space="0" w:color="auto"/>
        <w:left w:val="none" w:sz="0" w:space="0" w:color="auto"/>
        <w:bottom w:val="none" w:sz="0" w:space="0" w:color="auto"/>
        <w:right w:val="none" w:sz="0" w:space="0" w:color="auto"/>
      </w:divBdr>
    </w:div>
    <w:div w:id="383724249">
      <w:bodyDiv w:val="1"/>
      <w:marLeft w:val="0"/>
      <w:marRight w:val="0"/>
      <w:marTop w:val="0"/>
      <w:marBottom w:val="0"/>
      <w:divBdr>
        <w:top w:val="none" w:sz="0" w:space="0" w:color="auto"/>
        <w:left w:val="none" w:sz="0" w:space="0" w:color="auto"/>
        <w:bottom w:val="none" w:sz="0" w:space="0" w:color="auto"/>
        <w:right w:val="none" w:sz="0" w:space="0" w:color="auto"/>
      </w:divBdr>
    </w:div>
    <w:div w:id="420179062">
      <w:bodyDiv w:val="1"/>
      <w:marLeft w:val="0"/>
      <w:marRight w:val="0"/>
      <w:marTop w:val="0"/>
      <w:marBottom w:val="0"/>
      <w:divBdr>
        <w:top w:val="none" w:sz="0" w:space="0" w:color="auto"/>
        <w:left w:val="none" w:sz="0" w:space="0" w:color="auto"/>
        <w:bottom w:val="none" w:sz="0" w:space="0" w:color="auto"/>
        <w:right w:val="none" w:sz="0" w:space="0" w:color="auto"/>
      </w:divBdr>
    </w:div>
    <w:div w:id="459763147">
      <w:bodyDiv w:val="1"/>
      <w:marLeft w:val="0"/>
      <w:marRight w:val="0"/>
      <w:marTop w:val="0"/>
      <w:marBottom w:val="0"/>
      <w:divBdr>
        <w:top w:val="none" w:sz="0" w:space="0" w:color="auto"/>
        <w:left w:val="none" w:sz="0" w:space="0" w:color="auto"/>
        <w:bottom w:val="none" w:sz="0" w:space="0" w:color="auto"/>
        <w:right w:val="none" w:sz="0" w:space="0" w:color="auto"/>
      </w:divBdr>
    </w:div>
    <w:div w:id="483745419">
      <w:bodyDiv w:val="1"/>
      <w:marLeft w:val="0"/>
      <w:marRight w:val="0"/>
      <w:marTop w:val="0"/>
      <w:marBottom w:val="0"/>
      <w:divBdr>
        <w:top w:val="none" w:sz="0" w:space="0" w:color="auto"/>
        <w:left w:val="none" w:sz="0" w:space="0" w:color="auto"/>
        <w:bottom w:val="none" w:sz="0" w:space="0" w:color="auto"/>
        <w:right w:val="none" w:sz="0" w:space="0" w:color="auto"/>
      </w:divBdr>
    </w:div>
    <w:div w:id="485249802">
      <w:bodyDiv w:val="1"/>
      <w:marLeft w:val="0"/>
      <w:marRight w:val="0"/>
      <w:marTop w:val="0"/>
      <w:marBottom w:val="0"/>
      <w:divBdr>
        <w:top w:val="none" w:sz="0" w:space="0" w:color="auto"/>
        <w:left w:val="none" w:sz="0" w:space="0" w:color="auto"/>
        <w:bottom w:val="none" w:sz="0" w:space="0" w:color="auto"/>
        <w:right w:val="none" w:sz="0" w:space="0" w:color="auto"/>
      </w:divBdr>
    </w:div>
    <w:div w:id="517891288">
      <w:bodyDiv w:val="1"/>
      <w:marLeft w:val="0"/>
      <w:marRight w:val="0"/>
      <w:marTop w:val="0"/>
      <w:marBottom w:val="0"/>
      <w:divBdr>
        <w:top w:val="none" w:sz="0" w:space="0" w:color="auto"/>
        <w:left w:val="none" w:sz="0" w:space="0" w:color="auto"/>
        <w:bottom w:val="none" w:sz="0" w:space="0" w:color="auto"/>
        <w:right w:val="none" w:sz="0" w:space="0" w:color="auto"/>
      </w:divBdr>
    </w:div>
    <w:div w:id="522944275">
      <w:bodyDiv w:val="1"/>
      <w:marLeft w:val="0"/>
      <w:marRight w:val="0"/>
      <w:marTop w:val="0"/>
      <w:marBottom w:val="0"/>
      <w:divBdr>
        <w:top w:val="none" w:sz="0" w:space="0" w:color="auto"/>
        <w:left w:val="none" w:sz="0" w:space="0" w:color="auto"/>
        <w:bottom w:val="none" w:sz="0" w:space="0" w:color="auto"/>
        <w:right w:val="none" w:sz="0" w:space="0" w:color="auto"/>
      </w:divBdr>
    </w:div>
    <w:div w:id="560137679">
      <w:bodyDiv w:val="1"/>
      <w:marLeft w:val="0"/>
      <w:marRight w:val="0"/>
      <w:marTop w:val="0"/>
      <w:marBottom w:val="0"/>
      <w:divBdr>
        <w:top w:val="none" w:sz="0" w:space="0" w:color="auto"/>
        <w:left w:val="none" w:sz="0" w:space="0" w:color="auto"/>
        <w:bottom w:val="none" w:sz="0" w:space="0" w:color="auto"/>
        <w:right w:val="none" w:sz="0" w:space="0" w:color="auto"/>
      </w:divBdr>
    </w:div>
    <w:div w:id="567225359">
      <w:bodyDiv w:val="1"/>
      <w:marLeft w:val="0"/>
      <w:marRight w:val="0"/>
      <w:marTop w:val="0"/>
      <w:marBottom w:val="0"/>
      <w:divBdr>
        <w:top w:val="none" w:sz="0" w:space="0" w:color="auto"/>
        <w:left w:val="none" w:sz="0" w:space="0" w:color="auto"/>
        <w:bottom w:val="none" w:sz="0" w:space="0" w:color="auto"/>
        <w:right w:val="none" w:sz="0" w:space="0" w:color="auto"/>
      </w:divBdr>
    </w:div>
    <w:div w:id="634916715">
      <w:bodyDiv w:val="1"/>
      <w:marLeft w:val="0"/>
      <w:marRight w:val="0"/>
      <w:marTop w:val="0"/>
      <w:marBottom w:val="0"/>
      <w:divBdr>
        <w:top w:val="none" w:sz="0" w:space="0" w:color="auto"/>
        <w:left w:val="none" w:sz="0" w:space="0" w:color="auto"/>
        <w:bottom w:val="none" w:sz="0" w:space="0" w:color="auto"/>
        <w:right w:val="none" w:sz="0" w:space="0" w:color="auto"/>
      </w:divBdr>
    </w:div>
    <w:div w:id="682512716">
      <w:bodyDiv w:val="1"/>
      <w:marLeft w:val="0"/>
      <w:marRight w:val="0"/>
      <w:marTop w:val="0"/>
      <w:marBottom w:val="0"/>
      <w:divBdr>
        <w:top w:val="none" w:sz="0" w:space="0" w:color="auto"/>
        <w:left w:val="none" w:sz="0" w:space="0" w:color="auto"/>
        <w:bottom w:val="none" w:sz="0" w:space="0" w:color="auto"/>
        <w:right w:val="none" w:sz="0" w:space="0" w:color="auto"/>
      </w:divBdr>
    </w:div>
    <w:div w:id="726074358">
      <w:bodyDiv w:val="1"/>
      <w:marLeft w:val="0"/>
      <w:marRight w:val="0"/>
      <w:marTop w:val="0"/>
      <w:marBottom w:val="0"/>
      <w:divBdr>
        <w:top w:val="none" w:sz="0" w:space="0" w:color="auto"/>
        <w:left w:val="none" w:sz="0" w:space="0" w:color="auto"/>
        <w:bottom w:val="none" w:sz="0" w:space="0" w:color="auto"/>
        <w:right w:val="none" w:sz="0" w:space="0" w:color="auto"/>
      </w:divBdr>
    </w:div>
    <w:div w:id="804079962">
      <w:bodyDiv w:val="1"/>
      <w:marLeft w:val="0"/>
      <w:marRight w:val="0"/>
      <w:marTop w:val="0"/>
      <w:marBottom w:val="0"/>
      <w:divBdr>
        <w:top w:val="none" w:sz="0" w:space="0" w:color="auto"/>
        <w:left w:val="none" w:sz="0" w:space="0" w:color="auto"/>
        <w:bottom w:val="none" w:sz="0" w:space="0" w:color="auto"/>
        <w:right w:val="none" w:sz="0" w:space="0" w:color="auto"/>
      </w:divBdr>
    </w:div>
    <w:div w:id="864094920">
      <w:bodyDiv w:val="1"/>
      <w:marLeft w:val="0"/>
      <w:marRight w:val="0"/>
      <w:marTop w:val="0"/>
      <w:marBottom w:val="0"/>
      <w:divBdr>
        <w:top w:val="none" w:sz="0" w:space="0" w:color="auto"/>
        <w:left w:val="none" w:sz="0" w:space="0" w:color="auto"/>
        <w:bottom w:val="none" w:sz="0" w:space="0" w:color="auto"/>
        <w:right w:val="none" w:sz="0" w:space="0" w:color="auto"/>
      </w:divBdr>
    </w:div>
    <w:div w:id="882330122">
      <w:bodyDiv w:val="1"/>
      <w:marLeft w:val="0"/>
      <w:marRight w:val="0"/>
      <w:marTop w:val="0"/>
      <w:marBottom w:val="0"/>
      <w:divBdr>
        <w:top w:val="none" w:sz="0" w:space="0" w:color="auto"/>
        <w:left w:val="none" w:sz="0" w:space="0" w:color="auto"/>
        <w:bottom w:val="none" w:sz="0" w:space="0" w:color="auto"/>
        <w:right w:val="none" w:sz="0" w:space="0" w:color="auto"/>
      </w:divBdr>
    </w:div>
    <w:div w:id="903639311">
      <w:bodyDiv w:val="1"/>
      <w:marLeft w:val="0"/>
      <w:marRight w:val="0"/>
      <w:marTop w:val="0"/>
      <w:marBottom w:val="0"/>
      <w:divBdr>
        <w:top w:val="none" w:sz="0" w:space="0" w:color="auto"/>
        <w:left w:val="none" w:sz="0" w:space="0" w:color="auto"/>
        <w:bottom w:val="none" w:sz="0" w:space="0" w:color="auto"/>
        <w:right w:val="none" w:sz="0" w:space="0" w:color="auto"/>
      </w:divBdr>
    </w:div>
    <w:div w:id="930090172">
      <w:bodyDiv w:val="1"/>
      <w:marLeft w:val="0"/>
      <w:marRight w:val="0"/>
      <w:marTop w:val="0"/>
      <w:marBottom w:val="0"/>
      <w:divBdr>
        <w:top w:val="none" w:sz="0" w:space="0" w:color="auto"/>
        <w:left w:val="none" w:sz="0" w:space="0" w:color="auto"/>
        <w:bottom w:val="none" w:sz="0" w:space="0" w:color="auto"/>
        <w:right w:val="none" w:sz="0" w:space="0" w:color="auto"/>
      </w:divBdr>
    </w:div>
    <w:div w:id="947345891">
      <w:bodyDiv w:val="1"/>
      <w:marLeft w:val="0"/>
      <w:marRight w:val="0"/>
      <w:marTop w:val="0"/>
      <w:marBottom w:val="0"/>
      <w:divBdr>
        <w:top w:val="none" w:sz="0" w:space="0" w:color="auto"/>
        <w:left w:val="none" w:sz="0" w:space="0" w:color="auto"/>
        <w:bottom w:val="none" w:sz="0" w:space="0" w:color="auto"/>
        <w:right w:val="none" w:sz="0" w:space="0" w:color="auto"/>
      </w:divBdr>
    </w:div>
    <w:div w:id="951518944">
      <w:bodyDiv w:val="1"/>
      <w:marLeft w:val="0"/>
      <w:marRight w:val="0"/>
      <w:marTop w:val="0"/>
      <w:marBottom w:val="0"/>
      <w:divBdr>
        <w:top w:val="none" w:sz="0" w:space="0" w:color="auto"/>
        <w:left w:val="none" w:sz="0" w:space="0" w:color="auto"/>
        <w:bottom w:val="none" w:sz="0" w:space="0" w:color="auto"/>
        <w:right w:val="none" w:sz="0" w:space="0" w:color="auto"/>
      </w:divBdr>
    </w:div>
    <w:div w:id="954405704">
      <w:bodyDiv w:val="1"/>
      <w:marLeft w:val="0"/>
      <w:marRight w:val="0"/>
      <w:marTop w:val="0"/>
      <w:marBottom w:val="0"/>
      <w:divBdr>
        <w:top w:val="none" w:sz="0" w:space="0" w:color="auto"/>
        <w:left w:val="none" w:sz="0" w:space="0" w:color="auto"/>
        <w:bottom w:val="none" w:sz="0" w:space="0" w:color="auto"/>
        <w:right w:val="none" w:sz="0" w:space="0" w:color="auto"/>
      </w:divBdr>
    </w:div>
    <w:div w:id="979336603">
      <w:bodyDiv w:val="1"/>
      <w:marLeft w:val="0"/>
      <w:marRight w:val="0"/>
      <w:marTop w:val="0"/>
      <w:marBottom w:val="0"/>
      <w:divBdr>
        <w:top w:val="none" w:sz="0" w:space="0" w:color="auto"/>
        <w:left w:val="none" w:sz="0" w:space="0" w:color="auto"/>
        <w:bottom w:val="none" w:sz="0" w:space="0" w:color="auto"/>
        <w:right w:val="none" w:sz="0" w:space="0" w:color="auto"/>
      </w:divBdr>
    </w:div>
    <w:div w:id="1001204005">
      <w:bodyDiv w:val="1"/>
      <w:marLeft w:val="0"/>
      <w:marRight w:val="0"/>
      <w:marTop w:val="0"/>
      <w:marBottom w:val="0"/>
      <w:divBdr>
        <w:top w:val="none" w:sz="0" w:space="0" w:color="auto"/>
        <w:left w:val="none" w:sz="0" w:space="0" w:color="auto"/>
        <w:bottom w:val="none" w:sz="0" w:space="0" w:color="auto"/>
        <w:right w:val="none" w:sz="0" w:space="0" w:color="auto"/>
      </w:divBdr>
    </w:div>
    <w:div w:id="1080256583">
      <w:bodyDiv w:val="1"/>
      <w:marLeft w:val="0"/>
      <w:marRight w:val="0"/>
      <w:marTop w:val="0"/>
      <w:marBottom w:val="0"/>
      <w:divBdr>
        <w:top w:val="none" w:sz="0" w:space="0" w:color="auto"/>
        <w:left w:val="none" w:sz="0" w:space="0" w:color="auto"/>
        <w:bottom w:val="none" w:sz="0" w:space="0" w:color="auto"/>
        <w:right w:val="none" w:sz="0" w:space="0" w:color="auto"/>
      </w:divBdr>
    </w:div>
    <w:div w:id="1128740004">
      <w:bodyDiv w:val="1"/>
      <w:marLeft w:val="0"/>
      <w:marRight w:val="0"/>
      <w:marTop w:val="0"/>
      <w:marBottom w:val="0"/>
      <w:divBdr>
        <w:top w:val="none" w:sz="0" w:space="0" w:color="auto"/>
        <w:left w:val="none" w:sz="0" w:space="0" w:color="auto"/>
        <w:bottom w:val="none" w:sz="0" w:space="0" w:color="auto"/>
        <w:right w:val="none" w:sz="0" w:space="0" w:color="auto"/>
      </w:divBdr>
    </w:div>
    <w:div w:id="1169834217">
      <w:bodyDiv w:val="1"/>
      <w:marLeft w:val="0"/>
      <w:marRight w:val="0"/>
      <w:marTop w:val="0"/>
      <w:marBottom w:val="0"/>
      <w:divBdr>
        <w:top w:val="none" w:sz="0" w:space="0" w:color="auto"/>
        <w:left w:val="none" w:sz="0" w:space="0" w:color="auto"/>
        <w:bottom w:val="none" w:sz="0" w:space="0" w:color="auto"/>
        <w:right w:val="none" w:sz="0" w:space="0" w:color="auto"/>
      </w:divBdr>
    </w:div>
    <w:div w:id="1177619138">
      <w:bodyDiv w:val="1"/>
      <w:marLeft w:val="0"/>
      <w:marRight w:val="0"/>
      <w:marTop w:val="0"/>
      <w:marBottom w:val="0"/>
      <w:divBdr>
        <w:top w:val="none" w:sz="0" w:space="0" w:color="auto"/>
        <w:left w:val="none" w:sz="0" w:space="0" w:color="auto"/>
        <w:bottom w:val="none" w:sz="0" w:space="0" w:color="auto"/>
        <w:right w:val="none" w:sz="0" w:space="0" w:color="auto"/>
      </w:divBdr>
    </w:div>
    <w:div w:id="1196693828">
      <w:bodyDiv w:val="1"/>
      <w:marLeft w:val="0"/>
      <w:marRight w:val="0"/>
      <w:marTop w:val="0"/>
      <w:marBottom w:val="0"/>
      <w:divBdr>
        <w:top w:val="none" w:sz="0" w:space="0" w:color="auto"/>
        <w:left w:val="none" w:sz="0" w:space="0" w:color="auto"/>
        <w:bottom w:val="none" w:sz="0" w:space="0" w:color="auto"/>
        <w:right w:val="none" w:sz="0" w:space="0" w:color="auto"/>
      </w:divBdr>
    </w:div>
    <w:div w:id="1311908555">
      <w:bodyDiv w:val="1"/>
      <w:marLeft w:val="0"/>
      <w:marRight w:val="0"/>
      <w:marTop w:val="0"/>
      <w:marBottom w:val="0"/>
      <w:divBdr>
        <w:top w:val="none" w:sz="0" w:space="0" w:color="auto"/>
        <w:left w:val="none" w:sz="0" w:space="0" w:color="auto"/>
        <w:bottom w:val="none" w:sz="0" w:space="0" w:color="auto"/>
        <w:right w:val="none" w:sz="0" w:space="0" w:color="auto"/>
      </w:divBdr>
    </w:div>
    <w:div w:id="1350251031">
      <w:bodyDiv w:val="1"/>
      <w:marLeft w:val="0"/>
      <w:marRight w:val="0"/>
      <w:marTop w:val="0"/>
      <w:marBottom w:val="0"/>
      <w:divBdr>
        <w:top w:val="none" w:sz="0" w:space="0" w:color="auto"/>
        <w:left w:val="none" w:sz="0" w:space="0" w:color="auto"/>
        <w:bottom w:val="none" w:sz="0" w:space="0" w:color="auto"/>
        <w:right w:val="none" w:sz="0" w:space="0" w:color="auto"/>
      </w:divBdr>
    </w:div>
    <w:div w:id="1389111907">
      <w:bodyDiv w:val="1"/>
      <w:marLeft w:val="0"/>
      <w:marRight w:val="0"/>
      <w:marTop w:val="0"/>
      <w:marBottom w:val="0"/>
      <w:divBdr>
        <w:top w:val="none" w:sz="0" w:space="0" w:color="auto"/>
        <w:left w:val="none" w:sz="0" w:space="0" w:color="auto"/>
        <w:bottom w:val="none" w:sz="0" w:space="0" w:color="auto"/>
        <w:right w:val="none" w:sz="0" w:space="0" w:color="auto"/>
      </w:divBdr>
    </w:div>
    <w:div w:id="1415973476">
      <w:bodyDiv w:val="1"/>
      <w:marLeft w:val="0"/>
      <w:marRight w:val="0"/>
      <w:marTop w:val="0"/>
      <w:marBottom w:val="0"/>
      <w:divBdr>
        <w:top w:val="none" w:sz="0" w:space="0" w:color="auto"/>
        <w:left w:val="none" w:sz="0" w:space="0" w:color="auto"/>
        <w:bottom w:val="none" w:sz="0" w:space="0" w:color="auto"/>
        <w:right w:val="none" w:sz="0" w:space="0" w:color="auto"/>
      </w:divBdr>
    </w:div>
    <w:div w:id="1417748203">
      <w:bodyDiv w:val="1"/>
      <w:marLeft w:val="0"/>
      <w:marRight w:val="0"/>
      <w:marTop w:val="0"/>
      <w:marBottom w:val="0"/>
      <w:divBdr>
        <w:top w:val="none" w:sz="0" w:space="0" w:color="auto"/>
        <w:left w:val="none" w:sz="0" w:space="0" w:color="auto"/>
        <w:bottom w:val="none" w:sz="0" w:space="0" w:color="auto"/>
        <w:right w:val="none" w:sz="0" w:space="0" w:color="auto"/>
      </w:divBdr>
    </w:div>
    <w:div w:id="1532113378">
      <w:bodyDiv w:val="1"/>
      <w:marLeft w:val="0"/>
      <w:marRight w:val="0"/>
      <w:marTop w:val="0"/>
      <w:marBottom w:val="0"/>
      <w:divBdr>
        <w:top w:val="none" w:sz="0" w:space="0" w:color="auto"/>
        <w:left w:val="none" w:sz="0" w:space="0" w:color="auto"/>
        <w:bottom w:val="none" w:sz="0" w:space="0" w:color="auto"/>
        <w:right w:val="none" w:sz="0" w:space="0" w:color="auto"/>
      </w:divBdr>
    </w:div>
    <w:div w:id="1547185405">
      <w:bodyDiv w:val="1"/>
      <w:marLeft w:val="0"/>
      <w:marRight w:val="0"/>
      <w:marTop w:val="0"/>
      <w:marBottom w:val="0"/>
      <w:divBdr>
        <w:top w:val="none" w:sz="0" w:space="0" w:color="auto"/>
        <w:left w:val="none" w:sz="0" w:space="0" w:color="auto"/>
        <w:bottom w:val="none" w:sz="0" w:space="0" w:color="auto"/>
        <w:right w:val="none" w:sz="0" w:space="0" w:color="auto"/>
      </w:divBdr>
    </w:div>
    <w:div w:id="1551262778">
      <w:bodyDiv w:val="1"/>
      <w:marLeft w:val="0"/>
      <w:marRight w:val="0"/>
      <w:marTop w:val="0"/>
      <w:marBottom w:val="0"/>
      <w:divBdr>
        <w:top w:val="none" w:sz="0" w:space="0" w:color="auto"/>
        <w:left w:val="none" w:sz="0" w:space="0" w:color="auto"/>
        <w:bottom w:val="none" w:sz="0" w:space="0" w:color="auto"/>
        <w:right w:val="none" w:sz="0" w:space="0" w:color="auto"/>
      </w:divBdr>
    </w:div>
    <w:div w:id="1743599435">
      <w:bodyDiv w:val="1"/>
      <w:marLeft w:val="0"/>
      <w:marRight w:val="0"/>
      <w:marTop w:val="0"/>
      <w:marBottom w:val="0"/>
      <w:divBdr>
        <w:top w:val="none" w:sz="0" w:space="0" w:color="auto"/>
        <w:left w:val="none" w:sz="0" w:space="0" w:color="auto"/>
        <w:bottom w:val="none" w:sz="0" w:space="0" w:color="auto"/>
        <w:right w:val="none" w:sz="0" w:space="0" w:color="auto"/>
      </w:divBdr>
    </w:div>
    <w:div w:id="1753697071">
      <w:bodyDiv w:val="1"/>
      <w:marLeft w:val="0"/>
      <w:marRight w:val="0"/>
      <w:marTop w:val="0"/>
      <w:marBottom w:val="0"/>
      <w:divBdr>
        <w:top w:val="none" w:sz="0" w:space="0" w:color="auto"/>
        <w:left w:val="none" w:sz="0" w:space="0" w:color="auto"/>
        <w:bottom w:val="none" w:sz="0" w:space="0" w:color="auto"/>
        <w:right w:val="none" w:sz="0" w:space="0" w:color="auto"/>
      </w:divBdr>
    </w:div>
    <w:div w:id="1788960190">
      <w:bodyDiv w:val="1"/>
      <w:marLeft w:val="0"/>
      <w:marRight w:val="0"/>
      <w:marTop w:val="0"/>
      <w:marBottom w:val="0"/>
      <w:divBdr>
        <w:top w:val="none" w:sz="0" w:space="0" w:color="auto"/>
        <w:left w:val="none" w:sz="0" w:space="0" w:color="auto"/>
        <w:bottom w:val="none" w:sz="0" w:space="0" w:color="auto"/>
        <w:right w:val="none" w:sz="0" w:space="0" w:color="auto"/>
      </w:divBdr>
    </w:div>
    <w:div w:id="1856770775">
      <w:bodyDiv w:val="1"/>
      <w:marLeft w:val="0"/>
      <w:marRight w:val="0"/>
      <w:marTop w:val="0"/>
      <w:marBottom w:val="0"/>
      <w:divBdr>
        <w:top w:val="none" w:sz="0" w:space="0" w:color="auto"/>
        <w:left w:val="none" w:sz="0" w:space="0" w:color="auto"/>
        <w:bottom w:val="none" w:sz="0" w:space="0" w:color="auto"/>
        <w:right w:val="none" w:sz="0" w:space="0" w:color="auto"/>
      </w:divBdr>
    </w:div>
    <w:div w:id="1898933487">
      <w:bodyDiv w:val="1"/>
      <w:marLeft w:val="0"/>
      <w:marRight w:val="0"/>
      <w:marTop w:val="0"/>
      <w:marBottom w:val="0"/>
      <w:divBdr>
        <w:top w:val="none" w:sz="0" w:space="0" w:color="auto"/>
        <w:left w:val="none" w:sz="0" w:space="0" w:color="auto"/>
        <w:bottom w:val="none" w:sz="0" w:space="0" w:color="auto"/>
        <w:right w:val="none" w:sz="0" w:space="0" w:color="auto"/>
      </w:divBdr>
    </w:div>
    <w:div w:id="1907496235">
      <w:bodyDiv w:val="1"/>
      <w:marLeft w:val="0"/>
      <w:marRight w:val="0"/>
      <w:marTop w:val="0"/>
      <w:marBottom w:val="0"/>
      <w:divBdr>
        <w:top w:val="none" w:sz="0" w:space="0" w:color="auto"/>
        <w:left w:val="none" w:sz="0" w:space="0" w:color="auto"/>
        <w:bottom w:val="none" w:sz="0" w:space="0" w:color="auto"/>
        <w:right w:val="none" w:sz="0" w:space="0" w:color="auto"/>
      </w:divBdr>
    </w:div>
    <w:div w:id="2101636297">
      <w:bodyDiv w:val="1"/>
      <w:marLeft w:val="0"/>
      <w:marRight w:val="0"/>
      <w:marTop w:val="0"/>
      <w:marBottom w:val="0"/>
      <w:divBdr>
        <w:top w:val="none" w:sz="0" w:space="0" w:color="auto"/>
        <w:left w:val="none" w:sz="0" w:space="0" w:color="auto"/>
        <w:bottom w:val="none" w:sz="0" w:space="0" w:color="auto"/>
        <w:right w:val="none" w:sz="0" w:space="0" w:color="auto"/>
      </w:divBdr>
    </w:div>
    <w:div w:id="21241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F47A8-BDAE-47FC-9CDB-DF4A9F36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4</DocSecurity>
  <Lines>7</Lines>
  <Paragraphs>2</Paragraphs>
  <ScaleCrop>false</ScaleCrop>
  <Company>MC SYSTEM</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2017-06-01T07:57:00Z</cp:lastPrinted>
  <dcterms:created xsi:type="dcterms:W3CDTF">2026-04-01T16:02:00Z</dcterms:created>
  <dcterms:modified xsi:type="dcterms:W3CDTF">2026-04-01T16:02:00Z</dcterms:modified>
</cp:coreProperties>
</file>