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B40" w:rsidRPr="00AF7E3B" w:rsidRDefault="001F1B40">
      <w:pPr>
        <w:jc w:val="center"/>
        <w:rPr>
          <w:rFonts w:ascii="宋体" w:hAnsi="宋体"/>
          <w:b/>
          <w:color w:val="000000"/>
          <w:szCs w:val="24"/>
        </w:rPr>
      </w:pPr>
      <w:bookmarkStart w:id="0" w:name="FM_KS_1"/>
      <w:bookmarkEnd w:id="0"/>
    </w:p>
    <w:p w:rsidR="001F1B40" w:rsidRPr="00AF7E3B" w:rsidRDefault="001F1B40">
      <w:pPr>
        <w:jc w:val="center"/>
        <w:rPr>
          <w:rFonts w:ascii="宋体" w:hAnsi="宋体" w:hint="eastAsia"/>
          <w:b/>
          <w:color w:val="000000"/>
          <w:szCs w:val="24"/>
        </w:rPr>
      </w:pPr>
    </w:p>
    <w:p w:rsidR="001F1B40" w:rsidRPr="00AF7E3B" w:rsidRDefault="001F1B40">
      <w:pPr>
        <w:jc w:val="center"/>
        <w:rPr>
          <w:rFonts w:ascii="宋体" w:hAnsi="宋体" w:hint="eastAsia"/>
          <w:b/>
          <w:color w:val="000000"/>
          <w:szCs w:val="24"/>
        </w:rPr>
      </w:pPr>
      <w:r w:rsidRPr="00AF7E3B">
        <w:rPr>
          <w:rFonts w:ascii="宋体" w:hAnsi="宋体" w:hint="eastAsia"/>
          <w:b/>
          <w:color w:val="000000"/>
          <w:szCs w:val="24"/>
        </w:rPr>
        <w:t>中信保诚四季红混合型证券投资基金</w:t>
      </w:r>
      <w:r w:rsidRPr="00AF7E3B">
        <w:rPr>
          <w:rFonts w:ascii="宋体" w:hAnsi="宋体" w:hint="eastAsia"/>
          <w:b/>
          <w:color w:val="000000"/>
          <w:szCs w:val="24"/>
        </w:rPr>
        <w:br/>
        <w:t>分红公告</w:t>
      </w:r>
    </w:p>
    <w:p w:rsidR="001F1B40" w:rsidRPr="00AF7E3B" w:rsidRDefault="001F1B40">
      <w:pPr>
        <w:jc w:val="center"/>
        <w:rPr>
          <w:rFonts w:ascii="宋体" w:hAnsi="宋体" w:hint="eastAsia"/>
          <w:b/>
          <w:color w:val="000000"/>
          <w:szCs w:val="24"/>
        </w:rPr>
      </w:pPr>
    </w:p>
    <w:p w:rsidR="001F1B40" w:rsidRPr="00AF7E3B" w:rsidRDefault="001F1B40">
      <w:pPr>
        <w:jc w:val="center"/>
        <w:rPr>
          <w:rFonts w:ascii="宋体" w:hAnsi="宋体" w:hint="eastAsia"/>
          <w:b/>
          <w:color w:val="000000"/>
          <w:szCs w:val="24"/>
        </w:rPr>
      </w:pPr>
    </w:p>
    <w:p w:rsidR="001F1B40" w:rsidRPr="00AF7E3B" w:rsidRDefault="001F1B40">
      <w:pPr>
        <w:adjustRightInd w:val="0"/>
        <w:snapToGrid w:val="0"/>
        <w:spacing w:line="460" w:lineRule="exact"/>
        <w:jc w:val="center"/>
        <w:rPr>
          <w:rFonts w:ascii="宋体" w:hAnsi="宋体" w:hint="eastAsia"/>
          <w:b/>
          <w:color w:val="000000"/>
          <w:szCs w:val="24"/>
        </w:rPr>
      </w:pPr>
      <w:r w:rsidRPr="00AF7E3B">
        <w:rPr>
          <w:rFonts w:ascii="宋体" w:hAnsi="宋体" w:hint="eastAsia"/>
          <w:b/>
          <w:color w:val="000000"/>
          <w:szCs w:val="24"/>
        </w:rPr>
        <w:t>公告送出日期：2026年04月01日</w:t>
      </w:r>
      <w:bookmarkStart w:id="1" w:name="FM_JS_1"/>
      <w:bookmarkEnd w:id="1"/>
    </w:p>
    <w:p w:rsidR="001F1B40" w:rsidRDefault="001F1B40">
      <w:pPr>
        <w:rPr>
          <w:rFonts w:hint="eastAsia"/>
        </w:rPr>
      </w:pPr>
    </w:p>
    <w:p w:rsidR="001F1B40" w:rsidRDefault="001F1B40">
      <w:pPr>
        <w:jc w:val="center"/>
      </w:pPr>
    </w:p>
    <w:p w:rsidR="001F1B40" w:rsidRDefault="001F1B40">
      <w:pPr>
        <w:pStyle w:val="10"/>
        <w:numPr>
          <w:ilvl w:val="0"/>
          <w:numId w:val="10"/>
        </w:numPr>
        <w:spacing w:before="0" w:after="0"/>
        <w:jc w:val="left"/>
      </w:pPr>
      <w:bookmarkStart w:id="2" w:name="ZJ_1_KS"/>
      <w:bookmarkEnd w:id="2"/>
      <w:r>
        <w:rPr>
          <w:rFonts w:hint="eastAsia"/>
        </w:rPr>
        <w:t>公告基本信息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2334"/>
        <w:gridCol w:w="2822"/>
        <w:gridCol w:w="3356"/>
      </w:tblGrid>
      <w:tr w:rsidR="001F1B40" w:rsidRPr="00AF7E3B">
        <w:trPr>
          <w:trHeight w:val="454"/>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基金名称</w:t>
            </w:r>
          </w:p>
        </w:tc>
        <w:tc>
          <w:tcPr>
            <w:tcW w:w="6178"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中信保诚四季红混合型证券投资基金</w:t>
            </w:r>
          </w:p>
        </w:tc>
      </w:tr>
      <w:tr w:rsidR="001F1B40" w:rsidRPr="00AF7E3B">
        <w:trPr>
          <w:trHeight w:val="454"/>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基金简称</w:t>
            </w:r>
          </w:p>
        </w:tc>
        <w:tc>
          <w:tcPr>
            <w:tcW w:w="6178"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中信保诚四季红混合</w:t>
            </w:r>
          </w:p>
        </w:tc>
      </w:tr>
      <w:tr w:rsidR="001F1B40" w:rsidRPr="00AF7E3B">
        <w:trPr>
          <w:trHeight w:val="454"/>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基金主代码</w:t>
            </w:r>
          </w:p>
        </w:tc>
        <w:tc>
          <w:tcPr>
            <w:tcW w:w="6178"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550001</w:t>
            </w:r>
          </w:p>
        </w:tc>
      </w:tr>
      <w:tr w:rsidR="001F1B40" w:rsidRPr="00AF7E3B">
        <w:trPr>
          <w:trHeight w:val="454"/>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基金合同生效日</w:t>
            </w:r>
          </w:p>
        </w:tc>
        <w:tc>
          <w:tcPr>
            <w:tcW w:w="6178"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2006年04月29日</w:t>
            </w:r>
          </w:p>
        </w:tc>
      </w:tr>
      <w:tr w:rsidR="001F1B40" w:rsidRPr="00AF7E3B">
        <w:trPr>
          <w:trHeight w:val="454"/>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基金管理人名称</w:t>
            </w:r>
          </w:p>
        </w:tc>
        <w:tc>
          <w:tcPr>
            <w:tcW w:w="6178"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中信保诚基金管理有限公司</w:t>
            </w:r>
          </w:p>
        </w:tc>
      </w:tr>
      <w:tr w:rsidR="001F1B40" w:rsidRPr="00AF7E3B">
        <w:trPr>
          <w:trHeight w:val="454"/>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基金托管人名称</w:t>
            </w:r>
          </w:p>
        </w:tc>
        <w:tc>
          <w:tcPr>
            <w:tcW w:w="6178"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中国农业银行股份有限公司</w:t>
            </w:r>
          </w:p>
        </w:tc>
      </w:tr>
      <w:tr w:rsidR="001F1B40" w:rsidRPr="00AF7E3B">
        <w:trPr>
          <w:trHeight w:val="454"/>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公告依据</w:t>
            </w:r>
          </w:p>
        </w:tc>
        <w:tc>
          <w:tcPr>
            <w:tcW w:w="6178"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《中华人民共和国证券投资基金法》《公开募集证券投资基金运作管理办法》《中信保诚四季红混合型证券投资基金基金合同》和《中信保诚四季红混合型证券投资基金招募说明书》</w:t>
            </w:r>
          </w:p>
        </w:tc>
      </w:tr>
      <w:tr w:rsidR="001F1B40" w:rsidRPr="00AF7E3B">
        <w:trPr>
          <w:trHeight w:val="454"/>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收益分配基准日</w:t>
            </w:r>
          </w:p>
        </w:tc>
        <w:tc>
          <w:tcPr>
            <w:tcW w:w="6178"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2026年03月31日</w:t>
            </w:r>
          </w:p>
        </w:tc>
      </w:tr>
      <w:tr w:rsidR="001F1B40" w:rsidRPr="00AF7E3B">
        <w:trPr>
          <w:trHeight w:val="291"/>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color w:val="000000"/>
                <w:szCs w:val="21"/>
              </w:rPr>
              <w:t>有关年度分红次数的说明</w:t>
            </w:r>
          </w:p>
        </w:tc>
        <w:tc>
          <w:tcPr>
            <w:tcW w:w="6178"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2026年第1次</w:t>
            </w:r>
          </w:p>
        </w:tc>
      </w:tr>
      <w:tr w:rsidR="001F1B40" w:rsidRPr="00AF7E3B">
        <w:trPr>
          <w:trHeight w:val="71"/>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bookmarkStart w:id="3" w:name="FJH_2_KS_1"/>
            <w:bookmarkEnd w:id="3"/>
            <w:r>
              <w:rPr>
                <w:rFonts w:ascii="宋体" w:hAnsi="宋体" w:hint="eastAsia"/>
                <w:szCs w:val="21"/>
              </w:rPr>
              <w:t>下属分级基金的基金简称</w:t>
            </w:r>
          </w:p>
        </w:tc>
        <w:tc>
          <w:tcPr>
            <w:tcW w:w="2822"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jc w:val="left"/>
              <w:rPr>
                <w:rFonts w:ascii="宋体" w:hAnsi="宋体" w:hint="eastAsia"/>
                <w:szCs w:val="21"/>
              </w:rPr>
            </w:pPr>
            <w:r>
              <w:rPr>
                <w:rFonts w:ascii="宋体" w:hAnsi="宋体" w:hint="eastAsia"/>
                <w:szCs w:val="21"/>
              </w:rPr>
              <w:t>中信保诚四季红混合A</w:t>
            </w:r>
          </w:p>
        </w:tc>
        <w:tc>
          <w:tcPr>
            <w:tcW w:w="3356"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jc w:val="left"/>
              <w:rPr>
                <w:rFonts w:ascii="宋体" w:hAnsi="宋体" w:hint="eastAsia"/>
                <w:szCs w:val="21"/>
              </w:rPr>
            </w:pPr>
            <w:r>
              <w:rPr>
                <w:rFonts w:ascii="宋体" w:hAnsi="宋体" w:hint="eastAsia"/>
                <w:szCs w:val="21"/>
              </w:rPr>
              <w:t>中信保诚四季红混合C</w:t>
            </w:r>
          </w:p>
        </w:tc>
      </w:tr>
      <w:tr w:rsidR="001F1B40" w:rsidRPr="00AF7E3B">
        <w:trPr>
          <w:trHeight w:val="68"/>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下属分级基金的交易代码</w:t>
            </w:r>
          </w:p>
        </w:tc>
        <w:tc>
          <w:tcPr>
            <w:tcW w:w="2822"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jc w:val="left"/>
              <w:rPr>
                <w:rFonts w:ascii="宋体" w:hAnsi="宋体" w:hint="eastAsia"/>
                <w:szCs w:val="21"/>
              </w:rPr>
            </w:pPr>
            <w:r>
              <w:rPr>
                <w:rFonts w:ascii="宋体" w:hAnsi="宋体" w:hint="eastAsia"/>
                <w:szCs w:val="21"/>
              </w:rPr>
              <w:t>550001</w:t>
            </w:r>
          </w:p>
        </w:tc>
        <w:tc>
          <w:tcPr>
            <w:tcW w:w="3356"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jc w:val="left"/>
              <w:rPr>
                <w:rFonts w:ascii="宋体" w:hAnsi="宋体" w:hint="eastAsia"/>
                <w:szCs w:val="21"/>
              </w:rPr>
            </w:pPr>
            <w:r>
              <w:rPr>
                <w:rFonts w:ascii="宋体" w:hAnsi="宋体" w:hint="eastAsia"/>
                <w:szCs w:val="21"/>
              </w:rPr>
              <w:t>018932</w:t>
            </w:r>
          </w:p>
        </w:tc>
      </w:tr>
      <w:tr w:rsidR="001F1B40" w:rsidRPr="00AF7E3B">
        <w:trPr>
          <w:trHeight w:val="68"/>
        </w:trPr>
        <w:tc>
          <w:tcPr>
            <w:tcW w:w="1343" w:type="dxa"/>
            <w:vMerge w:val="restart"/>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截止基准日下属分级基金的相关指标</w:t>
            </w:r>
          </w:p>
        </w:tc>
        <w:tc>
          <w:tcPr>
            <w:tcW w:w="2334"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基准日下属分级基金份额净值（单位：人民币元）</w:t>
            </w:r>
          </w:p>
        </w:tc>
        <w:tc>
          <w:tcPr>
            <w:tcW w:w="2822"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jc w:val="right"/>
              <w:rPr>
                <w:rFonts w:ascii="宋体" w:hAnsi="宋体" w:hint="eastAsia"/>
                <w:szCs w:val="21"/>
              </w:rPr>
            </w:pPr>
            <w:r>
              <w:rPr>
                <w:rFonts w:ascii="宋体" w:hAnsi="宋体" w:hint="eastAsia"/>
                <w:szCs w:val="21"/>
              </w:rPr>
              <w:t>1.0099</w:t>
            </w:r>
          </w:p>
        </w:tc>
        <w:tc>
          <w:tcPr>
            <w:tcW w:w="3356"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jc w:val="right"/>
              <w:rPr>
                <w:rFonts w:ascii="宋体" w:hAnsi="宋体" w:hint="eastAsia"/>
                <w:szCs w:val="21"/>
              </w:rPr>
            </w:pPr>
            <w:r>
              <w:rPr>
                <w:rFonts w:ascii="宋体" w:hAnsi="宋体" w:hint="eastAsia"/>
                <w:szCs w:val="21"/>
              </w:rPr>
              <w:t>0.9938</w:t>
            </w:r>
          </w:p>
        </w:tc>
      </w:tr>
      <w:tr w:rsidR="001F1B40" w:rsidRPr="00AF7E3B">
        <w:trPr>
          <w:trHeight w:val="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B40" w:rsidRDefault="001F1B40">
            <w:pPr>
              <w:widowControl/>
              <w:spacing w:line="240" w:lineRule="auto"/>
              <w:jc w:val="left"/>
              <w:rPr>
                <w:rFonts w:ascii="宋体" w:hAnsi="宋体"/>
                <w:sz w:val="21"/>
                <w:szCs w:val="21"/>
              </w:rPr>
            </w:pPr>
          </w:p>
        </w:tc>
        <w:tc>
          <w:tcPr>
            <w:tcW w:w="2334"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基准日下属分级基金可供分配利润(单位:人民币元）</w:t>
            </w:r>
          </w:p>
        </w:tc>
        <w:tc>
          <w:tcPr>
            <w:tcW w:w="2822"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jc w:val="right"/>
              <w:rPr>
                <w:rFonts w:ascii="宋体" w:hAnsi="宋体" w:hint="eastAsia"/>
                <w:szCs w:val="21"/>
              </w:rPr>
            </w:pPr>
            <w:r>
              <w:rPr>
                <w:rFonts w:ascii="宋体" w:hAnsi="宋体" w:hint="eastAsia"/>
                <w:szCs w:val="21"/>
              </w:rPr>
              <w:t>4,407,810.04</w:t>
            </w:r>
          </w:p>
        </w:tc>
        <w:tc>
          <w:tcPr>
            <w:tcW w:w="3356"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jc w:val="right"/>
              <w:rPr>
                <w:rFonts w:ascii="宋体" w:hAnsi="宋体" w:hint="eastAsia"/>
                <w:szCs w:val="21"/>
              </w:rPr>
            </w:pPr>
            <w:r>
              <w:rPr>
                <w:rFonts w:ascii="宋体" w:hAnsi="宋体" w:hint="eastAsia"/>
                <w:szCs w:val="21"/>
              </w:rPr>
              <w:t>-23,525.77</w:t>
            </w:r>
          </w:p>
        </w:tc>
      </w:tr>
      <w:tr w:rsidR="001F1B40" w:rsidRPr="00AF7E3B">
        <w:trPr>
          <w:trHeight w:val="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F1B40" w:rsidRDefault="001F1B40">
            <w:pPr>
              <w:widowControl/>
              <w:spacing w:line="240" w:lineRule="auto"/>
              <w:jc w:val="left"/>
              <w:rPr>
                <w:rFonts w:ascii="宋体" w:hAnsi="宋体"/>
                <w:sz w:val="21"/>
                <w:szCs w:val="21"/>
              </w:rPr>
            </w:pPr>
          </w:p>
        </w:tc>
        <w:tc>
          <w:tcPr>
            <w:tcW w:w="2334"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截止基准日按照基金合同约定的分红比例计算的应分配金额（单位:人民币元）</w:t>
            </w:r>
          </w:p>
        </w:tc>
        <w:tc>
          <w:tcPr>
            <w:tcW w:w="2822"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jc w:val="right"/>
              <w:rPr>
                <w:rFonts w:ascii="宋体" w:hAnsi="宋体" w:hint="eastAsia"/>
                <w:szCs w:val="21"/>
              </w:rPr>
            </w:pPr>
            <w:r>
              <w:rPr>
                <w:rFonts w:ascii="宋体" w:hAnsi="宋体" w:hint="eastAsia"/>
                <w:szCs w:val="21"/>
              </w:rPr>
              <w:t>1,101,952.51</w:t>
            </w:r>
          </w:p>
        </w:tc>
        <w:tc>
          <w:tcPr>
            <w:tcW w:w="3356"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jc w:val="right"/>
              <w:rPr>
                <w:rFonts w:ascii="宋体" w:hAnsi="宋体" w:hint="eastAsia"/>
                <w:szCs w:val="21"/>
              </w:rPr>
            </w:pPr>
            <w:r>
              <w:rPr>
                <w:rFonts w:ascii="宋体" w:hAnsi="宋体" w:hint="eastAsia"/>
                <w:szCs w:val="21"/>
              </w:rPr>
              <w:t>0.00</w:t>
            </w:r>
          </w:p>
        </w:tc>
      </w:tr>
      <w:tr w:rsidR="001F1B40" w:rsidRPr="00AF7E3B">
        <w:trPr>
          <w:trHeight w:val="68"/>
        </w:trPr>
        <w:tc>
          <w:tcPr>
            <w:tcW w:w="3677" w:type="dxa"/>
            <w:gridSpan w:val="2"/>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bookmarkStart w:id="4" w:name="YSH_XN_9139_FJXH12_KS_1"/>
            <w:bookmarkEnd w:id="4"/>
            <w:r>
              <w:rPr>
                <w:rFonts w:ascii="宋体" w:hAnsi="宋体" w:hint="eastAsia"/>
                <w:szCs w:val="21"/>
              </w:rPr>
              <w:t>本次下属分级基金分红方案（单位：</w:t>
            </w:r>
            <w:r>
              <w:rPr>
                <w:rFonts w:ascii="宋体" w:hAnsi="宋体" w:hint="eastAsia"/>
                <w:color w:val="000000"/>
                <w:szCs w:val="21"/>
              </w:rPr>
              <w:t>元/10份基金份额</w:t>
            </w:r>
            <w:r>
              <w:rPr>
                <w:rFonts w:ascii="宋体" w:hAnsi="宋体" w:hint="eastAsia"/>
                <w:szCs w:val="21"/>
              </w:rPr>
              <w:t>）</w:t>
            </w:r>
          </w:p>
        </w:tc>
        <w:tc>
          <w:tcPr>
            <w:tcW w:w="2822"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jc w:val="right"/>
              <w:rPr>
                <w:rFonts w:ascii="宋体" w:hAnsi="宋体" w:hint="eastAsia"/>
                <w:szCs w:val="21"/>
              </w:rPr>
            </w:pPr>
            <w:r>
              <w:rPr>
                <w:rFonts w:ascii="宋体" w:hAnsi="宋体" w:hint="eastAsia"/>
                <w:szCs w:val="21"/>
              </w:rPr>
              <w:t>0.03</w:t>
            </w:r>
          </w:p>
        </w:tc>
        <w:tc>
          <w:tcPr>
            <w:tcW w:w="3356"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jc w:val="right"/>
              <w:rPr>
                <w:rFonts w:ascii="宋体" w:hAnsi="宋体" w:hint="eastAsia"/>
                <w:szCs w:val="21"/>
              </w:rPr>
            </w:pPr>
            <w:r>
              <w:rPr>
                <w:rFonts w:ascii="宋体" w:hAnsi="宋体" w:hint="eastAsia"/>
                <w:szCs w:val="21"/>
              </w:rPr>
              <w:t>-</w:t>
            </w:r>
            <w:bookmarkStart w:id="5" w:name="FJH_2_JS_1"/>
            <w:bookmarkStart w:id="6" w:name="YSH_XN_9139_FJXH12_JS_1"/>
            <w:bookmarkEnd w:id="5"/>
            <w:bookmarkEnd w:id="6"/>
          </w:p>
        </w:tc>
      </w:tr>
    </w:tbl>
    <w:p w:rsidR="001F1B40" w:rsidRPr="00AF7E3B" w:rsidRDefault="001F1B40">
      <w:pPr>
        <w:pStyle w:val="10"/>
        <w:numPr>
          <w:ilvl w:val="0"/>
          <w:numId w:val="10"/>
        </w:numPr>
        <w:spacing w:beforeLines="100" w:after="0"/>
        <w:jc w:val="left"/>
        <w:rPr>
          <w:rFonts w:hint="eastAsia"/>
        </w:rPr>
      </w:pPr>
      <w:bookmarkStart w:id="7" w:name="ZJ_2_KS"/>
      <w:bookmarkEnd w:id="7"/>
      <w:r>
        <w:rPr>
          <w:rFonts w:hint="eastAsia"/>
        </w:rPr>
        <w:t>与分红相关的其他信息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7479"/>
      </w:tblGrid>
      <w:tr w:rsidR="001F1B40" w:rsidRPr="00AF7E3B">
        <w:trPr>
          <w:trHeight w:val="454"/>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7"/>
              <w:ind w:firstLineChars="0" w:firstLine="0"/>
              <w:rPr>
                <w:rFonts w:ascii="宋体" w:hAnsi="宋体" w:hint="eastAsia"/>
                <w:b/>
                <w:color w:val="000000"/>
                <w:sz w:val="21"/>
                <w:szCs w:val="21"/>
              </w:rPr>
            </w:pPr>
            <w:r>
              <w:rPr>
                <w:rFonts w:ascii="宋体" w:hAnsi="宋体" w:hint="eastAsia"/>
                <w:color w:val="000000"/>
                <w:sz w:val="21"/>
                <w:szCs w:val="21"/>
              </w:rPr>
              <w:lastRenderedPageBreak/>
              <w:t>权益登记日</w:t>
            </w:r>
          </w:p>
        </w:tc>
        <w:tc>
          <w:tcPr>
            <w:tcW w:w="7479"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2026年04月01日</w:t>
            </w:r>
          </w:p>
        </w:tc>
      </w:tr>
      <w:tr w:rsidR="001F1B40" w:rsidRPr="00AF7E3B">
        <w:trPr>
          <w:trHeight w:val="454"/>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7"/>
              <w:ind w:firstLineChars="0" w:firstLine="0"/>
              <w:rPr>
                <w:rFonts w:ascii="宋体" w:hAnsi="宋体" w:hint="eastAsia"/>
                <w:color w:val="000000"/>
                <w:sz w:val="21"/>
                <w:szCs w:val="21"/>
              </w:rPr>
            </w:pPr>
            <w:r>
              <w:rPr>
                <w:rFonts w:ascii="宋体" w:hAnsi="宋体" w:hint="eastAsia"/>
                <w:color w:val="000000"/>
                <w:sz w:val="21"/>
                <w:szCs w:val="21"/>
              </w:rPr>
              <w:t>除息日</w:t>
            </w:r>
          </w:p>
        </w:tc>
        <w:tc>
          <w:tcPr>
            <w:tcW w:w="3740"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bookmarkStart w:id="8" w:name="YSL_XN_9085_2"/>
            <w:bookmarkEnd w:id="8"/>
            <w:r>
              <w:rPr>
                <w:rFonts w:ascii="宋体" w:hAnsi="宋体" w:hint="eastAsia"/>
                <w:szCs w:val="21"/>
              </w:rPr>
              <w:t>2026年04月01日</w:t>
            </w:r>
          </w:p>
        </w:tc>
      </w:tr>
      <w:tr w:rsidR="001F1B40" w:rsidRPr="00AF7E3B">
        <w:trPr>
          <w:trHeight w:val="454"/>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7"/>
              <w:ind w:firstLineChars="0" w:firstLine="0"/>
              <w:rPr>
                <w:rFonts w:ascii="宋体" w:hAnsi="宋体" w:hint="eastAsia"/>
                <w:color w:val="000000"/>
                <w:sz w:val="21"/>
                <w:szCs w:val="21"/>
              </w:rPr>
            </w:pPr>
            <w:r>
              <w:rPr>
                <w:rFonts w:ascii="宋体" w:hAnsi="宋体" w:hint="eastAsia"/>
                <w:color w:val="000000"/>
                <w:sz w:val="21"/>
                <w:szCs w:val="21"/>
              </w:rPr>
              <w:t>现金红利发放日</w:t>
            </w:r>
          </w:p>
        </w:tc>
        <w:tc>
          <w:tcPr>
            <w:tcW w:w="3740"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bookmarkStart w:id="9" w:name="YSL_XN_9087_2"/>
            <w:bookmarkEnd w:id="9"/>
            <w:r>
              <w:rPr>
                <w:rFonts w:ascii="宋体" w:hAnsi="宋体" w:hint="eastAsia"/>
                <w:szCs w:val="21"/>
              </w:rPr>
              <w:t>2026年04月02日</w:t>
            </w:r>
          </w:p>
        </w:tc>
      </w:tr>
      <w:tr w:rsidR="001F1B40" w:rsidRPr="00AF7E3B">
        <w:trPr>
          <w:trHeight w:val="454"/>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7"/>
              <w:ind w:firstLineChars="0" w:firstLine="0"/>
              <w:rPr>
                <w:rFonts w:ascii="宋体" w:hAnsi="宋体" w:hint="eastAsia"/>
                <w:b/>
                <w:color w:val="000000"/>
                <w:sz w:val="21"/>
                <w:szCs w:val="21"/>
              </w:rPr>
            </w:pPr>
            <w:bookmarkStart w:id="10" w:name="YSH_2761_KS_2"/>
            <w:bookmarkEnd w:id="10"/>
            <w:r>
              <w:rPr>
                <w:rFonts w:ascii="宋体" w:hAnsi="宋体" w:hint="eastAsia"/>
                <w:color w:val="000000"/>
                <w:sz w:val="21"/>
                <w:szCs w:val="21"/>
              </w:rPr>
              <w:t>分红对象</w:t>
            </w:r>
          </w:p>
        </w:tc>
        <w:tc>
          <w:tcPr>
            <w:tcW w:w="7479"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权益登记日登记在册的本基金全体份额持有人</w:t>
            </w:r>
            <w:bookmarkStart w:id="11" w:name="YSH_2761_JS_2"/>
            <w:bookmarkEnd w:id="11"/>
          </w:p>
        </w:tc>
      </w:tr>
      <w:tr w:rsidR="001F1B40" w:rsidRPr="00AF7E3B">
        <w:trPr>
          <w:trHeight w:val="454"/>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7"/>
              <w:ind w:firstLineChars="0" w:firstLine="0"/>
              <w:rPr>
                <w:rFonts w:ascii="宋体" w:hAnsi="宋体" w:hint="eastAsia"/>
                <w:b/>
                <w:color w:val="000000"/>
                <w:sz w:val="21"/>
                <w:szCs w:val="21"/>
              </w:rPr>
            </w:pPr>
            <w:bookmarkStart w:id="12" w:name="YSH_2762_KS_2"/>
            <w:bookmarkEnd w:id="12"/>
            <w:r>
              <w:rPr>
                <w:rFonts w:ascii="宋体" w:hAnsi="宋体" w:hint="eastAsia"/>
                <w:color w:val="000000"/>
                <w:sz w:val="21"/>
                <w:szCs w:val="21"/>
              </w:rPr>
              <w:t>红利再投资相关事项的说明</w:t>
            </w:r>
          </w:p>
        </w:tc>
        <w:tc>
          <w:tcPr>
            <w:tcW w:w="7479"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选择红利再投资的投资者其现金红利转换为基金份额的基金份额净值确定日为2026年4月1日。</w:t>
            </w:r>
            <w:bookmarkStart w:id="13" w:name="YSH_2762_JS_2"/>
            <w:bookmarkEnd w:id="13"/>
          </w:p>
        </w:tc>
      </w:tr>
      <w:tr w:rsidR="001F1B40" w:rsidRPr="00AF7E3B">
        <w:trPr>
          <w:trHeight w:val="454"/>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7"/>
              <w:ind w:firstLineChars="0" w:firstLine="0"/>
              <w:rPr>
                <w:rFonts w:ascii="宋体" w:hAnsi="宋体" w:hint="eastAsia"/>
                <w:b/>
                <w:color w:val="000000"/>
                <w:sz w:val="21"/>
                <w:szCs w:val="21"/>
              </w:rPr>
            </w:pPr>
            <w:bookmarkStart w:id="14" w:name="YSH_2764_KS_2"/>
            <w:bookmarkEnd w:id="14"/>
            <w:r>
              <w:rPr>
                <w:rFonts w:ascii="宋体" w:hAnsi="宋体" w:hint="eastAsia"/>
                <w:color w:val="000000"/>
                <w:sz w:val="21"/>
                <w:szCs w:val="21"/>
              </w:rPr>
              <w:t>税收相关事项的说明</w:t>
            </w:r>
          </w:p>
        </w:tc>
        <w:tc>
          <w:tcPr>
            <w:tcW w:w="7479"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根据财政部、国家税务总局的相关规定，基金向投资者分配的基金收益，暂免征收所得税。</w:t>
            </w:r>
            <w:bookmarkStart w:id="15" w:name="YSH_2764_JS_2"/>
            <w:bookmarkEnd w:id="15"/>
          </w:p>
        </w:tc>
      </w:tr>
      <w:tr w:rsidR="001F1B40" w:rsidRPr="00AF7E3B">
        <w:trPr>
          <w:trHeight w:val="454"/>
        </w:trPr>
        <w:tc>
          <w:tcPr>
            <w:tcW w:w="2376"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7"/>
              <w:ind w:firstLineChars="0" w:firstLine="0"/>
              <w:rPr>
                <w:rFonts w:ascii="宋体" w:hAnsi="宋体" w:hint="eastAsia"/>
                <w:b/>
                <w:color w:val="000000"/>
                <w:sz w:val="21"/>
                <w:szCs w:val="21"/>
              </w:rPr>
            </w:pPr>
            <w:bookmarkStart w:id="16" w:name="YSH_2765_KS_2"/>
            <w:bookmarkEnd w:id="16"/>
            <w:r>
              <w:rPr>
                <w:rFonts w:ascii="宋体" w:hAnsi="宋体" w:hint="eastAsia"/>
                <w:color w:val="000000"/>
                <w:sz w:val="21"/>
                <w:szCs w:val="21"/>
              </w:rPr>
              <w:t>费用相关事项的说明</w:t>
            </w:r>
          </w:p>
        </w:tc>
        <w:tc>
          <w:tcPr>
            <w:tcW w:w="7479" w:type="dxa"/>
            <w:tcBorders>
              <w:top w:val="single" w:sz="4" w:space="0" w:color="000000"/>
              <w:left w:val="single" w:sz="4" w:space="0" w:color="000000"/>
              <w:bottom w:val="single" w:sz="4" w:space="0" w:color="000000"/>
              <w:right w:val="single" w:sz="4" w:space="0" w:color="000000"/>
            </w:tcBorders>
            <w:vAlign w:val="center"/>
            <w:hideMark/>
          </w:tcPr>
          <w:p w:rsidR="001F1B40" w:rsidRDefault="001F1B40">
            <w:pPr>
              <w:pStyle w:val="af5"/>
              <w:rPr>
                <w:rFonts w:ascii="宋体" w:hAnsi="宋体" w:hint="eastAsia"/>
                <w:szCs w:val="21"/>
              </w:rPr>
            </w:pPr>
            <w:r>
              <w:rPr>
                <w:rFonts w:ascii="宋体" w:hAnsi="宋体" w:hint="eastAsia"/>
                <w:szCs w:val="21"/>
              </w:rPr>
              <w:t>分红时所发生的银行转账或其他手续费用由投资人自行承担。</w:t>
            </w:r>
            <w:bookmarkStart w:id="17" w:name="YSH_2765_JS_2"/>
            <w:bookmarkEnd w:id="17"/>
          </w:p>
        </w:tc>
      </w:tr>
    </w:tbl>
    <w:p w:rsidR="001F1B40" w:rsidRDefault="001F1B40">
      <w:pPr>
        <w:spacing w:line="360" w:lineRule="auto"/>
        <w:jc w:val="left"/>
        <w:rPr>
          <w:rFonts w:ascii="宋体" w:hAnsi="宋体" w:hint="eastAsia"/>
          <w:sz w:val="21"/>
          <w:szCs w:val="21"/>
        </w:rPr>
      </w:pPr>
      <w:bookmarkStart w:id="18" w:name="WB_2_WB1"/>
      <w:bookmarkEnd w:id="18"/>
      <w:r>
        <w:rPr>
          <w:rFonts w:ascii="宋体" w:hAnsi="宋体" w:hint="eastAsia"/>
          <w:sz w:val="21"/>
          <w:szCs w:val="21"/>
        </w:rPr>
        <w:t>注：根据《中信保城四季红混合型证券投资基金基金合同》,本基金收益分配应遵循下列原则:</w:t>
      </w:r>
      <w:r>
        <w:rPr>
          <w:rFonts w:ascii="宋体" w:hAnsi="宋体" w:hint="eastAsia"/>
          <w:sz w:val="21"/>
          <w:szCs w:val="21"/>
        </w:rPr>
        <w:br/>
        <w:t>  1、基金收益分配应当采用现金方式。</w:t>
      </w:r>
      <w:r>
        <w:rPr>
          <w:rFonts w:ascii="宋体" w:hAnsi="宋体" w:hint="eastAsia"/>
          <w:sz w:val="21"/>
          <w:szCs w:val="21"/>
        </w:rPr>
        <w:br/>
        <w:t>  基金份额持有人可以事先选择将所获分配的现金收益,按照基金合同有关基金份额申购的约定转为基金份额;基金份额持有人事先未做出选择的,基金管理人应当支付现金;本基金默认的分红方式为现金分红。</w:t>
      </w:r>
      <w:r>
        <w:rPr>
          <w:rFonts w:ascii="宋体" w:hAnsi="宋体" w:hint="eastAsia"/>
          <w:sz w:val="21"/>
          <w:szCs w:val="21"/>
        </w:rPr>
        <w:br/>
        <w:t>  2、每一基金份额享有同等分配权;</w:t>
      </w:r>
      <w:r>
        <w:rPr>
          <w:rFonts w:ascii="宋体" w:hAnsi="宋体" w:hint="eastAsia"/>
          <w:sz w:val="21"/>
          <w:szCs w:val="21"/>
        </w:rPr>
        <w:br/>
        <w:t>  3、基金当期收益先弥补上期亏损后,方可进行当期收益分配;</w:t>
      </w:r>
      <w:r>
        <w:rPr>
          <w:rFonts w:ascii="宋体" w:hAnsi="宋体" w:hint="eastAsia"/>
          <w:sz w:val="21"/>
          <w:szCs w:val="21"/>
        </w:rPr>
        <w:br/>
        <w:t>  4、基金当期出现亏损,则可不进行收益分配;</w:t>
      </w:r>
      <w:r>
        <w:rPr>
          <w:rFonts w:ascii="宋体" w:hAnsi="宋体" w:hint="eastAsia"/>
          <w:sz w:val="21"/>
          <w:szCs w:val="21"/>
        </w:rPr>
        <w:br/>
        <w:t>  5、基金收益分配后每基金份额净值不能低于面值;</w:t>
      </w:r>
      <w:r>
        <w:rPr>
          <w:rFonts w:ascii="宋体" w:hAnsi="宋体" w:hint="eastAsia"/>
          <w:sz w:val="21"/>
          <w:szCs w:val="21"/>
        </w:rPr>
        <w:br/>
        <w:t>  6、本基金采用季度结算的收益分配机制:</w:t>
      </w:r>
      <w:r>
        <w:rPr>
          <w:rFonts w:ascii="宋体" w:hAnsi="宋体" w:hint="eastAsia"/>
          <w:sz w:val="21"/>
          <w:szCs w:val="21"/>
        </w:rPr>
        <w:br/>
        <w:t>  (1) 分红结算日:每季最后一个工作日作为每季分红结算日;</w:t>
      </w:r>
      <w:r>
        <w:rPr>
          <w:rFonts w:ascii="宋体" w:hAnsi="宋体" w:hint="eastAsia"/>
          <w:sz w:val="21"/>
          <w:szCs w:val="21"/>
        </w:rPr>
        <w:br/>
        <w:t>  (2) 分红前提:分红结算日基金份额净值超过1.00元,且基金产生已实现收益;</w:t>
      </w:r>
      <w:r>
        <w:rPr>
          <w:rFonts w:ascii="宋体" w:hAnsi="宋体" w:hint="eastAsia"/>
          <w:sz w:val="21"/>
          <w:szCs w:val="21"/>
        </w:rPr>
        <w:br/>
        <w:t>  (3) 分红比例:本基金进行收益分配,至少分配基金份额净值超过1.00元部分的25%;但分红金额不得超过已实现收益,且分配后基金份额净值不低于1.00元;</w:t>
      </w:r>
      <w:r>
        <w:rPr>
          <w:rFonts w:ascii="宋体" w:hAnsi="宋体" w:hint="eastAsia"/>
          <w:sz w:val="21"/>
          <w:szCs w:val="21"/>
        </w:rPr>
        <w:br/>
        <w:t>  (4) 分红登记日与除权日:基金管理人于每季分红结算日(T日)决定是否分红,若确定分红,经基金托管人核实后,则T+1日为权益登记日并进行除权,T+7日内实现派息;</w:t>
      </w:r>
      <w:r>
        <w:rPr>
          <w:rFonts w:ascii="宋体" w:hAnsi="宋体" w:hint="eastAsia"/>
          <w:sz w:val="21"/>
          <w:szCs w:val="21"/>
        </w:rPr>
        <w:br/>
        <w:t>若基金已实现收益不足基金份额净值超过1.00元部分的25%,在满足法律法规的前提下,基金将全部分配已实现收益(每份基金份额的最小分配单位为0.1分)。</w:t>
      </w:r>
      <w:r>
        <w:rPr>
          <w:rFonts w:ascii="宋体" w:hAnsi="宋体" w:hint="eastAsia"/>
          <w:sz w:val="21"/>
          <w:szCs w:val="21"/>
        </w:rPr>
        <w:br/>
        <w:t>  7、本基金约定每季度结算收益,但并不保证每季度实现分红。在符合有关基金分红条件的前提下,基金收益分配每年不超过4次,基金合同生效后的下一个季度开始分红结算;</w:t>
      </w:r>
      <w:r>
        <w:rPr>
          <w:rFonts w:ascii="宋体" w:hAnsi="宋体" w:hint="eastAsia"/>
          <w:sz w:val="21"/>
          <w:szCs w:val="21"/>
        </w:rPr>
        <w:br/>
        <w:t>  8、基金年度收益分配比例不低于基金年度已实现收益的50%;</w:t>
      </w:r>
      <w:r>
        <w:rPr>
          <w:rFonts w:ascii="宋体" w:hAnsi="宋体" w:hint="eastAsia"/>
          <w:sz w:val="21"/>
          <w:szCs w:val="21"/>
        </w:rPr>
        <w:br/>
        <w:t>  9、法律法规或监管机构另有规定的从其规定。</w:t>
      </w:r>
      <w:bookmarkStart w:id="19" w:name="ZJ_2_JS"/>
      <w:bookmarkEnd w:id="19"/>
    </w:p>
    <w:p w:rsidR="001F1B40" w:rsidRPr="00AF7E3B" w:rsidRDefault="001F1B40">
      <w:pPr>
        <w:pStyle w:val="10"/>
        <w:numPr>
          <w:ilvl w:val="0"/>
          <w:numId w:val="10"/>
        </w:numPr>
        <w:spacing w:beforeLines="100" w:after="0"/>
        <w:jc w:val="left"/>
        <w:rPr>
          <w:rFonts w:hint="eastAsia"/>
        </w:rPr>
      </w:pPr>
      <w:bookmarkStart w:id="20" w:name="ZJ_3_KS"/>
      <w:bookmarkEnd w:id="20"/>
      <w:r>
        <w:rPr>
          <w:rFonts w:hint="eastAsia"/>
        </w:rPr>
        <w:t>其他需要提示的事项</w:t>
      </w:r>
    </w:p>
    <w:p w:rsidR="001F1B40" w:rsidRDefault="001F1B40">
      <w:pPr>
        <w:spacing w:line="360" w:lineRule="auto"/>
        <w:jc w:val="left"/>
        <w:rPr>
          <w:rFonts w:ascii="宋体" w:hAnsi="宋体" w:hint="eastAsia"/>
          <w:sz w:val="21"/>
          <w:szCs w:val="21"/>
        </w:rPr>
      </w:pPr>
      <w:bookmarkStart w:id="21" w:name="WB_3_WB1"/>
      <w:bookmarkEnd w:id="21"/>
      <w:r>
        <w:rPr>
          <w:rFonts w:ascii="宋体" w:hAnsi="宋体" w:hint="eastAsia"/>
          <w:sz w:val="21"/>
          <w:szCs w:val="21"/>
        </w:rPr>
        <w:t>  (1)权益登记日申请申购的基金份额不享有本次分红权益,权益登记日申请赎回的基金份额享有本次分红权益。</w:t>
      </w:r>
      <w:r>
        <w:rPr>
          <w:rFonts w:ascii="宋体" w:hAnsi="宋体" w:hint="eastAsia"/>
          <w:sz w:val="21"/>
          <w:szCs w:val="21"/>
        </w:rPr>
        <w:br/>
        <w:t>  (2)本基金默认的分红方式为现金红利方式。本次分红权益登记日前未在相应的销售网点进行分红方式选择的投资人适用于现金红利分红方式。</w:t>
      </w:r>
      <w:r>
        <w:rPr>
          <w:rFonts w:ascii="宋体" w:hAnsi="宋体" w:hint="eastAsia"/>
          <w:sz w:val="21"/>
          <w:szCs w:val="21"/>
        </w:rPr>
        <w:br/>
        <w:t>  (3)咨询办法：</w:t>
      </w:r>
      <w:r>
        <w:rPr>
          <w:rFonts w:ascii="宋体" w:hAnsi="宋体" w:hint="eastAsia"/>
          <w:sz w:val="21"/>
          <w:szCs w:val="21"/>
        </w:rPr>
        <w:br/>
        <w:t>  本基金管理人网站：www.citicprufunds.com.cn</w:t>
      </w:r>
      <w:r>
        <w:rPr>
          <w:rFonts w:ascii="宋体" w:hAnsi="宋体" w:hint="eastAsia"/>
          <w:sz w:val="21"/>
          <w:szCs w:val="21"/>
        </w:rPr>
        <w:br/>
        <w:t>  本基金管理人客户服务电话：400-666-0066</w:t>
      </w:r>
      <w:r>
        <w:rPr>
          <w:rFonts w:ascii="宋体" w:hAnsi="宋体" w:hint="eastAsia"/>
          <w:sz w:val="21"/>
          <w:szCs w:val="21"/>
        </w:rPr>
        <w:br/>
      </w:r>
      <w:r>
        <w:rPr>
          <w:rFonts w:ascii="宋体" w:hAnsi="宋体" w:hint="eastAsia"/>
          <w:sz w:val="21"/>
          <w:szCs w:val="21"/>
        </w:rPr>
        <w:br/>
        <w:t>    特此公告。</w:t>
      </w:r>
      <w:r>
        <w:rPr>
          <w:rFonts w:ascii="宋体" w:hAnsi="宋体" w:hint="eastAsia"/>
          <w:sz w:val="21"/>
          <w:szCs w:val="21"/>
        </w:rPr>
        <w:br/>
      </w:r>
      <w:r>
        <w:rPr>
          <w:rFonts w:ascii="宋体" w:hAnsi="宋体" w:hint="eastAsia"/>
          <w:sz w:val="21"/>
          <w:szCs w:val="21"/>
        </w:rPr>
        <w:br/>
        <w:t> </w:t>
      </w:r>
      <w:r>
        <w:rPr>
          <w:rFonts w:ascii="宋体" w:hAnsi="宋体" w:hint="eastAsia"/>
          <w:sz w:val="21"/>
          <w:szCs w:val="21"/>
        </w:rPr>
        <w:br/>
        <w:t>                         中信保诚基金管理有限公司</w:t>
      </w:r>
      <w:r>
        <w:rPr>
          <w:rFonts w:ascii="宋体" w:hAnsi="宋体" w:hint="eastAsia"/>
          <w:sz w:val="21"/>
          <w:szCs w:val="21"/>
        </w:rPr>
        <w:br/>
        <w:t>                         2026年04月01日</w:t>
      </w:r>
      <w:bookmarkStart w:id="22" w:name="ZJ_3_JS"/>
      <w:bookmarkEnd w:id="22"/>
    </w:p>
    <w:sectPr w:rsidR="001F1B40">
      <w:headerReference w:type="default" r:id="rId8"/>
      <w:footerReference w:type="even" r:id="rId9"/>
      <w:footerReference w:type="default" r:id="rId10"/>
      <w:pgSz w:w="11907" w:h="16840"/>
      <w:pgMar w:top="1440" w:right="1134" w:bottom="1440" w:left="1134" w:header="851" w:footer="1701" w:gutter="0"/>
      <w:cols w:space="425"/>
      <w:docGrid w:type="lines" w:linePitch="3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B40" w:rsidRDefault="001F1B40">
      <w:r>
        <w:separator/>
      </w:r>
    </w:p>
  </w:endnote>
  <w:endnote w:type="continuationSeparator" w:id="0">
    <w:p w:rsidR="001F1B40" w:rsidRDefault="001F1B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仿宋">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黑体简体">
    <w:altName w:val="黑体"/>
    <w:charset w:val="86"/>
    <w:family w:val="auto"/>
    <w:pitch w:val="default"/>
    <w:sig w:usb0="00000000" w:usb1="00000000" w:usb2="00000010" w:usb3="00000000" w:csb0="00040000" w:csb1="00000000"/>
  </w:font>
  <w:font w:name="Microsoft YaHei UI">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B40" w:rsidRDefault="001F1B40">
    <w:pPr>
      <w:pStyle w:val="ab"/>
      <w:framePr w:wrap="around" w:vAnchor="text" w:hAnchor="margin" w:xAlign="outside" w:y="1"/>
      <w:rPr>
        <w:rStyle w:val="aff2"/>
        <w:rFonts w:hint="eastAsia"/>
      </w:rPr>
    </w:pPr>
    <w:r>
      <w:fldChar w:fldCharType="begin"/>
    </w:r>
    <w:r>
      <w:rPr>
        <w:rStyle w:val="aff2"/>
      </w:rPr>
      <w:instrText xml:space="preserve">PAGE  </w:instrText>
    </w:r>
    <w:r>
      <w:fldChar w:fldCharType="separate"/>
    </w:r>
    <w:r>
      <w:rPr>
        <w:rStyle w:val="aff2"/>
      </w:rPr>
      <w:t>4</w:t>
    </w:r>
    <w:r>
      <w:fldChar w:fldCharType="end"/>
    </w:r>
  </w:p>
  <w:p w:rsidR="001F1B40" w:rsidRDefault="001F1B40">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B40" w:rsidRDefault="001F1B40">
    <w:pPr>
      <w:pStyle w:val="ab"/>
      <w:jc w:val="center"/>
    </w:pPr>
    <w:fldSimple w:instr="PAGE   \* MERGEFORMAT">
      <w:r w:rsidR="00446419" w:rsidRPr="00446419">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B40" w:rsidRDefault="001F1B40">
      <w:r>
        <w:separator/>
      </w:r>
    </w:p>
  </w:footnote>
  <w:footnote w:type="continuationSeparator" w:id="0">
    <w:p w:rsidR="001F1B40" w:rsidRDefault="001F1B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B40" w:rsidRDefault="001F1B40">
    <w:pPr>
      <w:pStyle w:val="aa"/>
      <w:pBdr>
        <w:bottom w:val="single" w:sz="6" w:space="0" w:color="auto"/>
      </w:pBdr>
      <w:jc w:val="right"/>
      <w:rPr>
        <w:rFonts w:ascii="宋体" w:hAnsi="宋体"/>
      </w:rPr>
    </w:pPr>
    <w:r>
      <w:rPr>
        <w:rFonts w:ascii="宋体" w:hAnsi="宋体" w:hint="eastAsia"/>
      </w:rPr>
      <w:t>中信保诚四季红混合型证券投资基金分红公告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japaneseCounting"/>
      <w:pStyle w:val="a"/>
      <w:lvlText w:val="%1、"/>
      <w:lvlJc w:val="left"/>
      <w:pPr>
        <w:tabs>
          <w:tab w:val="num" w:pos="1320"/>
        </w:tabs>
        <w:ind w:left="1320" w:hanging="660"/>
      </w:pPr>
    </w:lvl>
  </w:abstractNum>
  <w:abstractNum w:abstractNumId="1">
    <w:nsid w:val="00000009"/>
    <w:multiLevelType w:val="multilevel"/>
    <w:tmpl w:val="00000009"/>
    <w:lvl w:ilvl="0">
      <w:start w:val="1"/>
      <w:numFmt w:val="chineseCountingThousand"/>
      <w:pStyle w:val="ParaChar"/>
      <w:lvlText w:val="第%1条"/>
      <w:lvlJc w:val="left"/>
      <w:pPr>
        <w:tabs>
          <w:tab w:val="num" w:pos="1440"/>
        </w:tabs>
        <w:ind w:left="0" w:firstLine="0"/>
      </w:pPr>
      <w:rPr>
        <w:b w:val="0"/>
        <w:i w:val="0"/>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EE11859"/>
    <w:multiLevelType w:val="multilevel"/>
    <w:tmpl w:val="8D3CA188"/>
    <w:lvl w:ilvl="0">
      <w:start w:val="1"/>
      <w:numFmt w:val="decimal"/>
      <w:lvlText w:val="&amp;%1"/>
      <w:lvlJc w:val="left"/>
      <w:pPr>
        <w:ind w:left="425" w:hanging="425"/>
      </w:pPr>
    </w:lvl>
    <w:lvl w:ilvl="1">
      <w:start w:val="1"/>
      <w:numFmt w:val="decimal"/>
      <w:lvlText w:val="%1.%2"/>
      <w:lvlJc w:val="left"/>
      <w:pPr>
        <w:ind w:left="992" w:hanging="992"/>
      </w:pPr>
    </w:lvl>
    <w:lvl w:ilvl="2">
      <w:start w:val="1"/>
      <w:numFmt w:val="decimal"/>
      <w:lvlText w:val="%1.%2.%3"/>
      <w:lvlJc w:val="left"/>
      <w:pPr>
        <w:ind w:left="1418" w:hanging="1418"/>
      </w:pPr>
    </w:lvl>
    <w:lvl w:ilvl="3">
      <w:start w:val="1"/>
      <w:numFmt w:val="decimal"/>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pStyle w:val="7"/>
      <w:lvlText w:val="%1.%2.%3.%4.%5.%6.%7"/>
      <w:lvlJc w:val="left"/>
      <w:pPr>
        <w:ind w:left="3827" w:hanging="1276"/>
      </w:pPr>
    </w:lvl>
    <w:lvl w:ilvl="7">
      <w:start w:val="1"/>
      <w:numFmt w:val="decimal"/>
      <w:pStyle w:val="8"/>
      <w:lvlText w:val="%1.%2.%3.%4.%5.%6.%7.%8"/>
      <w:lvlJc w:val="left"/>
      <w:pPr>
        <w:ind w:left="4394" w:hanging="1418"/>
      </w:pPr>
    </w:lvl>
    <w:lvl w:ilvl="8">
      <w:start w:val="1"/>
      <w:numFmt w:val="decimal"/>
      <w:pStyle w:val="9"/>
      <w:lvlText w:val="%1.%2.%3.%4.%5.%6.%7.%8.%9"/>
      <w:lvlJc w:val="left"/>
      <w:pPr>
        <w:ind w:left="5102" w:hanging="1700"/>
      </w:pPr>
    </w:lvl>
  </w:abstractNum>
  <w:abstractNum w:abstractNumId="3">
    <w:nsid w:val="3294033C"/>
    <w:multiLevelType w:val="multilevel"/>
    <w:tmpl w:val="03B8169E"/>
    <w:lvl w:ilvl="0">
      <w:start w:val="1"/>
      <w:numFmt w:val="chineseCountingThousand"/>
      <w:pStyle w:val="CharCharCharCharCharCharCharCharChar"/>
      <w:suff w:val="space"/>
      <w:lvlText w:val="%1、"/>
      <w:lvlJc w:val="left"/>
      <w:pPr>
        <w:ind w:left="0" w:firstLine="0"/>
      </w:pPr>
    </w:lvl>
    <w:lvl w:ilvl="1">
      <w:start w:val="1"/>
      <w:numFmt w:val="chineseCountingThousand"/>
      <w:suff w:val="nothing"/>
      <w:lvlText w:val="%2、"/>
      <w:lvlJc w:val="left"/>
      <w:pPr>
        <w:ind w:left="0" w:firstLine="0"/>
      </w:pPr>
    </w:lvl>
    <w:lvl w:ilvl="2">
      <w:start w:val="1"/>
      <w:numFmt w:val="decimal"/>
      <w:suff w:val="space"/>
      <w:lvlText w:val="%3."/>
      <w:lvlJc w:val="left"/>
      <w:pPr>
        <w:ind w:left="0" w:firstLine="0"/>
      </w:pPr>
    </w:lvl>
    <w:lvl w:ilvl="3">
      <w:start w:val="1"/>
      <w:numFmt w:val="none"/>
      <w:suff w:val="nothing"/>
      <w:lvlText w:val=""/>
      <w:lvlJc w:val="left"/>
      <w:pPr>
        <w:ind w:left="851" w:firstLine="0"/>
      </w:pPr>
    </w:lvl>
    <w:lvl w:ilvl="4">
      <w:start w:val="1"/>
      <w:numFmt w:val="none"/>
      <w:suff w:val="nothing"/>
      <w:lvlText w:val=""/>
      <w:lvlJc w:val="left"/>
      <w:pPr>
        <w:ind w:left="851" w:firstLine="0"/>
      </w:pPr>
    </w:lvl>
    <w:lvl w:ilvl="5">
      <w:start w:val="1"/>
      <w:numFmt w:val="none"/>
      <w:suff w:val="nothing"/>
      <w:lvlText w:val=""/>
      <w:lvlJc w:val="left"/>
      <w:pPr>
        <w:ind w:left="851" w:firstLine="0"/>
      </w:pPr>
    </w:lvl>
    <w:lvl w:ilvl="6">
      <w:start w:val="1"/>
      <w:numFmt w:val="none"/>
      <w:suff w:val="nothing"/>
      <w:lvlText w:val=""/>
      <w:lvlJc w:val="left"/>
      <w:pPr>
        <w:ind w:left="851" w:firstLine="0"/>
      </w:pPr>
    </w:lvl>
    <w:lvl w:ilvl="7">
      <w:start w:val="1"/>
      <w:numFmt w:val="none"/>
      <w:suff w:val="nothing"/>
      <w:lvlText w:val=""/>
      <w:lvlJc w:val="left"/>
      <w:pPr>
        <w:ind w:left="851" w:firstLine="0"/>
      </w:pPr>
    </w:lvl>
    <w:lvl w:ilvl="8">
      <w:start w:val="1"/>
      <w:numFmt w:val="none"/>
      <w:suff w:val="nothing"/>
      <w:lvlText w:val=""/>
      <w:lvlJc w:val="left"/>
      <w:pPr>
        <w:ind w:left="851" w:firstLine="0"/>
      </w:pPr>
    </w:lvl>
  </w:abstractNum>
  <w:abstractNum w:abstractNumId="4">
    <w:nsid w:val="530522D8"/>
    <w:multiLevelType w:val="multilevel"/>
    <w:tmpl w:val="7640DBBE"/>
    <w:styleLink w:val="1"/>
    <w:lvl w:ilvl="0">
      <w:start w:val="1"/>
      <w:numFmt w:val="decimal"/>
      <w:lvlText w:val="§%1"/>
      <w:lvlJc w:val="center"/>
      <w:pPr>
        <w:snapToGrid w:val="0"/>
        <w:ind w:left="0" w:firstLine="0"/>
      </w:pPr>
      <w:rPr>
        <w:rFonts w:ascii="宋体" w:eastAsia="宋体" w:hAnsi="宋体"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start w:val="1"/>
      <w:numFmt w:val="decimal"/>
      <w:suff w:val="nothing"/>
      <w:lvlText w:val="%1.%2 "/>
      <w:lvlJc w:val="left"/>
      <w:pPr>
        <w:snapToGrid w:val="0"/>
        <w:ind w:left="0" w:firstLine="0"/>
      </w:pPr>
      <w:rPr>
        <w:rFonts w:ascii="宋体" w:eastAsia="宋体" w:hAnsi="宋体"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suff w:val="nothing"/>
      <w:lvlText w:val="%1.%2.%3 "/>
      <w:lvlJc w:val="left"/>
      <w:pPr>
        <w:snapToGrid w:val="0"/>
        <w:ind w:left="0" w:firstLine="0"/>
      </w:pPr>
      <w:rPr>
        <w:rFonts w:ascii="宋体" w:eastAsia="宋体" w:hAnsi="宋体"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3">
      <w:start w:val="1"/>
      <w:numFmt w:val="decimal"/>
      <w:suff w:val="nothing"/>
      <w:lvlText w:val="%1.%2.%3.%4"/>
      <w:lvlJc w:val="left"/>
      <w:pPr>
        <w:snapToGrid w:val="0"/>
        <w:ind w:left="0" w:firstLine="0"/>
      </w:pPr>
      <w:rPr>
        <w:rFonts w:ascii="宋体" w:eastAsia="宋体" w:hAnsi="宋体"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nsid w:val="5785453B"/>
    <w:multiLevelType w:val="multilevel"/>
    <w:tmpl w:val="0409001D"/>
    <w:styleLink w:val="3"/>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nsid w:val="6F58658A"/>
    <w:multiLevelType w:val="multilevel"/>
    <w:tmpl w:val="0409001D"/>
    <w:styleLink w:val="2"/>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73222364"/>
    <w:multiLevelType w:val="hybridMultilevel"/>
    <w:tmpl w:val="BABC467A"/>
    <w:lvl w:ilvl="0" w:tplc="B0180DDC">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420"/>
  <w:drawingGridHorizontalSpacing w:val="126"/>
  <w:drawingGridVerticalSpacing w:val="16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7E3B"/>
    <w:rsid w:val="001F1B40"/>
    <w:rsid w:val="00446419"/>
    <w:rsid w:val="0057100B"/>
    <w:rsid w:val="00AF7E3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Hyperlink" w:uiPriority="0"/>
    <w:lsdException w:name="Strong" w:semiHidden="0" w:uiPriority="0" w:unhideWhenUsed="0"/>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line="240" w:lineRule="atLeast"/>
      <w:jc w:val="both"/>
    </w:pPr>
    <w:rPr>
      <w:rFonts w:ascii="Times New Roman" w:eastAsia="宋体" w:hAnsi="Times New Roman"/>
      <w:kern w:val="2"/>
      <w:sz w:val="24"/>
    </w:rPr>
  </w:style>
  <w:style w:type="paragraph" w:styleId="10">
    <w:name w:val="heading 1"/>
    <w:basedOn w:val="a0"/>
    <w:next w:val="a0"/>
    <w:link w:val="1Char"/>
    <w:uiPriority w:val="9"/>
    <w:qFormat/>
    <w:pPr>
      <w:widowControl/>
      <w:spacing w:before="340" w:after="330" w:line="240" w:lineRule="auto"/>
      <w:contextualSpacing/>
      <w:jc w:val="center"/>
      <w:outlineLvl w:val="0"/>
    </w:pPr>
    <w:rPr>
      <w:rFonts w:ascii="宋体" w:hAnsi="等线 Light"/>
      <w:b/>
      <w:bCs/>
      <w:kern w:val="0"/>
      <w:sz w:val="21"/>
      <w:szCs w:val="28"/>
      <w:lang w:eastAsia="en-US" w:bidi="en-US"/>
    </w:rPr>
  </w:style>
  <w:style w:type="paragraph" w:styleId="20">
    <w:name w:val="heading 2"/>
    <w:basedOn w:val="a0"/>
    <w:next w:val="a0"/>
    <w:link w:val="2Char"/>
    <w:semiHidden/>
    <w:unhideWhenUsed/>
    <w:qFormat/>
    <w:pPr>
      <w:widowControl/>
      <w:spacing w:line="240" w:lineRule="auto"/>
      <w:jc w:val="left"/>
      <w:outlineLvl w:val="1"/>
    </w:pPr>
    <w:rPr>
      <w:rFonts w:ascii="Arial" w:hAnsi="Arial"/>
      <w:b/>
      <w:sz w:val="21"/>
      <w:szCs w:val="22"/>
    </w:rPr>
  </w:style>
  <w:style w:type="paragraph" w:styleId="30">
    <w:name w:val="heading 3"/>
    <w:basedOn w:val="a0"/>
    <w:next w:val="a0"/>
    <w:link w:val="3Char"/>
    <w:uiPriority w:val="9"/>
    <w:semiHidden/>
    <w:unhideWhenUsed/>
    <w:qFormat/>
    <w:pPr>
      <w:widowControl/>
      <w:spacing w:line="240" w:lineRule="auto"/>
      <w:jc w:val="left"/>
      <w:outlineLvl w:val="2"/>
    </w:pPr>
    <w:rPr>
      <w:rFonts w:ascii="宋体" w:hAnsi="宋体"/>
      <w:b/>
      <w:bCs/>
      <w:kern w:val="0"/>
      <w:sz w:val="21"/>
      <w:szCs w:val="22"/>
      <w:lang w:eastAsia="en-US" w:bidi="en-US"/>
    </w:rPr>
  </w:style>
  <w:style w:type="paragraph" w:styleId="4">
    <w:name w:val="heading 4"/>
    <w:basedOn w:val="a0"/>
    <w:next w:val="a0"/>
    <w:link w:val="4Char"/>
    <w:uiPriority w:val="9"/>
    <w:semiHidden/>
    <w:unhideWhenUsed/>
    <w:qFormat/>
    <w:pPr>
      <w:widowControl/>
      <w:spacing w:line="240" w:lineRule="auto"/>
      <w:jc w:val="left"/>
      <w:outlineLvl w:val="3"/>
    </w:pPr>
    <w:rPr>
      <w:rFonts w:ascii="宋体" w:hAnsi="等线 Light"/>
      <w:b/>
      <w:bCs/>
      <w:iCs/>
      <w:kern w:val="0"/>
      <w:sz w:val="21"/>
      <w:szCs w:val="22"/>
      <w:lang w:eastAsia="en-US" w:bidi="en-US"/>
    </w:rPr>
  </w:style>
  <w:style w:type="paragraph" w:styleId="5">
    <w:name w:val="heading 5"/>
    <w:basedOn w:val="a0"/>
    <w:next w:val="a0"/>
    <w:link w:val="5Char"/>
    <w:semiHidden/>
    <w:unhideWhenUsed/>
    <w:pPr>
      <w:keepNext/>
      <w:keepLines/>
      <w:numPr>
        <w:ilvl w:val="4"/>
        <w:numId w:val="2"/>
      </w:numPr>
      <w:spacing w:before="280" w:after="290" w:line="372" w:lineRule="auto"/>
      <w:ind w:firstLineChars="200" w:firstLine="200"/>
      <w:outlineLvl w:val="4"/>
    </w:pPr>
    <w:rPr>
      <w:b/>
      <w:sz w:val="28"/>
    </w:rPr>
  </w:style>
  <w:style w:type="paragraph" w:styleId="6">
    <w:name w:val="heading 6"/>
    <w:basedOn w:val="a0"/>
    <w:next w:val="a0"/>
    <w:link w:val="6Char"/>
    <w:semiHidden/>
    <w:unhideWhenUsed/>
    <w:pPr>
      <w:keepNext/>
      <w:keepLines/>
      <w:numPr>
        <w:ilvl w:val="5"/>
        <w:numId w:val="2"/>
      </w:numPr>
      <w:spacing w:before="240" w:after="64" w:line="316" w:lineRule="auto"/>
      <w:ind w:firstLineChars="200" w:firstLine="200"/>
      <w:outlineLvl w:val="5"/>
    </w:pPr>
    <w:rPr>
      <w:rFonts w:ascii="Arial" w:eastAsia="黑体" w:hAnsi="Arial"/>
      <w:b/>
    </w:rPr>
  </w:style>
  <w:style w:type="paragraph" w:styleId="7">
    <w:name w:val="heading 7"/>
    <w:basedOn w:val="a0"/>
    <w:next w:val="a0"/>
    <w:link w:val="7Char"/>
    <w:semiHidden/>
    <w:unhideWhenUsed/>
    <w:pPr>
      <w:keepNext/>
      <w:keepLines/>
      <w:numPr>
        <w:ilvl w:val="6"/>
        <w:numId w:val="2"/>
      </w:numPr>
      <w:spacing w:before="240" w:after="64" w:line="316" w:lineRule="auto"/>
      <w:ind w:firstLineChars="200" w:firstLine="200"/>
      <w:outlineLvl w:val="6"/>
    </w:pPr>
    <w:rPr>
      <w:b/>
    </w:rPr>
  </w:style>
  <w:style w:type="paragraph" w:styleId="8">
    <w:name w:val="heading 8"/>
    <w:basedOn w:val="a0"/>
    <w:next w:val="a0"/>
    <w:link w:val="8Char"/>
    <w:semiHidden/>
    <w:unhideWhenUsed/>
    <w:pPr>
      <w:keepNext/>
      <w:keepLines/>
      <w:numPr>
        <w:ilvl w:val="7"/>
        <w:numId w:val="2"/>
      </w:numPr>
      <w:spacing w:before="240" w:after="64" w:line="316" w:lineRule="auto"/>
      <w:ind w:firstLineChars="200" w:firstLine="200"/>
      <w:outlineLvl w:val="7"/>
    </w:pPr>
    <w:rPr>
      <w:rFonts w:ascii="Arial" w:eastAsia="黑体" w:hAnsi="Arial"/>
    </w:rPr>
  </w:style>
  <w:style w:type="paragraph" w:styleId="9">
    <w:name w:val="heading 9"/>
    <w:basedOn w:val="a0"/>
    <w:next w:val="a0"/>
    <w:link w:val="9Char"/>
    <w:semiHidden/>
    <w:unhideWhenUsed/>
    <w:pPr>
      <w:keepNext/>
      <w:keepLines/>
      <w:numPr>
        <w:ilvl w:val="8"/>
        <w:numId w:val="2"/>
      </w:numPr>
      <w:spacing w:before="240" w:after="64" w:line="316" w:lineRule="auto"/>
      <w:ind w:firstLineChars="200" w:firstLine="20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semiHidden/>
    <w:unhideWhenUsed/>
    <w:rPr>
      <w:color w:val="0000FF"/>
      <w:u w:val="single"/>
    </w:rPr>
  </w:style>
  <w:style w:type="character" w:styleId="a5">
    <w:name w:val="访问过的超链接"/>
    <w:uiPriority w:val="99"/>
    <w:semiHidden/>
    <w:unhideWhenUsed/>
    <w:rPr>
      <w:color w:val="954F72"/>
      <w:u w:val="single"/>
    </w:rPr>
  </w:style>
  <w:style w:type="character" w:customStyle="1" w:styleId="1Char">
    <w:name w:val="标题 1 Char"/>
    <w:link w:val="10"/>
    <w:uiPriority w:val="9"/>
    <w:locked/>
    <w:rPr>
      <w:rFonts w:ascii="宋体" w:eastAsia="宋体" w:hAnsi="等线 Light" w:cs="Times New Roman" w:hint="eastAsia"/>
      <w:b/>
      <w:bCs/>
      <w:kern w:val="0"/>
      <w:szCs w:val="28"/>
      <w:lang w:eastAsia="en-US" w:bidi="en-US"/>
    </w:rPr>
  </w:style>
  <w:style w:type="character" w:customStyle="1" w:styleId="2Char">
    <w:name w:val="标题 2 Char"/>
    <w:link w:val="20"/>
    <w:semiHidden/>
    <w:locked/>
    <w:rPr>
      <w:rFonts w:ascii="Arial" w:eastAsia="宋体" w:hAnsi="Arial" w:cs="Arial" w:hint="default"/>
      <w:b/>
      <w:bCs w:val="0"/>
    </w:rPr>
  </w:style>
  <w:style w:type="character" w:customStyle="1" w:styleId="3Char">
    <w:name w:val="标题 3 Char"/>
    <w:link w:val="30"/>
    <w:uiPriority w:val="9"/>
    <w:semiHidden/>
    <w:locked/>
    <w:rPr>
      <w:rFonts w:ascii="宋体" w:eastAsia="宋体" w:hAnsi="宋体" w:cs="Times New Roman" w:hint="eastAsia"/>
      <w:b/>
      <w:bCs/>
      <w:kern w:val="0"/>
      <w:lang w:eastAsia="en-US" w:bidi="en-US"/>
    </w:rPr>
  </w:style>
  <w:style w:type="character" w:customStyle="1" w:styleId="4Char">
    <w:name w:val="标题 4 Char"/>
    <w:link w:val="4"/>
    <w:uiPriority w:val="9"/>
    <w:semiHidden/>
    <w:locked/>
    <w:rPr>
      <w:rFonts w:ascii="宋体" w:eastAsia="宋体" w:hAnsi="等线 Light" w:cs="Times New Roman" w:hint="eastAsia"/>
      <w:b/>
      <w:bCs/>
      <w:iCs/>
      <w:kern w:val="0"/>
      <w:lang w:eastAsia="en-US" w:bidi="en-US"/>
    </w:rPr>
  </w:style>
  <w:style w:type="character" w:customStyle="1" w:styleId="5Char">
    <w:name w:val="标题 5 Char"/>
    <w:link w:val="5"/>
    <w:semiHidden/>
    <w:locked/>
    <w:rPr>
      <w:rFonts w:ascii="Times New Roman" w:eastAsia="宋体" w:hAnsi="Times New Roman" w:cs="Times New Roman" w:hint="default"/>
      <w:b/>
      <w:bCs w:val="0"/>
      <w:sz w:val="28"/>
      <w:szCs w:val="20"/>
    </w:rPr>
  </w:style>
  <w:style w:type="character" w:customStyle="1" w:styleId="6Char">
    <w:name w:val="标题 6 Char"/>
    <w:link w:val="6"/>
    <w:semiHidden/>
    <w:locked/>
    <w:rPr>
      <w:rFonts w:ascii="Arial" w:eastAsia="黑体" w:hAnsi="Arial" w:cs="Times New Roman" w:hint="default"/>
      <w:b/>
      <w:bCs w:val="0"/>
      <w:sz w:val="24"/>
      <w:szCs w:val="20"/>
    </w:rPr>
  </w:style>
  <w:style w:type="character" w:styleId="a6">
    <w:name w:val="Strong"/>
    <w:rPr>
      <w:b/>
      <w:bCs w:val="0"/>
    </w:rPr>
  </w:style>
  <w:style w:type="paragraph" w:styleId="a7">
    <w:name w:val="Normal (Web)"/>
    <w:basedOn w:val="a0"/>
    <w:semiHidden/>
    <w:unhideWhenUsed/>
    <w:pPr>
      <w:widowControl/>
      <w:spacing w:before="100" w:beforeAutospacing="1" w:after="100" w:afterAutospacing="1"/>
    </w:pPr>
    <w:rPr>
      <w:rFonts w:ascii="宋体" w:hAnsi="宋体"/>
      <w:kern w:val="0"/>
    </w:rPr>
  </w:style>
  <w:style w:type="character" w:customStyle="1" w:styleId="7Char">
    <w:name w:val="标题 7 Char"/>
    <w:link w:val="7"/>
    <w:semiHidden/>
    <w:locked/>
    <w:rPr>
      <w:rFonts w:ascii="Times New Roman" w:eastAsia="宋体" w:hAnsi="Times New Roman" w:cs="Times New Roman" w:hint="default"/>
      <w:b/>
      <w:bCs w:val="0"/>
      <w:sz w:val="24"/>
      <w:szCs w:val="20"/>
    </w:rPr>
  </w:style>
  <w:style w:type="character" w:customStyle="1" w:styleId="8Char">
    <w:name w:val="标题 8 Char"/>
    <w:link w:val="8"/>
    <w:semiHidden/>
    <w:locked/>
    <w:rPr>
      <w:rFonts w:ascii="Arial" w:eastAsia="黑体" w:hAnsi="Arial" w:cs="Times New Roman" w:hint="default"/>
      <w:sz w:val="24"/>
      <w:szCs w:val="20"/>
    </w:rPr>
  </w:style>
  <w:style w:type="character" w:customStyle="1" w:styleId="9Char">
    <w:name w:val="标题 9 Char"/>
    <w:link w:val="9"/>
    <w:semiHidden/>
    <w:locked/>
    <w:rPr>
      <w:rFonts w:ascii="Arial" w:eastAsia="黑体" w:hAnsi="Arial" w:cs="Times New Roman" w:hint="default"/>
      <w:sz w:val="24"/>
      <w:szCs w:val="20"/>
    </w:rPr>
  </w:style>
  <w:style w:type="paragraph" w:styleId="a8">
    <w:name w:val="footnote text"/>
    <w:basedOn w:val="a0"/>
    <w:semiHidden/>
    <w:unhideWhenUsed/>
    <w:pPr>
      <w:snapToGrid w:val="0"/>
    </w:pPr>
    <w:rPr>
      <w:rFonts w:ascii="等线" w:eastAsia="等线" w:hAnsi="等线"/>
      <w:sz w:val="18"/>
      <w:szCs w:val="22"/>
    </w:rPr>
  </w:style>
  <w:style w:type="character" w:customStyle="1" w:styleId="Char">
    <w:name w:val="脚注文本 Char"/>
    <w:semiHidden/>
    <w:rPr>
      <w:kern w:val="2"/>
      <w:sz w:val="18"/>
    </w:rPr>
  </w:style>
  <w:style w:type="paragraph" w:styleId="a9">
    <w:name w:val="annotation text"/>
    <w:basedOn w:val="a0"/>
    <w:link w:val="Char0"/>
    <w:semiHidden/>
    <w:unhideWhenUsed/>
    <w:pPr>
      <w:jc w:val="left"/>
    </w:pPr>
  </w:style>
  <w:style w:type="character" w:customStyle="1" w:styleId="Char0">
    <w:name w:val="批注文字 Char"/>
    <w:link w:val="a9"/>
    <w:semiHidden/>
    <w:locked/>
    <w:rPr>
      <w:rFonts w:ascii="Times New Roman" w:eastAsia="方正仿宋简体" w:hAnsi="Times New Roman" w:cs="Times New Roman" w:hint="default"/>
      <w:sz w:val="32"/>
      <w:szCs w:val="20"/>
    </w:rPr>
  </w:style>
  <w:style w:type="paragraph" w:styleId="aa">
    <w:name w:val="header"/>
    <w:basedOn w:val="a0"/>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a"/>
    <w:uiPriority w:val="99"/>
    <w:locked/>
    <w:rPr>
      <w:sz w:val="18"/>
      <w:szCs w:val="18"/>
    </w:rPr>
  </w:style>
  <w:style w:type="paragraph" w:styleId="ab">
    <w:name w:val="footer"/>
    <w:basedOn w:val="a0"/>
    <w:link w:val="Char2"/>
    <w:uiPriority w:val="99"/>
    <w:unhideWhenUsed/>
    <w:pPr>
      <w:tabs>
        <w:tab w:val="center" w:pos="4153"/>
        <w:tab w:val="right" w:pos="8306"/>
      </w:tabs>
      <w:snapToGrid w:val="0"/>
      <w:jc w:val="left"/>
    </w:pPr>
    <w:rPr>
      <w:sz w:val="18"/>
      <w:szCs w:val="18"/>
    </w:rPr>
  </w:style>
  <w:style w:type="character" w:customStyle="1" w:styleId="Char2">
    <w:name w:val="页脚 Char"/>
    <w:link w:val="ab"/>
    <w:uiPriority w:val="99"/>
    <w:locked/>
    <w:rPr>
      <w:sz w:val="18"/>
      <w:szCs w:val="18"/>
    </w:rPr>
  </w:style>
  <w:style w:type="paragraph" w:styleId="ac">
    <w:name w:val="endnote text"/>
    <w:basedOn w:val="a0"/>
    <w:semiHidden/>
    <w:unhideWhenUsed/>
    <w:pPr>
      <w:snapToGrid w:val="0"/>
      <w:jc w:val="left"/>
    </w:pPr>
    <w:rPr>
      <w:rFonts w:ascii="等线" w:hAnsi="等线"/>
      <w:szCs w:val="22"/>
    </w:rPr>
  </w:style>
  <w:style w:type="character" w:customStyle="1" w:styleId="Char3">
    <w:name w:val="尾注文本 Char"/>
    <w:semiHidden/>
    <w:rPr>
      <w:rFonts w:ascii="方正仿宋简体" w:eastAsia="方正仿宋简体" w:hint="eastAsia"/>
      <w:kern w:val="2"/>
      <w:sz w:val="32"/>
    </w:rPr>
  </w:style>
  <w:style w:type="paragraph" w:styleId="ad">
    <w:name w:val="Title"/>
    <w:basedOn w:val="a0"/>
    <w:next w:val="a0"/>
    <w:link w:val="Char4"/>
    <w:uiPriority w:val="10"/>
    <w:qFormat/>
    <w:pPr>
      <w:widowControl/>
      <w:pBdr>
        <w:bottom w:val="single" w:sz="4" w:space="1" w:color="auto"/>
      </w:pBdr>
      <w:spacing w:after="200" w:line="240" w:lineRule="auto"/>
      <w:contextualSpacing/>
      <w:jc w:val="left"/>
    </w:pPr>
    <w:rPr>
      <w:rFonts w:ascii="等线 Light" w:eastAsia="等线 Light" w:hAnsi="等线 Light"/>
      <w:spacing w:val="5"/>
      <w:kern w:val="0"/>
      <w:sz w:val="52"/>
      <w:szCs w:val="52"/>
      <w:lang w:eastAsia="en-US" w:bidi="en-US"/>
    </w:rPr>
  </w:style>
  <w:style w:type="character" w:customStyle="1" w:styleId="Char4">
    <w:name w:val="标题 Char"/>
    <w:link w:val="ad"/>
    <w:uiPriority w:val="10"/>
    <w:locked/>
    <w:rPr>
      <w:rFonts w:ascii="等线 Light" w:eastAsia="等线 Light" w:hAnsi="等线 Light" w:cs="Times New Roman" w:hint="eastAsia"/>
      <w:spacing w:val="5"/>
      <w:kern w:val="0"/>
      <w:sz w:val="52"/>
      <w:szCs w:val="52"/>
      <w:lang w:eastAsia="en-US" w:bidi="en-US"/>
    </w:rPr>
  </w:style>
  <w:style w:type="paragraph" w:styleId="ae">
    <w:name w:val="Body Text"/>
    <w:basedOn w:val="a0"/>
    <w:semiHidden/>
    <w:unhideWhenUsed/>
    <w:pPr>
      <w:spacing w:after="120"/>
    </w:pPr>
    <w:rPr>
      <w:rFonts w:ascii="等线" w:hAnsi="等线"/>
      <w:szCs w:val="22"/>
    </w:rPr>
  </w:style>
  <w:style w:type="character" w:customStyle="1" w:styleId="Char5">
    <w:name w:val="正文文本 Char"/>
    <w:semiHidden/>
    <w:rPr>
      <w:rFonts w:ascii="方正仿宋简体" w:eastAsia="方正仿宋简体" w:hint="eastAsia"/>
      <w:kern w:val="2"/>
      <w:sz w:val="32"/>
      <w:lang w:val="en-US" w:eastAsia="zh-CN"/>
    </w:rPr>
  </w:style>
  <w:style w:type="paragraph" w:styleId="af">
    <w:name w:val="Body Text Indent"/>
    <w:basedOn w:val="a0"/>
    <w:link w:val="Char6"/>
    <w:semiHidden/>
    <w:unhideWhenUsed/>
    <w:pPr>
      <w:spacing w:after="120"/>
      <w:ind w:leftChars="200" w:left="420"/>
    </w:pPr>
  </w:style>
  <w:style w:type="character" w:customStyle="1" w:styleId="Char6">
    <w:name w:val="正文文本缩进 Char"/>
    <w:link w:val="af"/>
    <w:semiHidden/>
    <w:locked/>
    <w:rPr>
      <w:rFonts w:ascii="Times New Roman" w:eastAsia="方正仿宋简体" w:hAnsi="Times New Roman" w:cs="Times New Roman" w:hint="default"/>
      <w:sz w:val="32"/>
      <w:szCs w:val="20"/>
    </w:rPr>
  </w:style>
  <w:style w:type="paragraph" w:styleId="af0">
    <w:name w:val="Date"/>
    <w:basedOn w:val="a0"/>
    <w:next w:val="a0"/>
    <w:semiHidden/>
    <w:unhideWhenUsed/>
    <w:rPr>
      <w:rFonts w:ascii="宋体" w:eastAsia="等线" w:hAnsi="等线"/>
      <w:szCs w:val="22"/>
    </w:rPr>
  </w:style>
  <w:style w:type="character" w:customStyle="1" w:styleId="Char7">
    <w:name w:val="日期 Char"/>
    <w:semiHidden/>
    <w:rPr>
      <w:rFonts w:ascii="宋体" w:eastAsia="宋体" w:hAnsi="宋体" w:hint="eastAsia"/>
      <w:kern w:val="2"/>
      <w:sz w:val="32"/>
    </w:rPr>
  </w:style>
  <w:style w:type="paragraph" w:styleId="21">
    <w:name w:val="Body Text 2"/>
    <w:basedOn w:val="a0"/>
    <w:link w:val="2Char0"/>
    <w:semiHidden/>
    <w:unhideWhenUsed/>
    <w:pPr>
      <w:spacing w:line="360" w:lineRule="auto"/>
      <w:ind w:firstLine="720"/>
    </w:pPr>
    <w:rPr>
      <w:rFonts w:ascii="仿宋_GB2312" w:eastAsia="仿宋_GB2312"/>
      <w:sz w:val="28"/>
    </w:rPr>
  </w:style>
  <w:style w:type="character" w:customStyle="1" w:styleId="2Char0">
    <w:name w:val="正文文本 2 Char"/>
    <w:link w:val="21"/>
    <w:semiHidden/>
    <w:locked/>
    <w:rPr>
      <w:rFonts w:ascii="仿宋_GB2312" w:eastAsia="仿宋_GB2312" w:hAnsi="Times New Roman" w:cs="Times New Roman" w:hint="eastAsia"/>
      <w:sz w:val="28"/>
      <w:szCs w:val="20"/>
    </w:rPr>
  </w:style>
  <w:style w:type="paragraph" w:styleId="af1">
    <w:name w:val="Document Map"/>
    <w:basedOn w:val="a0"/>
    <w:uiPriority w:val="99"/>
    <w:semiHidden/>
    <w:unhideWhenUsed/>
    <w:rPr>
      <w:rFonts w:ascii="宋体" w:eastAsia="等线" w:hAnsi="等线"/>
      <w:sz w:val="18"/>
      <w:szCs w:val="18"/>
    </w:rPr>
  </w:style>
  <w:style w:type="character" w:customStyle="1" w:styleId="Char8">
    <w:name w:val="文档结构图 Char"/>
    <w:uiPriority w:val="99"/>
    <w:semiHidden/>
    <w:rPr>
      <w:rFonts w:ascii="宋体" w:eastAsia="宋体" w:hAnsi="宋体" w:hint="eastAsia"/>
      <w:kern w:val="2"/>
      <w:sz w:val="18"/>
      <w:szCs w:val="18"/>
    </w:rPr>
  </w:style>
  <w:style w:type="paragraph" w:styleId="af2">
    <w:name w:val="Plain Text"/>
    <w:basedOn w:val="a0"/>
    <w:link w:val="Char9"/>
    <w:semiHidden/>
    <w:unhideWhenUsed/>
    <w:rPr>
      <w:rFonts w:ascii="宋体" w:hAnsi="Courier New"/>
      <w:sz w:val="21"/>
    </w:rPr>
  </w:style>
  <w:style w:type="character" w:customStyle="1" w:styleId="Char9">
    <w:name w:val="纯文本 Char"/>
    <w:link w:val="af2"/>
    <w:semiHidden/>
    <w:locked/>
    <w:rPr>
      <w:rFonts w:ascii="宋体" w:eastAsia="宋体" w:hAnsi="Courier New" w:cs="Times New Roman" w:hint="eastAsia"/>
      <w:szCs w:val="20"/>
    </w:rPr>
  </w:style>
  <w:style w:type="paragraph" w:styleId="af3">
    <w:name w:val="annotation subject"/>
    <w:basedOn w:val="a9"/>
    <w:next w:val="a9"/>
    <w:link w:val="Chara"/>
    <w:semiHidden/>
    <w:unhideWhenUsed/>
    <w:pPr>
      <w:jc w:val="both"/>
    </w:pPr>
    <w:rPr>
      <w:b/>
    </w:rPr>
  </w:style>
  <w:style w:type="character" w:customStyle="1" w:styleId="Chara">
    <w:name w:val="批注主题 Char"/>
    <w:link w:val="af3"/>
    <w:semiHidden/>
    <w:locked/>
    <w:rPr>
      <w:rFonts w:ascii="Times New Roman" w:eastAsia="方正仿宋简体" w:hAnsi="Times New Roman" w:cs="Times New Roman" w:hint="default"/>
      <w:b/>
      <w:bCs w:val="0"/>
      <w:sz w:val="32"/>
      <w:szCs w:val="20"/>
    </w:rPr>
  </w:style>
  <w:style w:type="paragraph" w:styleId="af4">
    <w:name w:val="Balloon Text"/>
    <w:basedOn w:val="a0"/>
    <w:link w:val="Charb"/>
    <w:semiHidden/>
    <w:unhideWhenUsed/>
    <w:rPr>
      <w:sz w:val="18"/>
    </w:rPr>
  </w:style>
  <w:style w:type="character" w:customStyle="1" w:styleId="Charb">
    <w:name w:val="批注框文本 Char"/>
    <w:link w:val="af4"/>
    <w:semiHidden/>
    <w:locked/>
    <w:rPr>
      <w:rFonts w:ascii="Times New Roman" w:eastAsia="方正仿宋简体" w:hAnsi="Times New Roman" w:cs="Times New Roman" w:hint="default"/>
      <w:sz w:val="18"/>
      <w:szCs w:val="20"/>
    </w:rPr>
  </w:style>
  <w:style w:type="paragraph" w:styleId="af5">
    <w:name w:val="No Spacing"/>
    <w:uiPriority w:val="1"/>
    <w:qFormat/>
    <w:pPr>
      <w:widowControl w:val="0"/>
      <w:jc w:val="both"/>
    </w:pPr>
    <w:rPr>
      <w:rFonts w:ascii="Calibri" w:eastAsia="宋体" w:hAnsi="Calibri"/>
      <w:kern w:val="2"/>
      <w:sz w:val="21"/>
      <w:szCs w:val="22"/>
    </w:rPr>
  </w:style>
  <w:style w:type="paragraph" w:styleId="af6">
    <w:name w:val="Revision"/>
    <w:semiHidden/>
    <w:rPr>
      <w:rFonts w:ascii="Times New Roman" w:eastAsia="方正仿宋简体" w:hAnsi="Times New Roman"/>
      <w:kern w:val="2"/>
      <w:sz w:val="32"/>
    </w:rPr>
  </w:style>
  <w:style w:type="paragraph" w:styleId="af7">
    <w:name w:val="List Paragraph"/>
    <w:basedOn w:val="a0"/>
    <w:uiPriority w:val="34"/>
    <w:qFormat/>
    <w:pPr>
      <w:ind w:firstLineChars="200" w:firstLine="420"/>
    </w:p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pPr>
      <w:widowControl/>
      <w:spacing w:after="160" w:line="240" w:lineRule="exact"/>
    </w:pPr>
    <w:rPr>
      <w:rFonts w:ascii="Verdana" w:eastAsia="Times New Roman" w:hAnsi="Verdana"/>
      <w:kern w:val="0"/>
      <w:sz w:val="20"/>
      <w:lang w:eastAsia="en-US"/>
    </w:rPr>
  </w:style>
  <w:style w:type="paragraph" w:customStyle="1" w:styleId="af8">
    <w:name w:val="附录款(一)"/>
    <w:basedOn w:val="a0"/>
    <w:pPr>
      <w:spacing w:line="360" w:lineRule="auto"/>
    </w:pPr>
  </w:style>
  <w:style w:type="paragraph" w:customStyle="1" w:styleId="xl31">
    <w:name w:val="xl31"/>
    <w:basedOn w:val="a0"/>
    <w:pPr>
      <w:widowControl/>
      <w:spacing w:before="100" w:beforeAutospacing="1" w:after="100" w:afterAutospacing="1"/>
    </w:pPr>
    <w:rPr>
      <w:rFonts w:ascii="宋体" w:hAnsi="宋体"/>
      <w:kern w:val="0"/>
    </w:rPr>
  </w:style>
  <w:style w:type="paragraph" w:customStyle="1" w:styleId="CharCharCharCharCharCharCharCharChar">
    <w:name w:val="Char Char Char Char Char Char Char Char Char"/>
    <w:basedOn w:val="a0"/>
    <w:pPr>
      <w:numPr>
        <w:numId w:val="4"/>
      </w:numPr>
      <w:tabs>
        <w:tab w:val="left" w:pos="1320"/>
      </w:tabs>
    </w:pPr>
  </w:style>
  <w:style w:type="paragraph" w:customStyle="1" w:styleId="a">
    <w:name w:val="正文条"/>
    <w:basedOn w:val="a0"/>
    <w:pPr>
      <w:numPr>
        <w:numId w:val="6"/>
      </w:numPr>
      <w:tabs>
        <w:tab w:val="left" w:pos="1440"/>
      </w:tabs>
      <w:spacing w:line="360" w:lineRule="auto"/>
    </w:pPr>
  </w:style>
  <w:style w:type="paragraph" w:customStyle="1" w:styleId="Default">
    <w:name w:val="Default"/>
    <w:pPr>
      <w:widowControl w:val="0"/>
      <w:autoSpaceDE w:val="0"/>
      <w:autoSpaceDN w:val="0"/>
      <w:adjustRightInd w:val="0"/>
    </w:pPr>
    <w:rPr>
      <w:rFonts w:ascii="仿宋" w:eastAsia="宋体" w:hAnsi="仿宋"/>
      <w:color w:val="000000"/>
      <w:sz w:val="24"/>
    </w:rPr>
  </w:style>
  <w:style w:type="paragraph" w:customStyle="1" w:styleId="xl33">
    <w:name w:val="xl33"/>
    <w:basedOn w:val="a0"/>
    <w:pPr>
      <w:widowControl/>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kern w:val="0"/>
    </w:rPr>
  </w:style>
  <w:style w:type="paragraph" w:customStyle="1" w:styleId="Char1CharCharCharChar">
    <w:name w:val="Char1 Char Char Char Char"/>
    <w:basedOn w:val="a0"/>
    <w:pPr>
      <w:widowControl/>
      <w:spacing w:after="160" w:line="240" w:lineRule="exact"/>
    </w:pPr>
    <w:rPr>
      <w:rFonts w:ascii="Verdana" w:hAnsi="Verdana"/>
      <w:kern w:val="0"/>
      <w:sz w:val="20"/>
      <w:lang w:eastAsia="en-US"/>
    </w:rPr>
  </w:style>
  <w:style w:type="paragraph" w:customStyle="1" w:styleId="CharCharCharCharCharChar1CharCharChar">
    <w:name w:val="Char Char Char Char Char Char1 Char Char Char"/>
    <w:basedOn w:val="a0"/>
    <w:pPr>
      <w:autoSpaceDE w:val="0"/>
      <w:autoSpaceDN w:val="0"/>
      <w:adjustRightInd w:val="0"/>
    </w:pPr>
    <w:rPr>
      <w:rFonts w:ascii="宋体"/>
      <w:kern w:val="0"/>
      <w:sz w:val="34"/>
    </w:rPr>
  </w:style>
  <w:style w:type="paragraph" w:customStyle="1" w:styleId="2111111">
    <w:name w:val="样式 样式 样式 标题 2 + 段前: 1 行 段后: 1 行1 + 段前: 1 行 段后: 1 行 + 段前: 1 行 段后..."/>
    <w:basedOn w:val="a0"/>
    <w:pPr>
      <w:keepNext/>
      <w:keepLines/>
      <w:spacing w:beforeLines="100"/>
      <w:ind w:left="992" w:hanging="992"/>
      <w:outlineLvl w:val="1"/>
    </w:pPr>
    <w:rPr>
      <w:rFonts w:ascii="Arial" w:hAnsi="Arial"/>
      <w:b/>
      <w:sz w:val="28"/>
    </w:rPr>
  </w:style>
  <w:style w:type="paragraph" w:customStyle="1" w:styleId="Charc">
    <w:name w:val="Char"/>
    <w:basedOn w:val="a0"/>
    <w:pPr>
      <w:tabs>
        <w:tab w:val="left" w:pos="360"/>
      </w:tabs>
      <w:spacing w:line="560" w:lineRule="exact"/>
    </w:pPr>
    <w:rPr>
      <w:rFonts w:ascii="方正黑体简体" w:eastAsia="方正黑体简体"/>
      <w:sz w:val="30"/>
    </w:rPr>
  </w:style>
  <w:style w:type="paragraph" w:customStyle="1" w:styleId="115">
    <w:name w:val="样式 标题 1 + 段前: 1.5 行"/>
    <w:basedOn w:val="a0"/>
    <w:pPr>
      <w:ind w:left="425" w:hanging="425"/>
    </w:pPr>
  </w:style>
  <w:style w:type="paragraph" w:customStyle="1" w:styleId="FormLabel">
    <w:name w:val="Form Label"/>
    <w:basedOn w:val="a0"/>
    <w:pPr>
      <w:widowControl/>
      <w:spacing w:line="280" w:lineRule="exact"/>
    </w:pPr>
    <w:rPr>
      <w:kern w:val="0"/>
      <w:sz w:val="18"/>
      <w:lang w:val="en-GB" w:eastAsia="en-US"/>
    </w:rPr>
  </w:style>
  <w:style w:type="paragraph" w:customStyle="1" w:styleId="ParaChar">
    <w:name w:val="默认段落字体 Para Char"/>
    <w:basedOn w:val="a0"/>
    <w:pPr>
      <w:numPr>
        <w:numId w:val="8"/>
      </w:numPr>
      <w:tabs>
        <w:tab w:val="left" w:pos="2013"/>
      </w:tabs>
      <w:spacing w:before="312" w:after="312" w:line="360" w:lineRule="auto"/>
    </w:pPr>
  </w:style>
  <w:style w:type="character" w:customStyle="1" w:styleId="4Char0">
    <w:name w:val="样式4 Char"/>
    <w:basedOn w:val="1Char"/>
    <w:link w:val="40"/>
    <w:locked/>
  </w:style>
  <w:style w:type="paragraph" w:customStyle="1" w:styleId="40">
    <w:name w:val="样式4"/>
    <w:basedOn w:val="10"/>
    <w:link w:val="4Char0"/>
    <w:qFormat/>
  </w:style>
  <w:style w:type="character" w:styleId="af9">
    <w:name w:val="footnote reference"/>
    <w:semiHidden/>
    <w:unhideWhenUsed/>
    <w:rPr>
      <w:vertAlign w:val="superscript"/>
    </w:rPr>
  </w:style>
  <w:style w:type="character" w:styleId="afa">
    <w:name w:val="annotation reference"/>
    <w:semiHidden/>
    <w:unhideWhenUsed/>
    <w:rPr>
      <w:sz w:val="21"/>
    </w:rPr>
  </w:style>
  <w:style w:type="character" w:styleId="afb">
    <w:name w:val="endnote reference"/>
    <w:semiHidden/>
    <w:unhideWhenUsed/>
    <w:rPr>
      <w:vertAlign w:val="superscript"/>
    </w:rPr>
  </w:style>
  <w:style w:type="character" w:customStyle="1" w:styleId="2Char1">
    <w:name w:val="标题 2 Char1"/>
    <w:rPr>
      <w:rFonts w:ascii="等线 Light" w:eastAsia="宋体" w:hAnsi="等线 Light" w:cs="Times New Roman" w:hint="eastAsia"/>
      <w:b/>
      <w:bCs/>
      <w:sz w:val="24"/>
      <w:szCs w:val="32"/>
    </w:rPr>
  </w:style>
  <w:style w:type="character" w:customStyle="1" w:styleId="Char10">
    <w:name w:val="脚注文本 Char1"/>
    <w:link w:val="a8"/>
    <w:locked/>
    <w:rPr>
      <w:sz w:val="18"/>
    </w:rPr>
  </w:style>
  <w:style w:type="character" w:customStyle="1" w:styleId="Char11">
    <w:name w:val="文档结构图 Char1"/>
    <w:link w:val="af1"/>
    <w:uiPriority w:val="99"/>
    <w:locked/>
    <w:rPr>
      <w:rFonts w:ascii="宋体" w:eastAsia="宋体" w:hAnsi="宋体" w:hint="eastAsia"/>
      <w:sz w:val="18"/>
      <w:szCs w:val="18"/>
    </w:rPr>
  </w:style>
  <w:style w:type="character" w:customStyle="1" w:styleId="Char12">
    <w:name w:val="正文文本 Char1"/>
    <w:link w:val="ae"/>
    <w:locked/>
    <w:rPr>
      <w:rFonts w:ascii="方正仿宋简体" w:eastAsia="方正仿宋简体" w:hint="eastAsia"/>
      <w:sz w:val="32"/>
    </w:rPr>
  </w:style>
  <w:style w:type="character" w:customStyle="1" w:styleId="Char13">
    <w:name w:val="尾注文本 Char1"/>
    <w:link w:val="ac"/>
    <w:locked/>
    <w:rPr>
      <w:rFonts w:ascii="方正仿宋简体" w:eastAsia="方正仿宋简体" w:hint="eastAsia"/>
      <w:sz w:val="32"/>
    </w:rPr>
  </w:style>
  <w:style w:type="character" w:customStyle="1" w:styleId="Char14">
    <w:name w:val="日期 Char1"/>
    <w:link w:val="af0"/>
    <w:locked/>
    <w:rPr>
      <w:rFonts w:ascii="宋体" w:eastAsia="宋体" w:hAnsi="宋体" w:hint="eastAsia"/>
      <w:sz w:val="32"/>
    </w:rPr>
  </w:style>
  <w:style w:type="character" w:customStyle="1" w:styleId="afc">
    <w:name w:val="脚注文本 字符"/>
    <w:uiPriority w:val="99"/>
    <w:semiHidden/>
    <w:rPr>
      <w:rFonts w:ascii="Times New Roman" w:eastAsia="方正仿宋简体" w:hAnsi="Times New Roman" w:cs="Times New Roman" w:hint="default"/>
      <w:sz w:val="18"/>
      <w:szCs w:val="18"/>
    </w:rPr>
  </w:style>
  <w:style w:type="character" w:customStyle="1" w:styleId="afd">
    <w:name w:val="日期 字符"/>
    <w:uiPriority w:val="99"/>
    <w:semiHidden/>
    <w:rPr>
      <w:rFonts w:ascii="Times New Roman" w:eastAsia="方正仿宋简体" w:hAnsi="Times New Roman" w:cs="Times New Roman" w:hint="default"/>
      <w:sz w:val="32"/>
      <w:szCs w:val="20"/>
    </w:rPr>
  </w:style>
  <w:style w:type="character" w:customStyle="1" w:styleId="afe">
    <w:name w:val="正文文本 字符"/>
    <w:uiPriority w:val="99"/>
    <w:semiHidden/>
    <w:rPr>
      <w:rFonts w:ascii="Times New Roman" w:eastAsia="方正仿宋简体" w:hAnsi="Times New Roman" w:cs="Times New Roman" w:hint="default"/>
      <w:sz w:val="32"/>
      <w:szCs w:val="20"/>
    </w:rPr>
  </w:style>
  <w:style w:type="character" w:customStyle="1" w:styleId="aff">
    <w:name w:val="文档结构图 字符"/>
    <w:uiPriority w:val="99"/>
    <w:semiHidden/>
    <w:rPr>
      <w:rFonts w:ascii="Microsoft YaHei UI" w:eastAsia="Microsoft YaHei UI" w:hAnsi="Times New Roman" w:cs="Times New Roman" w:hint="eastAsia"/>
      <w:sz w:val="18"/>
      <w:szCs w:val="18"/>
    </w:rPr>
  </w:style>
  <w:style w:type="character" w:customStyle="1" w:styleId="aff0">
    <w:name w:val="尾注文本 字符"/>
    <w:uiPriority w:val="99"/>
    <w:semiHidden/>
    <w:rPr>
      <w:rFonts w:ascii="Times New Roman" w:eastAsia="方正仿宋简体" w:hAnsi="Times New Roman" w:cs="Times New Roman" w:hint="default"/>
      <w:sz w:val="32"/>
      <w:szCs w:val="20"/>
    </w:rPr>
  </w:style>
  <w:style w:type="table" w:styleId="aff1">
    <w:name w:val="Table Grid"/>
    <w:basedOn w:val="a2"/>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样式1"/>
    <w:uiPriority w:val="99"/>
    <w:pPr>
      <w:numPr>
        <w:numId w:val="11"/>
      </w:numPr>
    </w:pPr>
  </w:style>
  <w:style w:type="numbering" w:customStyle="1" w:styleId="3">
    <w:name w:val="样式3"/>
    <w:uiPriority w:val="99"/>
    <w:pPr>
      <w:numPr>
        <w:numId w:val="12"/>
      </w:numPr>
    </w:pPr>
  </w:style>
  <w:style w:type="numbering" w:customStyle="1" w:styleId="2">
    <w:name w:val="样式2"/>
    <w:uiPriority w:val="99"/>
    <w:pPr>
      <w:numPr>
        <w:numId w:val="13"/>
      </w:numPr>
    </w:pPr>
  </w:style>
  <w:style w:type="character" w:styleId="aff2">
    <w:name w:val="page number"/>
    <w:uiPriority w:val="99"/>
    <w:semiHidden/>
    <w:unhideWhenUsed/>
  </w:style>
</w:styles>
</file>

<file path=word/webSettings.xml><?xml version="1.0" encoding="utf-8"?>
<w:webSettings xmlns:r="http://schemas.openxmlformats.org/officeDocument/2006/relationships" xmlns:w="http://schemas.openxmlformats.org/wordprocessingml/2006/main">
  <w:encoding w:val="unicode"/>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60C26-799A-4701-B149-5321D2DDA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1558</Characters>
  <Application>Microsoft Office Word</Application>
  <DocSecurity>4</DocSecurity>
  <Lines>12</Lines>
  <Paragraphs>3</Paragraphs>
  <ScaleCrop>false</ScaleCrop>
  <Company> </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ZHONGM</cp:lastModifiedBy>
  <cp:revision>2</cp:revision>
  <dcterms:created xsi:type="dcterms:W3CDTF">2026-03-31T16:04:00Z</dcterms:created>
  <dcterms:modified xsi:type="dcterms:W3CDTF">2026-03-31T16:04:00Z</dcterms:modified>
</cp:coreProperties>
</file>