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B1ADD">
      <w:pPr>
        <w:autoSpaceDE w:val="0"/>
        <w:autoSpaceDN w:val="0"/>
        <w:adjustRightInd w:val="0"/>
        <w:snapToGrid w:val="0"/>
        <w:spacing w:line="360" w:lineRule="auto"/>
        <w:jc w:val="center"/>
        <w:rPr>
          <w:rFonts w:ascii="宋体" w:hAnsi="宋体"/>
          <w:b/>
          <w:color w:val="000000"/>
          <w:kern w:val="0"/>
          <w:sz w:val="30"/>
          <w:szCs w:val="30"/>
        </w:rPr>
      </w:pPr>
      <w:r>
        <w:rPr>
          <w:rFonts w:ascii="宋体" w:hAnsi="宋体" w:hint="eastAsia"/>
          <w:b/>
          <w:color w:val="000000"/>
          <w:kern w:val="0"/>
          <w:sz w:val="30"/>
          <w:szCs w:val="30"/>
        </w:rPr>
        <w:t>南方中证全指家用电器交易型开放式指数证券投资基金</w:t>
      </w:r>
    </w:p>
    <w:p w:rsidR="00000000" w:rsidRDefault="003B1ADD">
      <w:pPr>
        <w:autoSpaceDE w:val="0"/>
        <w:autoSpaceDN w:val="0"/>
        <w:adjustRightInd w:val="0"/>
        <w:snapToGrid w:val="0"/>
        <w:spacing w:line="360" w:lineRule="auto"/>
        <w:jc w:val="center"/>
        <w:rPr>
          <w:rFonts w:ascii="宋体" w:hAnsi="宋体"/>
          <w:b/>
          <w:color w:val="000000"/>
          <w:kern w:val="0"/>
          <w:sz w:val="30"/>
          <w:szCs w:val="30"/>
        </w:rPr>
      </w:pPr>
      <w:r>
        <w:rPr>
          <w:rFonts w:ascii="宋体" w:hAnsi="宋体" w:hint="eastAsia"/>
          <w:b/>
          <w:color w:val="000000"/>
          <w:kern w:val="0"/>
          <w:sz w:val="30"/>
          <w:szCs w:val="30"/>
        </w:rPr>
        <w:t>基金份额发售公告</w:t>
      </w:r>
    </w:p>
    <w:p w:rsidR="00000000" w:rsidRDefault="003B1ADD">
      <w:pPr>
        <w:autoSpaceDE w:val="0"/>
        <w:autoSpaceDN w:val="0"/>
        <w:adjustRightInd w:val="0"/>
        <w:snapToGrid w:val="0"/>
        <w:spacing w:line="360" w:lineRule="auto"/>
        <w:jc w:val="center"/>
        <w:rPr>
          <w:rFonts w:ascii="宋体" w:hAnsi="宋体"/>
          <w:b/>
          <w:bCs/>
          <w:color w:val="000000"/>
          <w:kern w:val="0"/>
          <w:szCs w:val="21"/>
        </w:rPr>
      </w:pPr>
    </w:p>
    <w:p w:rsidR="00000000" w:rsidRDefault="003B1ADD">
      <w:pPr>
        <w:autoSpaceDE w:val="0"/>
        <w:autoSpaceDN w:val="0"/>
        <w:adjustRightInd w:val="0"/>
        <w:snapToGrid w:val="0"/>
        <w:spacing w:line="360" w:lineRule="auto"/>
        <w:jc w:val="center"/>
        <w:rPr>
          <w:rFonts w:ascii="宋体" w:hAnsi="宋体"/>
          <w:b/>
          <w:bCs/>
          <w:color w:val="000000"/>
          <w:kern w:val="0"/>
          <w:szCs w:val="21"/>
        </w:rPr>
      </w:pPr>
      <w:r>
        <w:rPr>
          <w:rFonts w:ascii="宋体" w:hAnsi="宋体"/>
          <w:b/>
          <w:bCs/>
          <w:color w:val="000000"/>
          <w:kern w:val="0"/>
          <w:szCs w:val="21"/>
        </w:rPr>
        <w:t>[</w:t>
      </w:r>
      <w:r>
        <w:rPr>
          <w:rFonts w:ascii="宋体" w:hAnsi="宋体" w:hint="eastAsia"/>
          <w:b/>
          <w:bCs/>
          <w:color w:val="000000"/>
          <w:kern w:val="0"/>
          <w:szCs w:val="21"/>
        </w:rPr>
        <w:t>重要提示</w:t>
      </w:r>
      <w:r>
        <w:rPr>
          <w:rFonts w:ascii="宋体" w:hAnsi="宋体"/>
          <w:b/>
          <w:bCs/>
          <w:color w:val="000000"/>
          <w:kern w:val="0"/>
          <w:szCs w:val="21"/>
        </w:rPr>
        <w:t>]</w:t>
      </w:r>
    </w:p>
    <w:p w:rsidR="00000000" w:rsidRDefault="003B1ADD">
      <w:pPr>
        <w:snapToGrid w:val="0"/>
        <w:spacing w:line="360" w:lineRule="auto"/>
        <w:ind w:firstLineChars="202" w:firstLine="424"/>
        <w:rPr>
          <w:rFonts w:ascii="宋体" w:hAnsi="宋体"/>
        </w:rPr>
      </w:pPr>
      <w:r>
        <w:rPr>
          <w:rFonts w:ascii="宋体" w:hAnsi="宋体"/>
        </w:rPr>
        <w:t>1</w:t>
      </w:r>
      <w:r>
        <w:rPr>
          <w:rFonts w:ascii="宋体" w:hAnsi="宋体" w:hint="eastAsia"/>
        </w:rPr>
        <w:t>、南方中证全指家用电器交易型开放式指数证券投资基金（以下简称“本基金”）的发售已获中国证监会</w:t>
      </w:r>
      <w:r>
        <w:rPr>
          <w:rFonts w:ascii="宋体" w:hAnsi="宋体"/>
          <w:bCs/>
          <w:szCs w:val="21"/>
        </w:rPr>
        <w:t>2026</w:t>
      </w:r>
      <w:r>
        <w:rPr>
          <w:rFonts w:ascii="宋体" w:hAnsi="宋体" w:hint="eastAsia"/>
          <w:bCs/>
          <w:szCs w:val="21"/>
        </w:rPr>
        <w:t>年</w:t>
      </w:r>
      <w:r>
        <w:rPr>
          <w:rFonts w:ascii="宋体" w:hAnsi="宋体"/>
          <w:bCs/>
          <w:szCs w:val="21"/>
        </w:rPr>
        <w:t>2</w:t>
      </w:r>
      <w:r>
        <w:rPr>
          <w:rFonts w:ascii="宋体" w:hAnsi="宋体" w:hint="eastAsia"/>
          <w:bCs/>
          <w:szCs w:val="21"/>
        </w:rPr>
        <w:t>月</w:t>
      </w:r>
      <w:r>
        <w:rPr>
          <w:rFonts w:ascii="宋体" w:hAnsi="宋体"/>
          <w:bCs/>
          <w:szCs w:val="21"/>
        </w:rPr>
        <w:t>7</w:t>
      </w:r>
      <w:r>
        <w:rPr>
          <w:rFonts w:ascii="宋体" w:hAnsi="宋体" w:hint="eastAsia"/>
          <w:bCs/>
          <w:szCs w:val="21"/>
        </w:rPr>
        <w:t>日证监许可〔</w:t>
      </w:r>
      <w:r>
        <w:rPr>
          <w:rFonts w:ascii="宋体" w:hAnsi="宋体" w:hint="eastAsia"/>
          <w:bCs/>
          <w:szCs w:val="21"/>
        </w:rPr>
        <w:t>2026</w:t>
      </w:r>
      <w:r>
        <w:rPr>
          <w:rFonts w:ascii="宋体" w:hAnsi="宋体" w:hint="eastAsia"/>
          <w:bCs/>
          <w:szCs w:val="21"/>
        </w:rPr>
        <w:t>〕</w:t>
      </w:r>
      <w:r>
        <w:rPr>
          <w:rFonts w:ascii="宋体" w:hAnsi="宋体"/>
          <w:bCs/>
          <w:szCs w:val="21"/>
        </w:rPr>
        <w:t>240</w:t>
      </w:r>
      <w:r>
        <w:rPr>
          <w:rFonts w:ascii="宋体" w:hAnsi="宋体" w:hint="eastAsia"/>
          <w:bCs/>
          <w:szCs w:val="21"/>
        </w:rPr>
        <w:t>号文</w:t>
      </w:r>
      <w:r>
        <w:rPr>
          <w:rFonts w:ascii="宋体" w:hAnsi="宋体" w:hint="eastAsia"/>
        </w:rPr>
        <w:t>注册</w:t>
      </w:r>
      <w:r>
        <w:rPr>
          <w:rFonts w:ascii="宋体" w:hAnsi="宋体" w:hint="eastAsia"/>
          <w:bCs/>
          <w:szCs w:val="21"/>
        </w:rPr>
        <w:t>。</w:t>
      </w:r>
    </w:p>
    <w:p w:rsidR="00000000" w:rsidRDefault="003B1ADD">
      <w:pPr>
        <w:snapToGrid w:val="0"/>
        <w:spacing w:line="360" w:lineRule="auto"/>
        <w:ind w:firstLineChars="202" w:firstLine="424"/>
        <w:rPr>
          <w:rFonts w:ascii="宋体" w:hAnsi="宋体"/>
        </w:rPr>
      </w:pPr>
      <w:r>
        <w:rPr>
          <w:rFonts w:ascii="宋体" w:hAnsi="宋体"/>
        </w:rPr>
        <w:t>2</w:t>
      </w:r>
      <w:r>
        <w:rPr>
          <w:rFonts w:ascii="宋体" w:hAnsi="宋体" w:hint="eastAsia"/>
        </w:rPr>
        <w:t>、本基金类别为股票型证券投资基金，运作方式为交易型开放式。</w:t>
      </w:r>
    </w:p>
    <w:p w:rsidR="00000000" w:rsidRDefault="003B1ADD">
      <w:pPr>
        <w:snapToGrid w:val="0"/>
        <w:spacing w:line="360" w:lineRule="auto"/>
        <w:ind w:firstLineChars="202" w:firstLine="424"/>
        <w:rPr>
          <w:rFonts w:ascii="宋体" w:hAnsi="宋体"/>
        </w:rPr>
      </w:pPr>
      <w:r>
        <w:rPr>
          <w:rFonts w:ascii="宋体" w:hAnsi="宋体"/>
        </w:rPr>
        <w:t>3</w:t>
      </w:r>
      <w:r>
        <w:rPr>
          <w:rFonts w:ascii="宋体" w:hAnsi="宋体" w:hint="eastAsia"/>
        </w:rPr>
        <w:t>、本基金的基金管理人为南方基金管理股份有限公司（以下简称“本公司”），基金托管人为招商银行股份有限公司，登记结算机构为中国证券登记结算有限责任公司。</w:t>
      </w:r>
    </w:p>
    <w:p w:rsidR="00000000" w:rsidRDefault="003B1ADD">
      <w:pPr>
        <w:snapToGrid w:val="0"/>
        <w:spacing w:line="360" w:lineRule="auto"/>
        <w:ind w:firstLineChars="202" w:firstLine="424"/>
        <w:rPr>
          <w:rFonts w:ascii="宋体" w:hAnsi="宋体"/>
        </w:rPr>
      </w:pPr>
      <w:r>
        <w:rPr>
          <w:rFonts w:ascii="宋体" w:hAnsi="宋体" w:hint="eastAsia"/>
        </w:rPr>
        <w:t>4</w:t>
      </w:r>
      <w:r>
        <w:rPr>
          <w:rFonts w:ascii="宋体" w:hAnsi="宋体" w:hint="eastAsia"/>
        </w:rPr>
        <w:t>、本基金自</w:t>
      </w:r>
      <w:r>
        <w:rPr>
          <w:rFonts w:ascii="宋体" w:hAnsi="宋体"/>
        </w:rPr>
        <w:t>2026</w:t>
      </w:r>
      <w:r>
        <w:rPr>
          <w:rFonts w:ascii="宋体" w:hAnsi="宋体" w:hint="eastAsia"/>
        </w:rPr>
        <w:t>年</w:t>
      </w:r>
      <w:r>
        <w:rPr>
          <w:rFonts w:ascii="宋体" w:hAnsi="宋体"/>
        </w:rPr>
        <w:t>4</w:t>
      </w:r>
      <w:r>
        <w:rPr>
          <w:rFonts w:ascii="宋体" w:hAnsi="宋体" w:hint="eastAsia"/>
        </w:rPr>
        <w:t>月</w:t>
      </w:r>
      <w:r>
        <w:rPr>
          <w:rFonts w:ascii="宋体" w:hAnsi="宋体"/>
        </w:rPr>
        <w:t>8</w:t>
      </w:r>
      <w:r>
        <w:rPr>
          <w:rFonts w:ascii="宋体" w:hAnsi="宋体" w:hint="eastAsia"/>
        </w:rPr>
        <w:t>日至</w:t>
      </w:r>
      <w:r>
        <w:rPr>
          <w:rFonts w:ascii="宋体" w:hAnsi="宋体"/>
        </w:rPr>
        <w:t>2026</w:t>
      </w:r>
      <w:r>
        <w:rPr>
          <w:rFonts w:ascii="宋体" w:hAnsi="宋体" w:hint="eastAsia"/>
        </w:rPr>
        <w:t>年</w:t>
      </w:r>
      <w:r>
        <w:rPr>
          <w:rFonts w:ascii="宋体" w:hAnsi="宋体"/>
        </w:rPr>
        <w:t>4</w:t>
      </w:r>
      <w:r>
        <w:rPr>
          <w:rFonts w:ascii="宋体" w:hAnsi="宋体" w:hint="eastAsia"/>
        </w:rPr>
        <w:t>月</w:t>
      </w:r>
      <w:r>
        <w:rPr>
          <w:rFonts w:ascii="宋体" w:hAnsi="宋体"/>
        </w:rPr>
        <w:t>21</w:t>
      </w:r>
      <w:r>
        <w:rPr>
          <w:rFonts w:ascii="宋体" w:hAnsi="宋体" w:hint="eastAsia"/>
        </w:rPr>
        <w:t>日进行发售。投</w:t>
      </w:r>
      <w:r>
        <w:rPr>
          <w:rFonts w:ascii="宋体" w:hAnsi="宋体" w:hint="eastAsia"/>
        </w:rPr>
        <w:t>资人可选择网上现金认购</w:t>
      </w:r>
      <w:r>
        <w:rPr>
          <w:rFonts w:ascii="宋体" w:hAnsi="宋体" w:hint="eastAsia"/>
          <w:bCs/>
          <w:szCs w:val="21"/>
        </w:rPr>
        <w:t>和网下现金认购</w:t>
      </w:r>
      <w:r>
        <w:rPr>
          <w:rFonts w:ascii="宋体" w:hAnsi="宋体" w:hint="eastAsia"/>
          <w:bCs/>
          <w:szCs w:val="21"/>
        </w:rPr>
        <w:t>2</w:t>
      </w:r>
      <w:r>
        <w:rPr>
          <w:rFonts w:ascii="宋体" w:hAnsi="宋体" w:hint="eastAsia"/>
          <w:bCs/>
          <w:szCs w:val="21"/>
        </w:rPr>
        <w:t>种方式。其中</w:t>
      </w:r>
      <w:r>
        <w:rPr>
          <w:rFonts w:ascii="宋体" w:hAnsi="宋体" w:hint="eastAsia"/>
        </w:rPr>
        <w:t>，网上现金认购的日期为</w:t>
      </w:r>
      <w:r>
        <w:rPr>
          <w:rFonts w:ascii="宋体" w:hAnsi="宋体" w:hint="eastAsia"/>
        </w:rPr>
        <w:t>2026</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8</w:t>
      </w:r>
      <w:r>
        <w:rPr>
          <w:rFonts w:ascii="宋体" w:hAnsi="宋体" w:hint="eastAsia"/>
        </w:rPr>
        <w:t>日至</w:t>
      </w:r>
      <w:r>
        <w:rPr>
          <w:rFonts w:ascii="宋体" w:hAnsi="宋体" w:hint="eastAsia"/>
        </w:rPr>
        <w:t>2026</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21</w:t>
      </w:r>
      <w:r>
        <w:rPr>
          <w:rFonts w:ascii="宋体" w:hAnsi="宋体" w:hint="eastAsia"/>
        </w:rPr>
        <w:t>日，网下现金认购的日期为</w:t>
      </w:r>
      <w:r>
        <w:rPr>
          <w:rFonts w:ascii="宋体" w:hAnsi="宋体" w:hint="eastAsia"/>
        </w:rPr>
        <w:t>2026</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8</w:t>
      </w:r>
      <w:r>
        <w:rPr>
          <w:rFonts w:ascii="宋体" w:hAnsi="宋体" w:hint="eastAsia"/>
        </w:rPr>
        <w:t>日至</w:t>
      </w:r>
      <w:r>
        <w:rPr>
          <w:rFonts w:ascii="宋体" w:hAnsi="宋体" w:hint="eastAsia"/>
        </w:rPr>
        <w:t>2026</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21</w:t>
      </w:r>
      <w:r>
        <w:rPr>
          <w:rFonts w:ascii="宋体" w:hAnsi="宋体" w:hint="eastAsia"/>
        </w:rPr>
        <w:t>日。如深圳证券交易所对网上现金认购时间做出调整，我司将相应调整并及时公告。</w:t>
      </w:r>
    </w:p>
    <w:p w:rsidR="00000000" w:rsidRDefault="003B1ADD">
      <w:pPr>
        <w:snapToGrid w:val="0"/>
        <w:spacing w:line="360" w:lineRule="auto"/>
        <w:ind w:firstLineChars="202" w:firstLine="424"/>
        <w:rPr>
          <w:rFonts w:ascii="宋体" w:hAnsi="宋体"/>
        </w:rPr>
      </w:pPr>
      <w:r>
        <w:rPr>
          <w:rFonts w:ascii="宋体" w:hAnsi="宋体"/>
        </w:rPr>
        <w:t>5</w:t>
      </w:r>
      <w:r>
        <w:rPr>
          <w:rFonts w:ascii="宋体" w:hAnsi="宋体"/>
        </w:rPr>
        <w:t>、</w:t>
      </w:r>
      <w:r>
        <w:rPr>
          <w:rFonts w:ascii="宋体" w:hAnsi="宋体" w:hint="eastAsia"/>
        </w:rPr>
        <w:t>本基金募集对象为符合法律法规规定的可投资于证券投资基金的个人投资者、机构投资者、合格境外投资者以及法律法规或中国证监会允许购买证券投资基金的其他投资人。</w:t>
      </w:r>
    </w:p>
    <w:p w:rsidR="00000000" w:rsidRDefault="003B1ADD">
      <w:pPr>
        <w:snapToGrid w:val="0"/>
        <w:spacing w:line="360" w:lineRule="auto"/>
        <w:ind w:firstLineChars="202" w:firstLine="424"/>
        <w:rPr>
          <w:rFonts w:ascii="宋体" w:hAnsi="宋体"/>
        </w:rPr>
      </w:pPr>
      <w:r>
        <w:rPr>
          <w:rFonts w:ascii="宋体" w:hAnsi="宋体" w:hint="eastAsia"/>
        </w:rPr>
        <w:t>6</w:t>
      </w:r>
      <w:r>
        <w:rPr>
          <w:rFonts w:ascii="宋体" w:hAnsi="宋体"/>
        </w:rPr>
        <w:t>、</w:t>
      </w:r>
      <w:r>
        <w:rPr>
          <w:rFonts w:ascii="宋体" w:hAnsi="宋体" w:hint="eastAsia"/>
        </w:rPr>
        <w:t>本基金网上现金发售通过</w:t>
      </w:r>
      <w:r>
        <w:rPr>
          <w:rFonts w:hint="eastAsia"/>
        </w:rPr>
        <w:t>深圳证券交易所内具有基金销售业务资格并经深圳证券交易所认可的会员单位办理。</w:t>
      </w:r>
    </w:p>
    <w:p w:rsidR="00000000" w:rsidRDefault="003B1ADD">
      <w:pPr>
        <w:snapToGrid w:val="0"/>
        <w:spacing w:line="360" w:lineRule="auto"/>
        <w:ind w:firstLineChars="202" w:firstLine="424"/>
        <w:rPr>
          <w:rFonts w:ascii="宋体" w:hAnsi="宋体"/>
        </w:rPr>
      </w:pPr>
      <w:r>
        <w:rPr>
          <w:rFonts w:ascii="宋体" w:hAnsi="宋体" w:hint="eastAsia"/>
        </w:rPr>
        <w:t>7</w:t>
      </w:r>
      <w:r>
        <w:rPr>
          <w:rFonts w:ascii="宋体" w:hAnsi="宋体" w:hint="eastAsia"/>
        </w:rPr>
        <w:t>、</w:t>
      </w:r>
      <w:r>
        <w:rPr>
          <w:rFonts w:ascii="宋体" w:hAnsi="宋体" w:hint="eastAsia"/>
        </w:rPr>
        <w:t>本基金网下现金发售通过基金管理人及其指定的发售代理机构办理。</w:t>
      </w:r>
    </w:p>
    <w:p w:rsidR="00000000" w:rsidRDefault="003B1ADD">
      <w:pPr>
        <w:snapToGrid w:val="0"/>
        <w:spacing w:line="360" w:lineRule="auto"/>
        <w:ind w:firstLineChars="202" w:firstLine="424"/>
        <w:rPr>
          <w:rFonts w:ascii="宋体" w:hAnsi="宋体"/>
        </w:rPr>
      </w:pPr>
      <w:r>
        <w:rPr>
          <w:rFonts w:ascii="宋体" w:hAnsi="宋体" w:hint="eastAsia"/>
        </w:rPr>
        <w:t>8</w:t>
      </w:r>
      <w:r>
        <w:rPr>
          <w:rFonts w:ascii="宋体" w:hAnsi="宋体" w:hint="eastAsia"/>
        </w:rPr>
        <w:t>、投资人认购本基金时需具有深圳证券交易所</w:t>
      </w:r>
      <w:r>
        <w:rPr>
          <w:rFonts w:ascii="宋体" w:hAnsi="宋体" w:hint="eastAsia"/>
        </w:rPr>
        <w:t>A</w:t>
      </w:r>
      <w:r>
        <w:rPr>
          <w:rFonts w:ascii="宋体" w:hAnsi="宋体" w:hint="eastAsia"/>
        </w:rPr>
        <w:t>股账户（以下简称“深圳</w:t>
      </w:r>
      <w:r>
        <w:rPr>
          <w:rFonts w:ascii="宋体" w:hAnsi="宋体" w:hint="eastAsia"/>
        </w:rPr>
        <w:t>A</w:t>
      </w:r>
      <w:r>
        <w:rPr>
          <w:rFonts w:ascii="宋体" w:hAnsi="宋体" w:hint="eastAsia"/>
        </w:rPr>
        <w:t>股账户”）或深圳证券交易所证券投资基金账户（以下简称“深圳证券投资基金账户”）。如投资人需要参与网下现金或网上现金认购，应使用深圳</w:t>
      </w:r>
      <w:r>
        <w:rPr>
          <w:rFonts w:ascii="宋体" w:hAnsi="宋体" w:hint="eastAsia"/>
        </w:rPr>
        <w:t>A</w:t>
      </w:r>
      <w:r>
        <w:rPr>
          <w:rFonts w:ascii="宋体" w:hAnsi="宋体" w:hint="eastAsia"/>
        </w:rPr>
        <w:t>股账户或深圳证券投资基金账户；深圳证券投资基金账户只能进行本基金的现金认购和二级市场交易。</w:t>
      </w:r>
    </w:p>
    <w:p w:rsidR="00000000" w:rsidRDefault="003B1ADD">
      <w:pPr>
        <w:snapToGrid w:val="0"/>
        <w:spacing w:line="360" w:lineRule="auto"/>
        <w:ind w:firstLineChars="202" w:firstLine="424"/>
        <w:rPr>
          <w:rFonts w:ascii="宋体" w:hAnsi="宋体"/>
        </w:rPr>
      </w:pPr>
      <w:r>
        <w:rPr>
          <w:rFonts w:ascii="宋体" w:hAnsi="宋体"/>
        </w:rPr>
        <w:t>9</w:t>
      </w:r>
      <w:r>
        <w:rPr>
          <w:rFonts w:ascii="宋体" w:hAnsi="宋体"/>
        </w:rPr>
        <w:t>、</w:t>
      </w:r>
      <w:r>
        <w:rPr>
          <w:rFonts w:ascii="宋体" w:hAnsi="宋体" w:hint="eastAsia"/>
        </w:rPr>
        <w:t>本基金认购费用或认购佣金不高于</w:t>
      </w:r>
      <w:r>
        <w:rPr>
          <w:rFonts w:ascii="宋体" w:hAnsi="宋体" w:hint="eastAsia"/>
        </w:rPr>
        <w:t>0.</w:t>
      </w:r>
      <w:r>
        <w:rPr>
          <w:rFonts w:ascii="宋体" w:hAnsi="宋体"/>
        </w:rPr>
        <w:t>3</w:t>
      </w:r>
      <w:r>
        <w:rPr>
          <w:rFonts w:ascii="宋体" w:hAnsi="宋体" w:hint="eastAsia"/>
        </w:rPr>
        <w:t>%</w:t>
      </w:r>
      <w:r>
        <w:rPr>
          <w:rFonts w:ascii="宋体" w:hAnsi="宋体" w:hint="eastAsia"/>
        </w:rPr>
        <w:t>，详情参见下文。</w:t>
      </w:r>
    </w:p>
    <w:p w:rsidR="00000000" w:rsidRDefault="003B1ADD">
      <w:pPr>
        <w:snapToGrid w:val="0"/>
        <w:spacing w:line="360" w:lineRule="auto"/>
        <w:ind w:firstLineChars="202" w:firstLine="424"/>
        <w:rPr>
          <w:rFonts w:ascii="宋体" w:hAnsi="宋体"/>
          <w:szCs w:val="21"/>
        </w:rPr>
      </w:pPr>
      <w:r>
        <w:rPr>
          <w:rFonts w:ascii="宋体" w:hAnsi="宋体"/>
        </w:rPr>
        <w:t>10</w:t>
      </w:r>
      <w:r>
        <w:rPr>
          <w:rFonts w:ascii="宋体" w:hAnsi="宋体" w:hint="eastAsia"/>
        </w:rPr>
        <w:t>、</w:t>
      </w:r>
      <w:r>
        <w:rPr>
          <w:rFonts w:ascii="宋体" w:hAnsi="宋体" w:hint="eastAsia"/>
          <w:szCs w:val="21"/>
        </w:rPr>
        <w:t>网上现金认购以基金份额申请。单一账户每笔认购份额需为</w:t>
      </w:r>
      <w:r>
        <w:rPr>
          <w:rFonts w:ascii="宋体" w:hAnsi="宋体" w:hint="eastAsia"/>
          <w:szCs w:val="21"/>
        </w:rPr>
        <w:t>1,000</w:t>
      </w:r>
      <w:r>
        <w:rPr>
          <w:rFonts w:ascii="宋体" w:hAnsi="宋体" w:hint="eastAsia"/>
          <w:szCs w:val="21"/>
        </w:rPr>
        <w:t>份或其整数倍，并须遵循销售机构</w:t>
      </w:r>
      <w:r>
        <w:rPr>
          <w:rFonts w:ascii="宋体" w:hAnsi="宋体" w:hint="eastAsia"/>
          <w:szCs w:val="21"/>
        </w:rPr>
        <w:t>的相关规定。投资人可以多次认购，累计认购份额不设上限，但法律法规、监管要求以及本基金发售规模控制方案另有规定的除外。</w:t>
      </w:r>
    </w:p>
    <w:p w:rsidR="00000000" w:rsidRDefault="003B1ADD">
      <w:pPr>
        <w:snapToGrid w:val="0"/>
        <w:spacing w:line="360" w:lineRule="auto"/>
        <w:ind w:firstLineChars="202" w:firstLine="424"/>
        <w:rPr>
          <w:rFonts w:ascii="宋体" w:hAnsi="宋体"/>
        </w:rPr>
      </w:pPr>
      <w:r>
        <w:rPr>
          <w:rFonts w:ascii="宋体" w:hAnsi="宋体" w:hint="eastAsia"/>
        </w:rPr>
        <w:t>网下现金认购以基金份额申请。投资人通过发售代理机构办理网下现金认购，每笔认购份额须为</w:t>
      </w:r>
      <w:r>
        <w:rPr>
          <w:rFonts w:ascii="宋体" w:hAnsi="宋体" w:hint="eastAsia"/>
        </w:rPr>
        <w:t>1,000</w:t>
      </w:r>
      <w:r>
        <w:rPr>
          <w:rFonts w:ascii="宋体" w:hAnsi="宋体" w:hint="eastAsia"/>
        </w:rPr>
        <w:t>份或其整数倍；投资人通过基金管理人办理网下现金认购的，每笔认购份额须在</w:t>
      </w:r>
      <w:r>
        <w:rPr>
          <w:rFonts w:ascii="宋体" w:hAnsi="宋体" w:hint="eastAsia"/>
        </w:rPr>
        <w:t>10</w:t>
      </w:r>
      <w:r>
        <w:rPr>
          <w:rFonts w:ascii="宋体" w:hAnsi="宋体" w:hint="eastAsia"/>
        </w:rPr>
        <w:t>万份以上（含</w:t>
      </w:r>
      <w:r>
        <w:rPr>
          <w:rFonts w:ascii="宋体" w:hAnsi="宋体" w:hint="eastAsia"/>
        </w:rPr>
        <w:t>10</w:t>
      </w:r>
      <w:r>
        <w:rPr>
          <w:rFonts w:ascii="宋体" w:hAnsi="宋体" w:hint="eastAsia"/>
        </w:rPr>
        <w:t>万份）。投资人可以多次认购，累计认购份额不设上限，但法律法规、监管要求以及本基金发售规模控制方案另有规定的除外。</w:t>
      </w:r>
    </w:p>
    <w:p w:rsidR="00000000" w:rsidRDefault="003B1ADD">
      <w:pPr>
        <w:snapToGrid w:val="0"/>
        <w:spacing w:line="360" w:lineRule="auto"/>
        <w:ind w:firstLineChars="202" w:firstLine="424"/>
        <w:rPr>
          <w:rFonts w:ascii="宋体" w:hAnsi="宋体"/>
        </w:rPr>
      </w:pPr>
      <w:r>
        <w:rPr>
          <w:rFonts w:ascii="宋体" w:hAnsi="宋体" w:hint="eastAsia"/>
        </w:rPr>
        <w:t>1</w:t>
      </w:r>
      <w:r>
        <w:rPr>
          <w:rFonts w:ascii="宋体" w:hAnsi="宋体"/>
        </w:rPr>
        <w:t>1</w:t>
      </w:r>
      <w:r>
        <w:rPr>
          <w:rFonts w:ascii="宋体" w:hAnsi="宋体" w:hint="eastAsia"/>
        </w:rPr>
        <w:t>、网上现金认购本基金时，投资人需按发售代理机构的规定，备足认购资金，办理认购手续。投资人可多</w:t>
      </w:r>
      <w:r>
        <w:rPr>
          <w:rFonts w:ascii="宋体" w:hAnsi="宋体" w:hint="eastAsia"/>
        </w:rPr>
        <w:t>次申报，网上现金认购申请提交后不得撤销。</w:t>
      </w:r>
      <w:r>
        <w:rPr>
          <w:rFonts w:hint="eastAsia"/>
        </w:rPr>
        <w:t>网下现金认购本基金时，投资人需按销售机构的规定，到销售网点办理相关认购手续，并备足认购资金。网下现金认</w:t>
      </w:r>
      <w:r>
        <w:rPr>
          <w:rFonts w:hint="eastAsia"/>
        </w:rPr>
        <w:lastRenderedPageBreak/>
        <w:t>购申请提交后在销售机构规定的时间之后不得撤销。</w:t>
      </w:r>
    </w:p>
    <w:p w:rsidR="00000000" w:rsidRDefault="003B1ADD">
      <w:pPr>
        <w:snapToGrid w:val="0"/>
        <w:spacing w:line="360" w:lineRule="auto"/>
        <w:ind w:firstLineChars="202" w:firstLine="424"/>
        <w:rPr>
          <w:rFonts w:ascii="宋体" w:hAnsi="宋体"/>
        </w:rPr>
      </w:pPr>
      <w:r>
        <w:rPr>
          <w:rFonts w:ascii="宋体" w:hAnsi="宋体" w:hint="eastAsia"/>
        </w:rPr>
        <w:t>1</w:t>
      </w:r>
      <w:r>
        <w:rPr>
          <w:rFonts w:ascii="宋体" w:hAnsi="宋体"/>
        </w:rPr>
        <w:t>2</w:t>
      </w:r>
      <w:r>
        <w:rPr>
          <w:rFonts w:ascii="宋体" w:hAnsi="宋体" w:hint="eastAsia"/>
        </w:rPr>
        <w:t>、基金销售机构对认购申请的受理并不代表该申请一定成功，而仅代表销售机构确实接收到认购申请。认购的确认以登记机构或基金管理人的确认结果为准。</w:t>
      </w:r>
    </w:p>
    <w:p w:rsidR="00000000" w:rsidRDefault="003B1ADD">
      <w:pPr>
        <w:snapToGrid w:val="0"/>
        <w:spacing w:line="360" w:lineRule="auto"/>
        <w:ind w:firstLineChars="202" w:firstLine="424"/>
        <w:rPr>
          <w:rFonts w:ascii="宋体" w:hAnsi="宋体"/>
        </w:rPr>
      </w:pPr>
      <w:r>
        <w:rPr>
          <w:rFonts w:ascii="宋体" w:hAnsi="宋体" w:hint="eastAsia"/>
        </w:rPr>
        <w:t>1</w:t>
      </w:r>
      <w:r>
        <w:rPr>
          <w:rFonts w:ascii="宋体" w:hAnsi="宋体"/>
        </w:rPr>
        <w:t>3</w:t>
      </w:r>
      <w:r>
        <w:rPr>
          <w:rFonts w:ascii="宋体" w:hAnsi="宋体" w:hint="eastAsia"/>
        </w:rPr>
        <w:t>、</w:t>
      </w:r>
      <w:r>
        <w:rPr>
          <w:rFonts w:ascii="宋体" w:hAnsi="宋体" w:hint="eastAsia"/>
          <w:bCs/>
        </w:rPr>
        <w:t>本公告仅对本基金发售的有关事项和规定予以说明，投资人欲了解本基金的详细情况，请阅读发布在基金管理人互联网网站（</w:t>
      </w:r>
      <w:r>
        <w:rPr>
          <w:rFonts w:ascii="宋体" w:hAnsi="宋体" w:hint="eastAsia"/>
          <w:bCs/>
        </w:rPr>
        <w:t>www.nffund.com</w:t>
      </w:r>
      <w:r>
        <w:rPr>
          <w:rFonts w:ascii="宋体" w:hAnsi="宋体" w:hint="eastAsia"/>
          <w:bCs/>
        </w:rPr>
        <w:t>）和中国证监会基金电子披露网站（</w:t>
      </w:r>
      <w:r>
        <w:rPr>
          <w:rFonts w:ascii="宋体" w:hAnsi="宋体" w:hint="eastAsia"/>
          <w:bCs/>
        </w:rPr>
        <w:t>h</w:t>
      </w:r>
      <w:r>
        <w:rPr>
          <w:rFonts w:ascii="宋体" w:hAnsi="宋体" w:hint="eastAsia"/>
          <w:bCs/>
        </w:rPr>
        <w:t>ttp://eid.csrc.gov.cn/fund</w:t>
      </w:r>
      <w:r>
        <w:rPr>
          <w:rFonts w:ascii="宋体" w:hAnsi="宋体" w:hint="eastAsia"/>
          <w:bCs/>
        </w:rPr>
        <w:t>）上的《南方中证全指家用电器交易型开放式指数证券投资基金招募说明书》和《南方中证全指家用电器交易型开放式指数证券投资基金基金产品资料概要》；本基金的基金合同、招募说明书、基金产品资料概要及本公告将同时发布在基金管理人的互联网网站。</w:t>
      </w:r>
    </w:p>
    <w:p w:rsidR="00000000" w:rsidRDefault="003B1ADD">
      <w:pPr>
        <w:snapToGrid w:val="0"/>
        <w:spacing w:line="360" w:lineRule="auto"/>
        <w:ind w:firstLineChars="202" w:firstLine="424"/>
        <w:rPr>
          <w:rFonts w:ascii="宋体" w:hAnsi="宋体"/>
        </w:rPr>
      </w:pPr>
      <w:r>
        <w:rPr>
          <w:rFonts w:ascii="宋体" w:hAnsi="宋体" w:hint="eastAsia"/>
        </w:rPr>
        <w:t>1</w:t>
      </w:r>
      <w:r>
        <w:rPr>
          <w:rFonts w:ascii="宋体" w:hAnsi="宋体"/>
        </w:rPr>
        <w:t>4</w:t>
      </w:r>
      <w:r>
        <w:rPr>
          <w:rFonts w:ascii="宋体" w:hAnsi="宋体" w:hint="eastAsia"/>
        </w:rPr>
        <w:t>、募集期内，基金管理人可根据情况变更或增减销售机构，具体的销售机构将由基金管理人在规定网站上列明。</w:t>
      </w:r>
    </w:p>
    <w:p w:rsidR="00000000" w:rsidRDefault="003B1ADD">
      <w:pPr>
        <w:snapToGrid w:val="0"/>
        <w:spacing w:line="360" w:lineRule="auto"/>
        <w:ind w:firstLineChars="202" w:firstLine="424"/>
        <w:rPr>
          <w:rFonts w:ascii="宋体" w:hAnsi="宋体"/>
        </w:rPr>
      </w:pPr>
      <w:r>
        <w:rPr>
          <w:rFonts w:ascii="宋体" w:hAnsi="宋体" w:hint="eastAsia"/>
        </w:rPr>
        <w:t>1</w:t>
      </w:r>
      <w:r>
        <w:rPr>
          <w:rFonts w:ascii="宋体" w:hAnsi="宋体"/>
        </w:rPr>
        <w:t>5</w:t>
      </w:r>
      <w:r>
        <w:rPr>
          <w:rFonts w:ascii="宋体" w:hAnsi="宋体" w:hint="eastAsia"/>
        </w:rPr>
        <w:t>、各销售机构办理认购业务的办理网点、办理日期和时间等事项参照各销售机构的具体规定。</w:t>
      </w:r>
    </w:p>
    <w:p w:rsidR="00000000" w:rsidRDefault="003B1ADD">
      <w:pPr>
        <w:snapToGrid w:val="0"/>
        <w:spacing w:line="360" w:lineRule="auto"/>
        <w:ind w:firstLineChars="202" w:firstLine="424"/>
        <w:rPr>
          <w:rFonts w:ascii="宋体" w:hAnsi="宋体"/>
        </w:rPr>
      </w:pPr>
      <w:r>
        <w:rPr>
          <w:rFonts w:ascii="宋体" w:hAnsi="宋体" w:hint="eastAsia"/>
        </w:rPr>
        <w:t>1</w:t>
      </w:r>
      <w:r>
        <w:rPr>
          <w:rFonts w:ascii="宋体" w:hAnsi="宋体"/>
        </w:rPr>
        <w:t>6</w:t>
      </w:r>
      <w:r>
        <w:rPr>
          <w:rFonts w:ascii="宋体" w:hAnsi="宋体" w:hint="eastAsia"/>
        </w:rPr>
        <w:t>、投资人可拨打本公司客户服务电话</w:t>
      </w:r>
      <w:r>
        <w:rPr>
          <w:rFonts w:ascii="宋体" w:hAnsi="宋体" w:hint="eastAsia"/>
        </w:rPr>
        <w:t>（</w:t>
      </w:r>
      <w:r>
        <w:rPr>
          <w:rFonts w:ascii="宋体" w:hAnsi="宋体" w:hint="eastAsia"/>
        </w:rPr>
        <w:t>400-889-8899</w:t>
      </w:r>
      <w:r>
        <w:rPr>
          <w:rFonts w:ascii="宋体" w:hAnsi="宋体" w:hint="eastAsia"/>
        </w:rPr>
        <w:t>）或各销售机构咨询电话了解认购事宜。</w:t>
      </w:r>
    </w:p>
    <w:p w:rsidR="00000000" w:rsidRDefault="003B1ADD">
      <w:pPr>
        <w:snapToGrid w:val="0"/>
        <w:spacing w:line="360" w:lineRule="auto"/>
        <w:ind w:firstLineChars="202" w:firstLine="424"/>
        <w:rPr>
          <w:rFonts w:ascii="宋体" w:hAnsi="宋体"/>
        </w:rPr>
      </w:pPr>
      <w:r>
        <w:rPr>
          <w:rFonts w:ascii="宋体" w:hAnsi="宋体" w:hint="eastAsia"/>
        </w:rPr>
        <w:t>1</w:t>
      </w:r>
      <w:r>
        <w:rPr>
          <w:rFonts w:ascii="宋体" w:hAnsi="宋体"/>
        </w:rPr>
        <w:t>7</w:t>
      </w:r>
      <w:r>
        <w:rPr>
          <w:rFonts w:ascii="宋体" w:hAnsi="宋体" w:hint="eastAsia"/>
        </w:rPr>
        <w:t>、</w:t>
      </w:r>
      <w:r>
        <w:rPr>
          <w:rFonts w:hint="eastAsia"/>
        </w:rPr>
        <w:t>基金认购期结束后，基金管理人确定本基金的申购赎回代理券商名单，予以公告。本基金上市后，未登记在申购赎回代理券商的投资者只能进行本基金的二级市场买卖，如投资者需进行本基金的申购赎回交易，须转托管到本基金的申购赎回代理券商。</w:t>
      </w:r>
    </w:p>
    <w:p w:rsidR="00000000" w:rsidRDefault="003B1ADD">
      <w:pPr>
        <w:snapToGrid w:val="0"/>
        <w:spacing w:line="360" w:lineRule="auto"/>
        <w:ind w:firstLineChars="202" w:firstLine="424"/>
        <w:rPr>
          <w:rFonts w:ascii="宋体" w:hAnsi="宋体"/>
        </w:rPr>
      </w:pPr>
      <w:r>
        <w:rPr>
          <w:rFonts w:ascii="宋体" w:hAnsi="宋体" w:hint="eastAsia"/>
        </w:rPr>
        <w:t>1</w:t>
      </w:r>
      <w:r>
        <w:rPr>
          <w:rFonts w:ascii="宋体" w:hAnsi="宋体"/>
        </w:rPr>
        <w:t>8</w:t>
      </w:r>
      <w:r>
        <w:rPr>
          <w:rFonts w:ascii="宋体" w:hAnsi="宋体" w:hint="eastAsia"/>
        </w:rPr>
        <w:t>、基金管理人可综合各种情况对销售安排及募集期其他相关事项做适当调整。</w:t>
      </w:r>
    </w:p>
    <w:p w:rsidR="00000000" w:rsidRDefault="003B1ADD">
      <w:pPr>
        <w:snapToGrid w:val="0"/>
        <w:spacing w:line="360" w:lineRule="auto"/>
        <w:ind w:firstLineChars="202" w:firstLine="424"/>
        <w:rPr>
          <w:rFonts w:ascii="宋体" w:hAnsi="宋体"/>
          <w:szCs w:val="21"/>
        </w:rPr>
      </w:pPr>
      <w:r>
        <w:rPr>
          <w:rFonts w:ascii="宋体" w:hAnsi="宋体"/>
        </w:rPr>
        <w:t>19</w:t>
      </w:r>
      <w:r>
        <w:rPr>
          <w:rFonts w:ascii="宋体" w:hAnsi="宋体" w:hint="eastAsia"/>
        </w:rPr>
        <w:t>、风险提示：</w:t>
      </w:r>
      <w:r>
        <w:rPr>
          <w:rFonts w:ascii="宋体" w:hAnsi="宋体" w:hint="eastAsia"/>
          <w:szCs w:val="21"/>
        </w:rPr>
        <w:t>本基金投资于证券、期货市场，基金净值会因为证券、期货市场波动等因素产生波动，投资人在投资本基金前，应全面了解本基金的产品特性，充分</w:t>
      </w:r>
      <w:r>
        <w:rPr>
          <w:rFonts w:ascii="宋体" w:hAnsi="宋体" w:hint="eastAsia"/>
          <w:szCs w:val="21"/>
        </w:rPr>
        <w:t>考虑自身的风险承受能力，并承担基金投资中出现的各类风险，包括：因政治、经济、社会等环境因素对证券价格产生影响而形成的市场风险，基金管理人在基金管理实施过程中产生的基金管理风险，流动性风险。本基金是跟踪标的指数的交易型开放式基金，本基金标的指数为中证全指家用电器指数。投资本基金可能遇到的风险还包括：标的指数回报与股票市场平均回报偏离的风险、标的指数波动的风险、基金投资组合回报与标的指数回报偏离的风险及跟踪误差控制未达约定目标的风险、基金份额二级市场交易价格折溢价的风险、参考</w:t>
      </w:r>
      <w:r>
        <w:rPr>
          <w:rFonts w:ascii="宋体" w:hAnsi="宋体" w:hint="eastAsia"/>
          <w:szCs w:val="21"/>
        </w:rPr>
        <w:t>IOPV</w:t>
      </w:r>
      <w:r>
        <w:rPr>
          <w:rFonts w:ascii="宋体" w:hAnsi="宋体" w:hint="eastAsia"/>
          <w:szCs w:val="21"/>
        </w:rPr>
        <w:t>决策和</w:t>
      </w:r>
      <w:r>
        <w:rPr>
          <w:rFonts w:ascii="宋体" w:hAnsi="宋体" w:hint="eastAsia"/>
          <w:szCs w:val="21"/>
        </w:rPr>
        <w:t>IOPV</w:t>
      </w:r>
      <w:r>
        <w:rPr>
          <w:rFonts w:ascii="宋体" w:hAnsi="宋体" w:hint="eastAsia"/>
          <w:szCs w:val="21"/>
        </w:rPr>
        <w:t>计算错误的风险</w:t>
      </w:r>
      <w:r>
        <w:rPr>
          <w:rFonts w:ascii="宋体" w:hAnsi="宋体" w:hint="eastAsia"/>
          <w:szCs w:val="21"/>
        </w:rPr>
        <w:t>、投资人申购失败的风险、投资人赎回失败的风险、基金份额赎回对价的变现风险、退市风险、第三方机构服务的风险（包括指数编制机构停止服务风险）、成份股停牌</w:t>
      </w:r>
      <w:r>
        <w:rPr>
          <w:rFonts w:ascii="宋体" w:hAnsi="宋体" w:hint="eastAsia"/>
          <w:szCs w:val="21"/>
        </w:rPr>
        <w:t>/</w:t>
      </w:r>
      <w:r>
        <w:rPr>
          <w:rFonts w:ascii="宋体" w:hAnsi="宋体" w:hint="eastAsia"/>
          <w:szCs w:val="21"/>
        </w:rPr>
        <w:t>摘牌的风险、操作或技术风险、本基金场内投资采用证券公司交易和结算模式的风险、风险评价不一致的风险、其他风险等。本基金被动跟踪标的指数“中证全指家用电器指数”，因此，本基金的业绩表现与标的指数的表现密切相关。同时，本基金属于股票型基金，一般而言，其长期平均风险和预期收益水平高于混合型基金、债券型基金与货币市场基金。本基金采用完全复制法跟踪标的指数的表现，具有与标</w:t>
      </w:r>
      <w:r>
        <w:rPr>
          <w:rFonts w:ascii="宋体" w:hAnsi="宋体" w:hint="eastAsia"/>
          <w:szCs w:val="21"/>
        </w:rPr>
        <w:t>的指数、以及标的指数所代表的股票市场相似的风险收益特征。</w:t>
      </w:r>
    </w:p>
    <w:p w:rsidR="00000000" w:rsidRDefault="003B1ADD">
      <w:pPr>
        <w:snapToGrid w:val="0"/>
        <w:spacing w:line="360" w:lineRule="auto"/>
        <w:ind w:firstLineChars="202" w:firstLine="424"/>
        <w:rPr>
          <w:rFonts w:ascii="宋体" w:hAnsi="宋体"/>
          <w:szCs w:val="21"/>
        </w:rPr>
      </w:pPr>
      <w:r>
        <w:rPr>
          <w:rFonts w:ascii="宋体" w:hAnsi="宋体" w:hint="eastAsia"/>
          <w:szCs w:val="21"/>
        </w:rPr>
        <w:t>本基金可根据法律法规和基金合同的约定参与转融通证券出借业务，可能存在流动性风险、市场风险、操作风险和信用风险等转融通业务特有风险。</w:t>
      </w:r>
    </w:p>
    <w:p w:rsidR="00000000" w:rsidRDefault="003B1ADD">
      <w:pPr>
        <w:snapToGrid w:val="0"/>
        <w:spacing w:line="360" w:lineRule="auto"/>
        <w:ind w:firstLineChars="202" w:firstLine="424"/>
        <w:rPr>
          <w:rFonts w:ascii="宋体" w:hAnsi="宋体"/>
          <w:szCs w:val="21"/>
        </w:rPr>
      </w:pPr>
      <w:r>
        <w:rPr>
          <w:rFonts w:ascii="宋体" w:hAnsi="宋体" w:hint="eastAsia"/>
          <w:szCs w:val="21"/>
        </w:rPr>
        <w:t>本基金投资范围包括国内依法发行上市的存托凭证（“中国存托凭证”），存托凭证有可能出现股价波动较大的情况，投资者有可能面临中国存托凭证价格大幅波动甚至出现较大亏损的风险、与中国存托凭证发行机制相关的风险等。但基金资产并非必然参与存托凭证的投资，基金可根据投资策略需要或不同市场环境的变化，选择是否采用存托凭证投资策略。</w:t>
      </w:r>
    </w:p>
    <w:p w:rsidR="00000000" w:rsidRDefault="003B1ADD">
      <w:pPr>
        <w:snapToGrid w:val="0"/>
        <w:spacing w:line="360" w:lineRule="auto"/>
        <w:ind w:firstLineChars="202" w:firstLine="424"/>
        <w:rPr>
          <w:rFonts w:ascii="宋体" w:hAnsi="宋体"/>
          <w:szCs w:val="21"/>
        </w:rPr>
      </w:pPr>
      <w:r>
        <w:rPr>
          <w:rFonts w:ascii="宋体" w:hAnsi="宋体" w:hint="eastAsia"/>
          <w:szCs w:val="21"/>
        </w:rPr>
        <w:t>本基</w:t>
      </w:r>
      <w:r>
        <w:rPr>
          <w:rFonts w:ascii="宋体" w:hAnsi="宋体" w:hint="eastAsia"/>
          <w:szCs w:val="21"/>
        </w:rPr>
        <w:t>金投资范围包括股指期货、股票期权等金融衍生品，可能给本基金带来额外风险。投资股指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000000" w:rsidRDefault="003B1ADD">
      <w:pPr>
        <w:snapToGrid w:val="0"/>
        <w:spacing w:line="360" w:lineRule="auto"/>
        <w:ind w:firstLineChars="202" w:firstLine="424"/>
        <w:rPr>
          <w:rFonts w:ascii="宋体" w:hAnsi="宋体"/>
          <w:szCs w:val="21"/>
        </w:rPr>
      </w:pPr>
      <w:r>
        <w:rPr>
          <w:rFonts w:ascii="宋体" w:hAnsi="宋体" w:hint="eastAsia"/>
          <w:szCs w:val="21"/>
        </w:rPr>
        <w:t>本基金可投资于资产支持证券，因此可能面临资产支持证券的信用风险、利率风险、流动性风险、提前偿付风险、法律风险和操作风险。</w:t>
      </w:r>
    </w:p>
    <w:p w:rsidR="00000000" w:rsidRDefault="003B1ADD">
      <w:pPr>
        <w:snapToGrid w:val="0"/>
        <w:spacing w:line="360" w:lineRule="auto"/>
        <w:ind w:firstLineChars="202" w:firstLine="424"/>
        <w:rPr>
          <w:rFonts w:ascii="宋体" w:hAnsi="宋体"/>
          <w:szCs w:val="21"/>
        </w:rPr>
      </w:pPr>
      <w:r>
        <w:rPr>
          <w:rFonts w:ascii="宋体" w:hAnsi="宋体" w:hint="eastAsia"/>
          <w:szCs w:val="21"/>
        </w:rPr>
        <w:t>本基金为交易型开放式指数证券投资基金（</w:t>
      </w:r>
      <w:r>
        <w:rPr>
          <w:rFonts w:ascii="宋体" w:hAnsi="宋体" w:hint="eastAsia"/>
          <w:szCs w:val="21"/>
        </w:rPr>
        <w:t>ETF</w:t>
      </w:r>
      <w:r>
        <w:rPr>
          <w:rFonts w:ascii="宋体" w:hAnsi="宋体" w:hint="eastAsia"/>
          <w:szCs w:val="21"/>
        </w:rPr>
        <w:t>），将在深圳证券交易所上市。本基金目前仅采</w:t>
      </w:r>
      <w:r>
        <w:rPr>
          <w:rFonts w:ascii="宋体" w:hAnsi="宋体" w:hint="eastAsia"/>
          <w:szCs w:val="21"/>
        </w:rPr>
        <w:t>取深圳证券交易所跨市场股票</w:t>
      </w:r>
      <w:r>
        <w:rPr>
          <w:rFonts w:ascii="宋体" w:hAnsi="宋体" w:hint="eastAsia"/>
          <w:szCs w:val="21"/>
        </w:rPr>
        <w:t>ETF</w:t>
      </w:r>
      <w:r>
        <w:rPr>
          <w:rFonts w:ascii="宋体" w:hAnsi="宋体" w:hint="eastAsia"/>
          <w:szCs w:val="21"/>
        </w:rPr>
        <w:t>场内申赎模式，即“深市股票实物申赎，非深市股票现金替代”的申赎模式办理，投资者的申购、赎回申请在受理当日确认。投资人当日竞价买入的</w:t>
      </w:r>
      <w:r>
        <w:rPr>
          <w:rFonts w:ascii="宋体" w:hAnsi="宋体" w:hint="eastAsia"/>
          <w:szCs w:val="21"/>
        </w:rPr>
        <w:t>ETF</w:t>
      </w:r>
      <w:r>
        <w:rPr>
          <w:rFonts w:ascii="宋体" w:hAnsi="宋体" w:hint="eastAsia"/>
          <w:szCs w:val="21"/>
        </w:rPr>
        <w:t>份额，当日可以赎回；当日大宗买入的</w:t>
      </w:r>
      <w:r>
        <w:rPr>
          <w:rFonts w:ascii="宋体" w:hAnsi="宋体" w:hint="eastAsia"/>
          <w:szCs w:val="21"/>
        </w:rPr>
        <w:t>ETF</w:t>
      </w:r>
      <w:r>
        <w:rPr>
          <w:rFonts w:ascii="宋体" w:hAnsi="宋体" w:hint="eastAsia"/>
          <w:szCs w:val="21"/>
        </w:rPr>
        <w:t>份额，次一交易日可以赎回；当日申购的</w:t>
      </w:r>
      <w:r>
        <w:rPr>
          <w:rFonts w:ascii="宋体" w:hAnsi="宋体" w:hint="eastAsia"/>
          <w:szCs w:val="21"/>
        </w:rPr>
        <w:t>ETF</w:t>
      </w:r>
      <w:r>
        <w:rPr>
          <w:rFonts w:ascii="宋体" w:hAnsi="宋体" w:hint="eastAsia"/>
          <w:szCs w:val="21"/>
        </w:rPr>
        <w:t>份额，当日可以竞价卖出，次一交易日可以赎回或者大宗卖出；当日赎回</w:t>
      </w:r>
      <w:r>
        <w:rPr>
          <w:rFonts w:ascii="宋体" w:hAnsi="宋体" w:hint="eastAsia"/>
          <w:szCs w:val="21"/>
        </w:rPr>
        <w:t>ETF</w:t>
      </w:r>
      <w:r>
        <w:rPr>
          <w:rFonts w:ascii="宋体" w:hAnsi="宋体" w:hint="eastAsia"/>
          <w:szCs w:val="21"/>
        </w:rPr>
        <w:t>份额得到的股票，当日可以竞价卖出，次一交易日可以用于申购</w:t>
      </w:r>
      <w:r>
        <w:rPr>
          <w:rFonts w:ascii="宋体" w:hAnsi="宋体" w:hint="eastAsia"/>
          <w:szCs w:val="21"/>
        </w:rPr>
        <w:t>ETF</w:t>
      </w:r>
      <w:r>
        <w:rPr>
          <w:rFonts w:ascii="宋体" w:hAnsi="宋体" w:hint="eastAsia"/>
          <w:szCs w:val="21"/>
        </w:rPr>
        <w:t>份额或者大宗卖出；当日竞价买入的股票，当日可以用于申购</w:t>
      </w:r>
      <w:r>
        <w:rPr>
          <w:rFonts w:ascii="宋体" w:hAnsi="宋体" w:hint="eastAsia"/>
          <w:szCs w:val="21"/>
        </w:rPr>
        <w:t>ETF</w:t>
      </w:r>
      <w:r>
        <w:rPr>
          <w:rFonts w:ascii="宋体" w:hAnsi="宋体" w:hint="eastAsia"/>
          <w:szCs w:val="21"/>
        </w:rPr>
        <w:t>份额；当日大宗买入的股票，次一交易日可以用于申购</w:t>
      </w:r>
      <w:r>
        <w:rPr>
          <w:rFonts w:ascii="宋体" w:hAnsi="宋体" w:hint="eastAsia"/>
          <w:szCs w:val="21"/>
        </w:rPr>
        <w:t>ETF</w:t>
      </w:r>
      <w:r>
        <w:rPr>
          <w:rFonts w:ascii="宋体" w:hAnsi="宋体" w:hint="eastAsia"/>
          <w:szCs w:val="21"/>
        </w:rPr>
        <w:t>份额。投资人投资</w:t>
      </w:r>
      <w:r>
        <w:rPr>
          <w:rFonts w:ascii="宋体" w:hAnsi="宋体" w:hint="eastAsia"/>
          <w:szCs w:val="21"/>
        </w:rPr>
        <w:t>本基金时需具有深圳证券交易所</w:t>
      </w:r>
      <w:r>
        <w:rPr>
          <w:rFonts w:ascii="宋体" w:hAnsi="宋体" w:hint="eastAsia"/>
          <w:szCs w:val="21"/>
        </w:rPr>
        <w:t>A</w:t>
      </w:r>
      <w:r>
        <w:rPr>
          <w:rFonts w:ascii="宋体" w:hAnsi="宋体" w:hint="eastAsia"/>
          <w:szCs w:val="21"/>
        </w:rPr>
        <w:t>股账户或基金账户。其中，深圳证券交易所基金账户只能进行基金的现金认购和二级市场交易，如投资人需要使用标的指数成份股中的深圳证券交易所上市股票参与基金的申购、赎回，则应开立深圳证券交易所</w:t>
      </w:r>
      <w:r>
        <w:rPr>
          <w:rFonts w:ascii="宋体" w:hAnsi="宋体" w:hint="eastAsia"/>
          <w:szCs w:val="21"/>
        </w:rPr>
        <w:t>A</w:t>
      </w:r>
      <w:r>
        <w:rPr>
          <w:rFonts w:ascii="宋体" w:hAnsi="宋体" w:hint="eastAsia"/>
          <w:szCs w:val="21"/>
        </w:rPr>
        <w:t>股账户。</w:t>
      </w:r>
    </w:p>
    <w:p w:rsidR="00000000" w:rsidRDefault="003B1ADD">
      <w:pPr>
        <w:snapToGrid w:val="0"/>
        <w:spacing w:line="360" w:lineRule="auto"/>
        <w:ind w:firstLineChars="202" w:firstLine="424"/>
        <w:rPr>
          <w:rFonts w:ascii="宋体" w:hAnsi="宋体"/>
          <w:bCs/>
          <w:szCs w:val="21"/>
        </w:rPr>
      </w:pPr>
      <w:r>
        <w:rPr>
          <w:rFonts w:ascii="宋体" w:hAnsi="宋体" w:hint="eastAsia"/>
          <w:szCs w:val="21"/>
        </w:rPr>
        <w:t>投资人在投资本基金之前，请仔细阅读本基金的招募说明书、基金产品资料概要和基金合同等信息披露文件，自主判断基金的投资价值，自主做出投资决策，全面认识本基金的风险收益特征和产品特性，并充分考虑自身的风险承受能力，理性判断市场，谨慎做出投资决策。基金的过往业绩并不预示其未来表现，基金管理人管</w:t>
      </w:r>
      <w:r>
        <w:rPr>
          <w:rFonts w:ascii="宋体" w:hAnsi="宋体" w:hint="eastAsia"/>
          <w:szCs w:val="21"/>
        </w:rPr>
        <w:t>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作出投资决策后，基金运营状况、基金份额上市交易价格波动与基金净值变化引致的投资风险，由投资人自行负责。</w:t>
      </w:r>
    </w:p>
    <w:p w:rsidR="00000000" w:rsidRDefault="003B1ADD">
      <w:pPr>
        <w:snapToGrid w:val="0"/>
        <w:spacing w:line="360" w:lineRule="auto"/>
        <w:ind w:firstLineChars="202" w:firstLine="424"/>
        <w:rPr>
          <w:rFonts w:ascii="宋体" w:hAnsi="宋体"/>
        </w:rPr>
      </w:pPr>
    </w:p>
    <w:p w:rsidR="00000000" w:rsidRDefault="003B1ADD">
      <w:pPr>
        <w:snapToGrid w:val="0"/>
        <w:spacing w:line="360" w:lineRule="auto"/>
        <w:ind w:firstLineChars="202" w:firstLine="426"/>
        <w:outlineLvl w:val="0"/>
        <w:rPr>
          <w:rFonts w:ascii="宋体" w:hAnsi="宋体"/>
          <w:b/>
        </w:rPr>
      </w:pPr>
      <w:r>
        <w:rPr>
          <w:rFonts w:ascii="宋体" w:hAnsi="宋体" w:hint="eastAsia"/>
          <w:b/>
        </w:rPr>
        <w:t>一、基金募集的基本情况</w:t>
      </w:r>
    </w:p>
    <w:p w:rsidR="00000000" w:rsidRDefault="003B1ADD">
      <w:pPr>
        <w:snapToGrid w:val="0"/>
        <w:spacing w:line="360" w:lineRule="auto"/>
        <w:ind w:firstLineChars="202" w:firstLine="424"/>
        <w:rPr>
          <w:rFonts w:ascii="宋体" w:hAnsi="宋体"/>
        </w:rPr>
      </w:pPr>
      <w:r>
        <w:rPr>
          <w:rFonts w:ascii="宋体" w:hAnsi="宋体"/>
        </w:rPr>
        <w:t>1</w:t>
      </w:r>
      <w:r>
        <w:rPr>
          <w:rFonts w:ascii="宋体" w:hAnsi="宋体" w:hint="eastAsia"/>
        </w:rPr>
        <w:t>、基金名称：南方中证全指家用电器交易型开放式指数证券投资基金</w:t>
      </w:r>
    </w:p>
    <w:p w:rsidR="00000000" w:rsidRDefault="003B1ADD">
      <w:pPr>
        <w:snapToGrid w:val="0"/>
        <w:spacing w:line="360" w:lineRule="auto"/>
        <w:ind w:firstLineChars="202" w:firstLine="424"/>
        <w:rPr>
          <w:rFonts w:ascii="宋体" w:hAnsi="宋体"/>
        </w:rPr>
      </w:pPr>
      <w:r>
        <w:rPr>
          <w:rFonts w:ascii="宋体" w:hAnsi="宋体" w:hint="eastAsia"/>
        </w:rPr>
        <w:t>2</w:t>
      </w:r>
      <w:r>
        <w:rPr>
          <w:rFonts w:ascii="宋体" w:hAnsi="宋体" w:hint="eastAsia"/>
        </w:rPr>
        <w:t>、基金简称：南方中证全指家用电器</w:t>
      </w:r>
      <w:r>
        <w:rPr>
          <w:rFonts w:ascii="宋体" w:hAnsi="宋体" w:hint="eastAsia"/>
        </w:rPr>
        <w:t>E</w:t>
      </w:r>
      <w:r>
        <w:rPr>
          <w:rFonts w:ascii="宋体" w:hAnsi="宋体"/>
        </w:rPr>
        <w:t>TF</w:t>
      </w:r>
    </w:p>
    <w:p w:rsidR="00000000" w:rsidRDefault="003B1ADD">
      <w:pPr>
        <w:snapToGrid w:val="0"/>
        <w:spacing w:line="360" w:lineRule="auto"/>
        <w:ind w:firstLineChars="202" w:firstLine="424"/>
        <w:rPr>
          <w:rFonts w:ascii="宋体" w:hAnsi="宋体"/>
        </w:rPr>
      </w:pPr>
      <w:r>
        <w:rPr>
          <w:rFonts w:ascii="宋体" w:hAnsi="宋体" w:hint="eastAsia"/>
        </w:rPr>
        <w:t>3</w:t>
      </w:r>
      <w:r>
        <w:rPr>
          <w:rFonts w:ascii="宋体" w:hAnsi="宋体" w:hint="eastAsia"/>
        </w:rPr>
        <w:t>、场内</w:t>
      </w:r>
      <w:r>
        <w:rPr>
          <w:rFonts w:ascii="宋体" w:hAnsi="宋体"/>
        </w:rPr>
        <w:t>简称：</w:t>
      </w:r>
      <w:r>
        <w:rPr>
          <w:rFonts w:ascii="宋体" w:hAnsi="宋体" w:hint="eastAsia"/>
        </w:rPr>
        <w:t>家电</w:t>
      </w:r>
      <w:r>
        <w:rPr>
          <w:rFonts w:ascii="宋体" w:hAnsi="宋体" w:hint="eastAsia"/>
        </w:rPr>
        <w:t>ETF</w:t>
      </w:r>
      <w:r>
        <w:rPr>
          <w:rFonts w:ascii="宋体" w:hAnsi="宋体" w:hint="eastAsia"/>
        </w:rPr>
        <w:t>南方</w:t>
      </w:r>
    </w:p>
    <w:p w:rsidR="00000000" w:rsidRDefault="003B1ADD">
      <w:pPr>
        <w:snapToGrid w:val="0"/>
        <w:spacing w:line="360" w:lineRule="auto"/>
        <w:ind w:firstLineChars="202" w:firstLine="424"/>
        <w:rPr>
          <w:rFonts w:ascii="宋体" w:hAnsi="宋体"/>
        </w:rPr>
      </w:pPr>
      <w:r>
        <w:rPr>
          <w:rFonts w:ascii="宋体" w:hAnsi="宋体"/>
        </w:rPr>
        <w:t>4</w:t>
      </w:r>
      <w:r>
        <w:rPr>
          <w:rFonts w:ascii="宋体" w:hAnsi="宋体" w:hint="eastAsia"/>
        </w:rPr>
        <w:t>、基金代码：</w:t>
      </w:r>
      <w:r>
        <w:rPr>
          <w:rFonts w:ascii="宋体" w:hAnsi="宋体"/>
        </w:rPr>
        <w:t>1591</w:t>
      </w:r>
      <w:r>
        <w:rPr>
          <w:rFonts w:ascii="宋体" w:hAnsi="宋体"/>
        </w:rPr>
        <w:t>82</w:t>
      </w:r>
    </w:p>
    <w:p w:rsidR="00000000" w:rsidRDefault="003B1ADD">
      <w:pPr>
        <w:snapToGrid w:val="0"/>
        <w:spacing w:line="360" w:lineRule="auto"/>
        <w:ind w:firstLineChars="202" w:firstLine="424"/>
        <w:rPr>
          <w:rFonts w:ascii="宋体" w:hAnsi="宋体"/>
        </w:rPr>
      </w:pPr>
      <w:r>
        <w:rPr>
          <w:rFonts w:ascii="宋体" w:hAnsi="宋体"/>
        </w:rPr>
        <w:t>5</w:t>
      </w:r>
      <w:r>
        <w:rPr>
          <w:rFonts w:ascii="宋体" w:hAnsi="宋体" w:hint="eastAsia"/>
        </w:rPr>
        <w:t>、基金类别和运作方式</w:t>
      </w:r>
      <w:r>
        <w:rPr>
          <w:rFonts w:ascii="宋体" w:hAnsi="宋体" w:hint="eastAsia"/>
        </w:rPr>
        <w:t>:</w:t>
      </w:r>
      <w:r>
        <w:rPr>
          <w:rFonts w:ascii="宋体" w:hAnsi="宋体" w:hint="eastAsia"/>
        </w:rPr>
        <w:t>本基金类别为股票型证券投资基金，运作方式为交易型开放式。</w:t>
      </w:r>
      <w:r>
        <w:rPr>
          <w:rFonts w:ascii="宋体" w:hAnsi="宋体" w:hint="eastAsia"/>
        </w:rPr>
        <w:t xml:space="preserve"> </w:t>
      </w:r>
    </w:p>
    <w:p w:rsidR="00000000" w:rsidRDefault="003B1ADD">
      <w:pPr>
        <w:snapToGrid w:val="0"/>
        <w:spacing w:line="360" w:lineRule="auto"/>
        <w:ind w:firstLineChars="202" w:firstLine="424"/>
        <w:rPr>
          <w:rFonts w:ascii="宋体" w:hAnsi="宋体"/>
        </w:rPr>
      </w:pPr>
      <w:r>
        <w:rPr>
          <w:rFonts w:ascii="宋体" w:hAnsi="宋体"/>
        </w:rPr>
        <w:t>6</w:t>
      </w:r>
      <w:r>
        <w:rPr>
          <w:rFonts w:ascii="宋体" w:hAnsi="宋体" w:hint="eastAsia"/>
        </w:rPr>
        <w:t>、基金存续期限</w:t>
      </w:r>
      <w:r>
        <w:rPr>
          <w:rFonts w:ascii="宋体" w:hAnsi="宋体" w:hint="eastAsia"/>
        </w:rPr>
        <w:t>:</w:t>
      </w:r>
      <w:r>
        <w:rPr>
          <w:rFonts w:ascii="宋体" w:hAnsi="宋体" w:hint="eastAsia"/>
        </w:rPr>
        <w:t>不定期。</w:t>
      </w:r>
      <w:r>
        <w:rPr>
          <w:rFonts w:ascii="宋体" w:hAnsi="宋体" w:hint="eastAsia"/>
        </w:rPr>
        <w:t xml:space="preserve"> </w:t>
      </w:r>
    </w:p>
    <w:p w:rsidR="00000000" w:rsidRDefault="003B1ADD">
      <w:pPr>
        <w:snapToGrid w:val="0"/>
        <w:spacing w:line="360" w:lineRule="auto"/>
        <w:ind w:firstLineChars="202" w:firstLine="424"/>
        <w:rPr>
          <w:rFonts w:ascii="宋体" w:hAnsi="宋体"/>
        </w:rPr>
      </w:pPr>
      <w:r>
        <w:rPr>
          <w:rFonts w:ascii="宋体" w:hAnsi="宋体"/>
        </w:rPr>
        <w:t>7</w:t>
      </w:r>
      <w:r>
        <w:rPr>
          <w:rFonts w:ascii="宋体" w:hAnsi="宋体" w:hint="eastAsia"/>
        </w:rPr>
        <w:t>、基金份额发售面值</w:t>
      </w:r>
      <w:r>
        <w:rPr>
          <w:rFonts w:ascii="宋体" w:hAnsi="宋体" w:hint="eastAsia"/>
        </w:rPr>
        <w:t>:1.00</w:t>
      </w:r>
      <w:r>
        <w:rPr>
          <w:rFonts w:ascii="宋体" w:hAnsi="宋体" w:hint="eastAsia"/>
        </w:rPr>
        <w:t>元人民币。</w:t>
      </w:r>
      <w:r>
        <w:rPr>
          <w:rFonts w:ascii="宋体" w:hAnsi="宋体" w:hint="eastAsia"/>
        </w:rPr>
        <w:t xml:space="preserve"> </w:t>
      </w:r>
    </w:p>
    <w:p w:rsidR="00000000" w:rsidRDefault="003B1ADD">
      <w:pPr>
        <w:snapToGrid w:val="0"/>
        <w:spacing w:line="360" w:lineRule="auto"/>
        <w:ind w:firstLineChars="202" w:firstLine="424"/>
        <w:rPr>
          <w:rFonts w:ascii="宋体" w:hAnsi="宋体"/>
        </w:rPr>
      </w:pPr>
      <w:r>
        <w:rPr>
          <w:rFonts w:ascii="宋体" w:hAnsi="宋体"/>
        </w:rPr>
        <w:t>8</w:t>
      </w:r>
      <w:r>
        <w:rPr>
          <w:rFonts w:ascii="宋体" w:hAnsi="宋体" w:hint="eastAsia"/>
        </w:rPr>
        <w:t>、发售对象</w:t>
      </w:r>
      <w:r>
        <w:rPr>
          <w:rFonts w:ascii="宋体" w:hAnsi="宋体" w:hint="eastAsia"/>
        </w:rPr>
        <w:t>:</w:t>
      </w:r>
      <w:r>
        <w:rPr>
          <w:rFonts w:ascii="宋体" w:hAnsi="宋体" w:hint="eastAsia"/>
        </w:rPr>
        <w:t>本基金发售对象为符合法律法规规定的可投资于证券投资基金的个人投资者、机构投资者、合格境外投资者以及法律法规或中国证监会允许购买证券投资基金的其他投资人。</w:t>
      </w:r>
    </w:p>
    <w:p w:rsidR="00000000" w:rsidRDefault="003B1ADD">
      <w:pPr>
        <w:snapToGrid w:val="0"/>
        <w:spacing w:line="360" w:lineRule="auto"/>
        <w:ind w:firstLineChars="202" w:firstLine="424"/>
        <w:rPr>
          <w:rFonts w:ascii="宋体" w:hAnsi="宋体"/>
        </w:rPr>
      </w:pPr>
      <w:r>
        <w:rPr>
          <w:rFonts w:ascii="宋体" w:hAnsi="宋体"/>
        </w:rPr>
        <w:t>9</w:t>
      </w:r>
      <w:r>
        <w:rPr>
          <w:rFonts w:ascii="宋体" w:hAnsi="宋体" w:hint="eastAsia"/>
        </w:rPr>
        <w:t>、销售机构</w:t>
      </w:r>
    </w:p>
    <w:p w:rsidR="00000000" w:rsidRDefault="003B1ADD">
      <w:pPr>
        <w:snapToGrid w:val="0"/>
        <w:spacing w:line="360" w:lineRule="auto"/>
        <w:ind w:firstLineChars="202" w:firstLine="424"/>
        <w:rPr>
          <w:rFonts w:ascii="宋体" w:hAnsi="宋体"/>
        </w:rPr>
      </w:pPr>
      <w:r>
        <w:rPr>
          <w:rFonts w:ascii="宋体" w:hAnsi="宋体" w:hint="eastAsia"/>
        </w:rPr>
        <w:t>（</w:t>
      </w:r>
      <w:r>
        <w:rPr>
          <w:rFonts w:ascii="宋体" w:hAnsi="宋体"/>
        </w:rPr>
        <w:t>1</w:t>
      </w:r>
      <w:r>
        <w:rPr>
          <w:rFonts w:ascii="宋体" w:hAnsi="宋体" w:hint="eastAsia"/>
        </w:rPr>
        <w:t>）网下现金销售机构</w:t>
      </w:r>
    </w:p>
    <w:p w:rsidR="00000000" w:rsidRDefault="003B1ADD">
      <w:pPr>
        <w:snapToGrid w:val="0"/>
        <w:spacing w:line="360" w:lineRule="auto"/>
        <w:ind w:firstLineChars="202" w:firstLine="424"/>
        <w:rPr>
          <w:rFonts w:ascii="宋体" w:hAnsi="宋体"/>
        </w:rPr>
      </w:pPr>
      <w:r>
        <w:rPr>
          <w:rFonts w:ascii="宋体" w:hAnsi="宋体" w:hint="eastAsia"/>
        </w:rPr>
        <w:t>直销机构：南方基金管理股份有限公司</w:t>
      </w:r>
    </w:p>
    <w:p w:rsidR="00000000" w:rsidRDefault="003B1ADD">
      <w:pPr>
        <w:snapToGrid w:val="0"/>
        <w:spacing w:line="360" w:lineRule="auto"/>
        <w:ind w:firstLineChars="202" w:firstLine="424"/>
        <w:rPr>
          <w:rFonts w:ascii="宋体" w:hAnsi="宋体"/>
        </w:rPr>
      </w:pPr>
      <w:r>
        <w:rPr>
          <w:rFonts w:ascii="宋体" w:hAnsi="宋体" w:hint="eastAsia"/>
        </w:rPr>
        <w:t>（</w:t>
      </w:r>
      <w:r>
        <w:rPr>
          <w:rFonts w:ascii="宋体" w:hAnsi="宋体"/>
        </w:rPr>
        <w:t>2</w:t>
      </w:r>
      <w:r>
        <w:rPr>
          <w:rFonts w:ascii="宋体" w:hAnsi="宋体" w:hint="eastAsia"/>
        </w:rPr>
        <w:t>）网上现金销售机构：网上现金销售机构包括</w:t>
      </w:r>
      <w:r>
        <w:rPr>
          <w:rFonts w:hint="eastAsia"/>
        </w:rPr>
        <w:t>深圳证券交易所内具有基金销售业务资格并经深圳证券交易所认可的会</w:t>
      </w:r>
      <w:r>
        <w:rPr>
          <w:rFonts w:hint="eastAsia"/>
        </w:rPr>
        <w:t>员单位</w:t>
      </w:r>
      <w:r>
        <w:rPr>
          <w:rFonts w:ascii="宋体" w:hAnsi="宋体" w:hint="eastAsia"/>
        </w:rPr>
        <w:t>。</w:t>
      </w:r>
      <w:bookmarkStart w:id="0" w:name="_Hlk60698841"/>
      <w:r>
        <w:rPr>
          <w:rFonts w:ascii="宋体" w:hAnsi="宋体" w:hint="eastAsia"/>
        </w:rPr>
        <w:t>具体名单见本公告</w:t>
      </w:r>
      <w:r>
        <w:rPr>
          <w:rFonts w:ascii="宋体" w:hAnsi="宋体" w:hint="eastAsia"/>
          <w:bCs/>
          <w:szCs w:val="21"/>
        </w:rPr>
        <w:t>“九、本次发</w:t>
      </w:r>
      <w:r>
        <w:rPr>
          <w:rFonts w:ascii="宋体" w:hAnsi="宋体" w:hint="eastAsia"/>
        </w:rPr>
        <w:t>售当事人或中介机构”中“（三）销售机构”第</w:t>
      </w:r>
      <w:r>
        <w:rPr>
          <w:rFonts w:ascii="宋体" w:hAnsi="宋体"/>
        </w:rPr>
        <w:t>2</w:t>
      </w:r>
      <w:r>
        <w:rPr>
          <w:rFonts w:ascii="宋体" w:hAnsi="宋体" w:hint="eastAsia"/>
        </w:rPr>
        <w:t>部分“网上现金销售机构”。</w:t>
      </w:r>
      <w:bookmarkEnd w:id="0"/>
    </w:p>
    <w:p w:rsidR="00000000" w:rsidRDefault="003B1ADD">
      <w:pPr>
        <w:snapToGrid w:val="0"/>
        <w:spacing w:line="360" w:lineRule="auto"/>
        <w:ind w:firstLineChars="202" w:firstLine="424"/>
        <w:rPr>
          <w:rFonts w:ascii="宋体" w:hAnsi="宋体"/>
          <w:szCs w:val="21"/>
        </w:rPr>
      </w:pPr>
      <w:r>
        <w:rPr>
          <w:rFonts w:ascii="宋体" w:hAnsi="宋体" w:hint="eastAsia"/>
          <w:szCs w:val="21"/>
        </w:rPr>
        <w:t>本基金募集期结束前获得基金代销资格的深交所会员可通过深交所网上系统办理本基金的认购业务。如有新增具有基金销售业务资格及深圳证券交易所会员资格的证券公司以销售机构的公告为准。</w:t>
      </w:r>
    </w:p>
    <w:p w:rsidR="00000000" w:rsidRDefault="003B1ADD">
      <w:pPr>
        <w:snapToGrid w:val="0"/>
        <w:spacing w:line="360" w:lineRule="auto"/>
        <w:ind w:firstLineChars="202" w:firstLine="424"/>
        <w:rPr>
          <w:rFonts w:ascii="宋体" w:hAnsi="宋体"/>
          <w:szCs w:val="21"/>
        </w:rPr>
      </w:pPr>
    </w:p>
    <w:p w:rsidR="00000000" w:rsidRDefault="003B1ADD">
      <w:pPr>
        <w:snapToGrid w:val="0"/>
        <w:spacing w:line="360" w:lineRule="auto"/>
        <w:ind w:firstLineChars="202" w:firstLine="426"/>
        <w:outlineLvl w:val="0"/>
        <w:rPr>
          <w:rFonts w:ascii="宋体" w:hAnsi="宋体"/>
          <w:b/>
        </w:rPr>
      </w:pPr>
      <w:r>
        <w:rPr>
          <w:rFonts w:ascii="宋体" w:hAnsi="宋体" w:hint="eastAsia"/>
          <w:b/>
        </w:rPr>
        <w:t>二、募集规模上限及控制方案</w:t>
      </w:r>
    </w:p>
    <w:p w:rsidR="00000000" w:rsidRDefault="003B1ADD">
      <w:pPr>
        <w:snapToGrid w:val="0"/>
        <w:spacing w:line="360" w:lineRule="auto"/>
        <w:ind w:firstLineChars="202" w:firstLine="424"/>
        <w:rPr>
          <w:rFonts w:ascii="宋体" w:hAnsi="宋体"/>
        </w:rPr>
      </w:pPr>
      <w:r>
        <w:rPr>
          <w:rFonts w:ascii="宋体" w:hAnsi="宋体" w:hint="eastAsia"/>
        </w:rPr>
        <w:t>本基金首次募集规模上限为</w:t>
      </w:r>
      <w:r>
        <w:rPr>
          <w:rFonts w:ascii="宋体" w:hAnsi="宋体"/>
        </w:rPr>
        <w:t>10</w:t>
      </w:r>
      <w:r>
        <w:rPr>
          <w:rFonts w:ascii="宋体" w:hAnsi="宋体" w:hint="eastAsia"/>
        </w:rPr>
        <w:t>亿元人民币（不包括募集期利息和认购费用，下同），采用“末日比例确认”的方式对上述规模限制进行控制。具体处理方式如下：</w:t>
      </w:r>
    </w:p>
    <w:p w:rsidR="00000000" w:rsidRDefault="003B1ADD">
      <w:pPr>
        <w:snapToGrid w:val="0"/>
        <w:spacing w:line="360" w:lineRule="auto"/>
        <w:ind w:firstLineChars="202" w:firstLine="424"/>
        <w:rPr>
          <w:rFonts w:ascii="宋体" w:hAnsi="宋体"/>
        </w:rPr>
      </w:pPr>
      <w:r>
        <w:rPr>
          <w:rFonts w:ascii="宋体" w:hAnsi="宋体" w:hint="eastAsia"/>
        </w:rPr>
        <w:t>1</w:t>
      </w:r>
      <w:r>
        <w:rPr>
          <w:rFonts w:ascii="宋体" w:hAnsi="宋体" w:hint="eastAsia"/>
        </w:rPr>
        <w:t>、在募集期内任何一天（含第一天）当日募集截止时间后，</w:t>
      </w:r>
      <w:r>
        <w:rPr>
          <w:rFonts w:ascii="宋体" w:hAnsi="宋体" w:hint="eastAsia"/>
        </w:rPr>
        <w:t>若累计有效认购申请份额总额接近或达到</w:t>
      </w:r>
      <w:r>
        <w:rPr>
          <w:rFonts w:ascii="宋体" w:hAnsi="宋体"/>
        </w:rPr>
        <w:t>10</w:t>
      </w:r>
      <w:r>
        <w:rPr>
          <w:rFonts w:ascii="宋体" w:hAnsi="宋体" w:hint="eastAsia"/>
        </w:rPr>
        <w:t>亿份（折合为金额</w:t>
      </w:r>
      <w:r>
        <w:rPr>
          <w:rFonts w:ascii="宋体" w:hAnsi="宋体"/>
        </w:rPr>
        <w:t>10</w:t>
      </w:r>
      <w:r>
        <w:rPr>
          <w:rFonts w:ascii="宋体" w:hAnsi="宋体" w:hint="eastAsia"/>
        </w:rPr>
        <w:t>亿元人民币），本基金提前结束募集。</w:t>
      </w:r>
    </w:p>
    <w:p w:rsidR="00000000" w:rsidRDefault="003B1ADD">
      <w:pPr>
        <w:snapToGrid w:val="0"/>
        <w:spacing w:line="360" w:lineRule="auto"/>
        <w:ind w:firstLineChars="202" w:firstLine="424"/>
        <w:rPr>
          <w:rFonts w:ascii="宋体" w:hAnsi="宋体"/>
        </w:rPr>
      </w:pPr>
      <w:r>
        <w:rPr>
          <w:rFonts w:ascii="宋体" w:hAnsi="宋体" w:hint="eastAsia"/>
        </w:rPr>
        <w:t>2</w:t>
      </w:r>
      <w:r>
        <w:rPr>
          <w:rFonts w:ascii="宋体" w:hAnsi="宋体" w:hint="eastAsia"/>
        </w:rPr>
        <w:t>、在募集期内任何一天（含第一天）当日募集截止时间后，若累计有效认购申请份额总额超过</w:t>
      </w:r>
      <w:r>
        <w:rPr>
          <w:rFonts w:ascii="宋体" w:hAnsi="宋体"/>
        </w:rPr>
        <w:t>10</w:t>
      </w:r>
      <w:r>
        <w:rPr>
          <w:rFonts w:ascii="宋体" w:hAnsi="宋体" w:hint="eastAsia"/>
        </w:rPr>
        <w:t>亿份（折合为金额</w:t>
      </w:r>
      <w:r>
        <w:rPr>
          <w:rFonts w:ascii="宋体" w:hAnsi="宋体"/>
        </w:rPr>
        <w:t>10</w:t>
      </w:r>
      <w:r>
        <w:rPr>
          <w:rFonts w:ascii="宋体" w:hAnsi="宋体" w:hint="eastAsia"/>
        </w:rPr>
        <w:t>亿元人民币），基金管理人将采取末日比例确认的方式实现规模的有效控制。当发生末日比例确认时，基金管理人将及时公告比例确认情况与结果。未确认部分的认购款项将在募集期结束后退还给投资者。</w:t>
      </w:r>
    </w:p>
    <w:p w:rsidR="00000000" w:rsidRDefault="003B1ADD">
      <w:pPr>
        <w:snapToGrid w:val="0"/>
        <w:spacing w:line="360" w:lineRule="auto"/>
        <w:ind w:firstLineChars="202" w:firstLine="424"/>
        <w:rPr>
          <w:rFonts w:ascii="宋体" w:hAnsi="宋体"/>
        </w:rPr>
      </w:pPr>
      <w:r>
        <w:rPr>
          <w:rFonts w:ascii="宋体" w:hAnsi="宋体" w:hint="eastAsia"/>
        </w:rPr>
        <w:t>末日认购申请确认比例的计算方法如下：</w:t>
      </w:r>
    </w:p>
    <w:p w:rsidR="00000000" w:rsidRDefault="003B1ADD">
      <w:pPr>
        <w:snapToGrid w:val="0"/>
        <w:spacing w:line="360" w:lineRule="auto"/>
        <w:ind w:firstLineChars="202" w:firstLine="424"/>
        <w:rPr>
          <w:rFonts w:ascii="宋体" w:hAnsi="宋体"/>
        </w:rPr>
      </w:pPr>
      <w:r>
        <w:rPr>
          <w:rFonts w:ascii="宋体" w:hAnsi="宋体" w:hint="eastAsia"/>
        </w:rPr>
        <w:t>末日认购申请确认比例＝（</w:t>
      </w:r>
      <w:r>
        <w:rPr>
          <w:rFonts w:ascii="宋体" w:hAnsi="宋体"/>
        </w:rPr>
        <w:t>10</w:t>
      </w:r>
      <w:r>
        <w:rPr>
          <w:rFonts w:ascii="宋体" w:hAnsi="宋体" w:hint="eastAsia"/>
        </w:rPr>
        <w:t>亿份－末日之前有效认购申请份额总额）</w:t>
      </w:r>
      <w:r>
        <w:rPr>
          <w:rFonts w:ascii="宋体" w:hAnsi="宋体" w:hint="eastAsia"/>
        </w:rPr>
        <w:t>/</w:t>
      </w:r>
      <w:r>
        <w:rPr>
          <w:rFonts w:ascii="宋体" w:hAnsi="宋体" w:hint="eastAsia"/>
        </w:rPr>
        <w:t>末日有效认购申请份额总</w:t>
      </w:r>
      <w:r>
        <w:rPr>
          <w:rFonts w:ascii="宋体" w:hAnsi="宋体" w:hint="eastAsia"/>
        </w:rPr>
        <w:t>额</w:t>
      </w:r>
    </w:p>
    <w:p w:rsidR="00000000" w:rsidRDefault="003B1ADD">
      <w:pPr>
        <w:snapToGrid w:val="0"/>
        <w:spacing w:line="360" w:lineRule="auto"/>
        <w:ind w:firstLineChars="202" w:firstLine="424"/>
        <w:rPr>
          <w:rFonts w:ascii="宋体" w:hAnsi="宋体"/>
        </w:rPr>
      </w:pPr>
      <w:r>
        <w:rPr>
          <w:rFonts w:ascii="宋体" w:hAnsi="宋体" w:hint="eastAsia"/>
        </w:rPr>
        <w:t>末日投资者认购申请确认份额</w:t>
      </w:r>
      <w:r>
        <w:rPr>
          <w:rFonts w:ascii="宋体" w:hAnsi="宋体" w:hint="eastAsia"/>
        </w:rPr>
        <w:t>=</w:t>
      </w:r>
      <w:r>
        <w:rPr>
          <w:rFonts w:ascii="宋体" w:hAnsi="宋体" w:hint="eastAsia"/>
        </w:rPr>
        <w:t>末日提交的有效认购申请份额×末日认购申请确认比例</w:t>
      </w:r>
    </w:p>
    <w:p w:rsidR="00000000" w:rsidRDefault="003B1ADD">
      <w:pPr>
        <w:snapToGrid w:val="0"/>
        <w:spacing w:line="360" w:lineRule="auto"/>
        <w:ind w:firstLineChars="202" w:firstLine="424"/>
        <w:rPr>
          <w:rFonts w:ascii="宋体" w:hAnsi="宋体"/>
        </w:rPr>
      </w:pPr>
      <w:r>
        <w:rPr>
          <w:rFonts w:ascii="宋体" w:hAnsi="宋体" w:hint="eastAsia"/>
        </w:rPr>
        <w:t>其中，“末日之前有效认购申请份额总额”和“末日有效认购申请份额总额”都不包括募集期利息和认购费用。</w:t>
      </w:r>
    </w:p>
    <w:p w:rsidR="00000000" w:rsidRDefault="003B1ADD">
      <w:pPr>
        <w:snapToGrid w:val="0"/>
        <w:spacing w:line="360" w:lineRule="auto"/>
        <w:ind w:firstLineChars="202" w:firstLine="424"/>
        <w:rPr>
          <w:rFonts w:ascii="宋体" w:hAnsi="宋体"/>
        </w:rPr>
      </w:pPr>
      <w:r>
        <w:rPr>
          <w:rFonts w:ascii="宋体" w:hAnsi="宋体" w:hint="eastAsia"/>
        </w:rPr>
        <w:t>当发生部分确认时，本基金登记结算机构按照末日认购申请确认比例对末日每笔有效认购申请份额进行部分确认处理，因对每笔认购明细处理的精度等原因，最终确认的本基金累计有效认购份额（不包括募集期利息和认购费用）可能会略微高于或低于</w:t>
      </w:r>
      <w:r>
        <w:rPr>
          <w:rFonts w:ascii="宋体" w:hAnsi="宋体"/>
        </w:rPr>
        <w:t>10</w:t>
      </w:r>
      <w:r>
        <w:rPr>
          <w:rFonts w:ascii="宋体" w:hAnsi="宋体" w:hint="eastAsia"/>
        </w:rPr>
        <w:t>亿份。末日认购申请确认份额不受认购最低限额的限制。最终认购申请确认结果以本基金登记结算机构的计算并确认的结</w:t>
      </w:r>
      <w:r>
        <w:rPr>
          <w:rFonts w:ascii="宋体" w:hAnsi="宋体" w:hint="eastAsia"/>
        </w:rPr>
        <w:t>果为准。</w:t>
      </w:r>
    </w:p>
    <w:p w:rsidR="00000000" w:rsidRDefault="003B1ADD">
      <w:pPr>
        <w:snapToGrid w:val="0"/>
        <w:spacing w:line="360" w:lineRule="auto"/>
        <w:rPr>
          <w:rFonts w:ascii="宋体" w:hAnsi="宋体"/>
          <w:szCs w:val="21"/>
        </w:rPr>
      </w:pPr>
    </w:p>
    <w:p w:rsidR="00000000" w:rsidRDefault="003B1ADD">
      <w:pPr>
        <w:snapToGrid w:val="0"/>
        <w:spacing w:line="360" w:lineRule="auto"/>
        <w:ind w:firstLineChars="202" w:firstLine="426"/>
        <w:outlineLvl w:val="0"/>
        <w:rPr>
          <w:rFonts w:ascii="宋体" w:hAnsi="宋体"/>
          <w:b/>
        </w:rPr>
      </w:pPr>
      <w:r>
        <w:rPr>
          <w:rFonts w:ascii="宋体" w:hAnsi="宋体" w:hint="eastAsia"/>
          <w:b/>
        </w:rPr>
        <w:t>三、发售方式及相关规定</w:t>
      </w:r>
    </w:p>
    <w:p w:rsidR="00000000" w:rsidRDefault="003B1ADD">
      <w:pPr>
        <w:snapToGrid w:val="0"/>
        <w:spacing w:line="360" w:lineRule="auto"/>
        <w:ind w:firstLineChars="202" w:firstLine="424"/>
        <w:rPr>
          <w:rFonts w:ascii="宋体" w:hAnsi="宋体"/>
        </w:rPr>
      </w:pPr>
      <w:r>
        <w:rPr>
          <w:rFonts w:ascii="宋体" w:hAnsi="宋体" w:hint="eastAsia"/>
        </w:rPr>
        <w:t>1</w:t>
      </w:r>
      <w:r>
        <w:rPr>
          <w:rFonts w:ascii="宋体" w:hAnsi="宋体" w:hint="eastAsia"/>
        </w:rPr>
        <w:t>、投资人</w:t>
      </w:r>
      <w:r>
        <w:rPr>
          <w:rFonts w:ascii="宋体" w:hAnsi="宋体" w:hint="eastAsia"/>
          <w:bCs/>
          <w:szCs w:val="21"/>
        </w:rPr>
        <w:t>可选择网上现金认购和网下现金认购</w:t>
      </w:r>
      <w:r>
        <w:rPr>
          <w:rFonts w:ascii="宋体" w:hAnsi="宋体" w:hint="eastAsia"/>
          <w:bCs/>
          <w:szCs w:val="21"/>
        </w:rPr>
        <w:t>2</w:t>
      </w:r>
      <w:r>
        <w:rPr>
          <w:rFonts w:ascii="宋体" w:hAnsi="宋体" w:hint="eastAsia"/>
          <w:bCs/>
          <w:szCs w:val="21"/>
        </w:rPr>
        <w:t>种方式</w:t>
      </w:r>
      <w:r>
        <w:rPr>
          <w:rFonts w:ascii="宋体" w:hAnsi="宋体" w:hint="eastAsia"/>
        </w:rPr>
        <w:t>。</w:t>
      </w:r>
      <w:r>
        <w:rPr>
          <w:rFonts w:ascii="宋体" w:hAnsi="宋体"/>
        </w:rPr>
        <w:t xml:space="preserve"> </w:t>
      </w:r>
    </w:p>
    <w:p w:rsidR="00000000" w:rsidRDefault="003B1ADD">
      <w:pPr>
        <w:snapToGrid w:val="0"/>
        <w:spacing w:line="360" w:lineRule="auto"/>
        <w:ind w:firstLineChars="202" w:firstLine="424"/>
        <w:rPr>
          <w:rFonts w:ascii="宋体" w:hAnsi="宋体"/>
          <w:bCs/>
          <w:szCs w:val="21"/>
        </w:rPr>
      </w:pPr>
      <w:r>
        <w:rPr>
          <w:rFonts w:ascii="宋体" w:hAnsi="宋体" w:hint="eastAsia"/>
          <w:bCs/>
          <w:szCs w:val="21"/>
        </w:rPr>
        <w:t>网上现金认购是指投资人通过基金管理人指定的发售代理机构用深圳证券交易所网上系统以现金进行的认购；网下现金认购是指投资人通过基金管理人及其指定的发售代理机构以现金进行的认购。</w:t>
      </w:r>
    </w:p>
    <w:p w:rsidR="00000000" w:rsidRDefault="003B1ADD">
      <w:pPr>
        <w:snapToGrid w:val="0"/>
        <w:spacing w:line="360" w:lineRule="auto"/>
        <w:ind w:firstLineChars="202" w:firstLine="424"/>
        <w:rPr>
          <w:rFonts w:ascii="宋体" w:hAnsi="宋体"/>
        </w:rPr>
      </w:pPr>
      <w:r>
        <w:rPr>
          <w:rFonts w:ascii="宋体" w:hAnsi="宋体" w:hint="eastAsia"/>
        </w:rPr>
        <w:t>2</w:t>
      </w:r>
      <w:r>
        <w:rPr>
          <w:rFonts w:ascii="宋体" w:hAnsi="宋体" w:hint="eastAsia"/>
        </w:rPr>
        <w:t>、基金募集期内，本基金面向符合法律法规规定的可投资于证券投资基金的个人投资者、机构投资者、合格境外投资者以及法律法规或中国证监会允许购买证券投资基金的其他投资人同时发售。</w:t>
      </w:r>
      <w:r>
        <w:rPr>
          <w:rFonts w:ascii="宋体" w:hAnsi="宋体"/>
        </w:rPr>
        <w:t xml:space="preserve"> </w:t>
      </w:r>
    </w:p>
    <w:p w:rsidR="00000000" w:rsidRDefault="003B1ADD">
      <w:pPr>
        <w:snapToGrid w:val="0"/>
        <w:spacing w:line="360" w:lineRule="auto"/>
        <w:ind w:firstLineChars="202" w:firstLine="424"/>
        <w:rPr>
          <w:rFonts w:ascii="宋体" w:hAnsi="宋体"/>
        </w:rPr>
      </w:pPr>
      <w:bookmarkStart w:id="1" w:name="_Hlk143090375"/>
      <w:r>
        <w:rPr>
          <w:rFonts w:ascii="宋体" w:hAnsi="宋体" w:hint="eastAsia"/>
        </w:rPr>
        <w:t>3</w:t>
      </w:r>
      <w:r>
        <w:rPr>
          <w:rFonts w:ascii="宋体" w:hAnsi="宋体" w:hint="eastAsia"/>
        </w:rPr>
        <w:t>、基金费率</w:t>
      </w:r>
      <w:r>
        <w:rPr>
          <w:rFonts w:ascii="宋体" w:hAnsi="宋体"/>
        </w:rPr>
        <w:t xml:space="preserve"> </w:t>
      </w:r>
    </w:p>
    <w:p w:rsidR="00000000" w:rsidRDefault="003B1ADD">
      <w:pPr>
        <w:autoSpaceDE w:val="0"/>
        <w:autoSpaceDN w:val="0"/>
        <w:adjustRightInd w:val="0"/>
        <w:snapToGrid w:val="0"/>
        <w:spacing w:line="360" w:lineRule="auto"/>
        <w:ind w:firstLine="420"/>
        <w:rPr>
          <w:rFonts w:ascii="宋体"/>
          <w:szCs w:val="21"/>
        </w:rPr>
      </w:pPr>
      <w:r>
        <w:rPr>
          <w:rFonts w:ascii="宋体" w:hAnsi="宋体" w:hint="eastAsia"/>
          <w:szCs w:val="21"/>
        </w:rPr>
        <w:t>认购费用由投资人承担，不高于</w:t>
      </w:r>
      <w:r>
        <w:rPr>
          <w:rFonts w:ascii="宋体" w:hAnsi="宋体"/>
          <w:szCs w:val="21"/>
        </w:rPr>
        <w:t>0.3%</w:t>
      </w:r>
      <w:r>
        <w:rPr>
          <w:rFonts w:ascii="宋体" w:hAnsi="宋体" w:hint="eastAsia"/>
          <w:szCs w:val="21"/>
        </w:rPr>
        <w:t>，认购费率如下表所</w:t>
      </w:r>
      <w:r>
        <w:rPr>
          <w:rFonts w:ascii="宋体" w:hAnsi="宋体" w:hint="eastAsia"/>
          <w:szCs w:val="21"/>
        </w:rPr>
        <w:t>示：</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2835"/>
      </w:tblGrid>
      <w:tr w:rsidR="00000000">
        <w:trPr>
          <w:jc w:val="center"/>
        </w:trPr>
        <w:tc>
          <w:tcPr>
            <w:tcW w:w="2835" w:type="dxa"/>
          </w:tcPr>
          <w:p w:rsidR="00000000" w:rsidRDefault="003B1ADD">
            <w:pPr>
              <w:autoSpaceDE w:val="0"/>
              <w:autoSpaceDN w:val="0"/>
              <w:adjustRightInd w:val="0"/>
              <w:snapToGrid w:val="0"/>
              <w:spacing w:line="360" w:lineRule="auto"/>
              <w:jc w:val="center"/>
              <w:rPr>
                <w:rFonts w:ascii="宋体" w:hAnsi="宋体"/>
                <w:szCs w:val="21"/>
              </w:rPr>
            </w:pPr>
            <w:r>
              <w:rPr>
                <w:rFonts w:ascii="宋体" w:hAnsi="宋体" w:hint="eastAsia"/>
                <w:szCs w:val="21"/>
              </w:rPr>
              <w:t>认购份额（</w:t>
            </w:r>
            <w:r>
              <w:rPr>
                <w:rFonts w:ascii="宋体" w:hAnsi="宋体"/>
                <w:szCs w:val="21"/>
              </w:rPr>
              <w:t>S</w:t>
            </w:r>
            <w:r>
              <w:rPr>
                <w:rFonts w:ascii="宋体" w:hAnsi="宋体" w:hint="eastAsia"/>
                <w:szCs w:val="21"/>
              </w:rPr>
              <w:t>）</w:t>
            </w:r>
          </w:p>
        </w:tc>
        <w:tc>
          <w:tcPr>
            <w:tcW w:w="2835" w:type="dxa"/>
          </w:tcPr>
          <w:p w:rsidR="00000000" w:rsidRDefault="003B1ADD">
            <w:pPr>
              <w:autoSpaceDE w:val="0"/>
              <w:autoSpaceDN w:val="0"/>
              <w:adjustRightInd w:val="0"/>
              <w:snapToGrid w:val="0"/>
              <w:spacing w:line="360" w:lineRule="auto"/>
              <w:jc w:val="center"/>
              <w:rPr>
                <w:rFonts w:ascii="宋体" w:hAnsi="宋体"/>
                <w:szCs w:val="21"/>
              </w:rPr>
            </w:pPr>
            <w:r>
              <w:rPr>
                <w:rFonts w:ascii="宋体" w:hAnsi="宋体" w:hint="eastAsia"/>
                <w:szCs w:val="21"/>
              </w:rPr>
              <w:t>认购费率</w:t>
            </w:r>
          </w:p>
        </w:tc>
      </w:tr>
      <w:tr w:rsidR="00000000">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rsidR="00000000" w:rsidRDefault="003B1ADD">
            <w:pPr>
              <w:autoSpaceDE w:val="0"/>
              <w:autoSpaceDN w:val="0"/>
              <w:adjustRightInd w:val="0"/>
              <w:snapToGrid w:val="0"/>
              <w:spacing w:line="360" w:lineRule="auto"/>
              <w:jc w:val="center"/>
              <w:rPr>
                <w:rFonts w:ascii="宋体" w:hAnsi="宋体"/>
                <w:szCs w:val="21"/>
              </w:rPr>
            </w:pPr>
            <w:r>
              <w:rPr>
                <w:rFonts w:ascii="宋体" w:hAnsi="宋体"/>
                <w:szCs w:val="21"/>
              </w:rPr>
              <w:t>S</w:t>
            </w:r>
            <w:r>
              <w:rPr>
                <w:rFonts w:ascii="宋体" w:hAnsi="宋体" w:hint="eastAsia"/>
                <w:szCs w:val="21"/>
              </w:rPr>
              <w:t>＜</w:t>
            </w:r>
            <w:r>
              <w:rPr>
                <w:rFonts w:ascii="宋体" w:hAnsi="宋体"/>
                <w:szCs w:val="21"/>
              </w:rPr>
              <w:t>100</w:t>
            </w:r>
            <w:r>
              <w:rPr>
                <w:rFonts w:ascii="宋体" w:hAnsi="宋体" w:hint="eastAsia"/>
                <w:szCs w:val="21"/>
              </w:rPr>
              <w:t>万份</w:t>
            </w:r>
          </w:p>
        </w:tc>
        <w:tc>
          <w:tcPr>
            <w:tcW w:w="2835" w:type="dxa"/>
            <w:tcBorders>
              <w:top w:val="single" w:sz="4" w:space="0" w:color="auto"/>
              <w:left w:val="single" w:sz="4" w:space="0" w:color="auto"/>
              <w:bottom w:val="single" w:sz="4" w:space="0" w:color="auto"/>
            </w:tcBorders>
            <w:vAlign w:val="center"/>
          </w:tcPr>
          <w:p w:rsidR="00000000" w:rsidRDefault="003B1ADD">
            <w:pPr>
              <w:autoSpaceDE w:val="0"/>
              <w:autoSpaceDN w:val="0"/>
              <w:adjustRightInd w:val="0"/>
              <w:snapToGrid w:val="0"/>
              <w:spacing w:line="360" w:lineRule="auto"/>
              <w:jc w:val="center"/>
              <w:rPr>
                <w:rFonts w:ascii="宋体" w:hAnsi="宋体"/>
                <w:szCs w:val="21"/>
              </w:rPr>
            </w:pPr>
            <w:r>
              <w:rPr>
                <w:rFonts w:ascii="宋体" w:hAnsi="宋体" w:hint="eastAsia"/>
                <w:szCs w:val="21"/>
              </w:rPr>
              <w:t>0.</w:t>
            </w:r>
            <w:r>
              <w:rPr>
                <w:rFonts w:ascii="宋体" w:hAnsi="宋体"/>
                <w:szCs w:val="21"/>
              </w:rPr>
              <w:t>3%</w:t>
            </w:r>
          </w:p>
        </w:tc>
      </w:tr>
      <w:tr w:rsidR="00000000">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rsidR="00000000" w:rsidRDefault="003B1ADD">
            <w:pPr>
              <w:autoSpaceDE w:val="0"/>
              <w:autoSpaceDN w:val="0"/>
              <w:adjustRightInd w:val="0"/>
              <w:snapToGrid w:val="0"/>
              <w:spacing w:line="360" w:lineRule="auto"/>
              <w:jc w:val="center"/>
              <w:rPr>
                <w:rFonts w:ascii="宋体" w:hAnsi="宋体"/>
                <w:szCs w:val="21"/>
              </w:rPr>
            </w:pPr>
            <w:r>
              <w:rPr>
                <w:rFonts w:ascii="宋体" w:hAnsi="宋体"/>
                <w:szCs w:val="21"/>
              </w:rPr>
              <w:t>S</w:t>
            </w:r>
            <w:r>
              <w:rPr>
                <w:rFonts w:ascii="宋体" w:hAnsi="宋体" w:hint="eastAsia"/>
                <w:szCs w:val="21"/>
              </w:rPr>
              <w:t>≥</w:t>
            </w:r>
            <w:r>
              <w:rPr>
                <w:rFonts w:ascii="宋体" w:hAnsi="宋体"/>
                <w:szCs w:val="21"/>
              </w:rPr>
              <w:t>100</w:t>
            </w:r>
            <w:r>
              <w:rPr>
                <w:rFonts w:ascii="宋体" w:hAnsi="宋体" w:hint="eastAsia"/>
                <w:szCs w:val="21"/>
              </w:rPr>
              <w:t>万份</w:t>
            </w:r>
          </w:p>
        </w:tc>
        <w:tc>
          <w:tcPr>
            <w:tcW w:w="2835" w:type="dxa"/>
            <w:tcBorders>
              <w:top w:val="single" w:sz="4" w:space="0" w:color="auto"/>
              <w:left w:val="single" w:sz="4" w:space="0" w:color="auto"/>
              <w:bottom w:val="single" w:sz="4" w:space="0" w:color="auto"/>
            </w:tcBorders>
            <w:vAlign w:val="center"/>
          </w:tcPr>
          <w:p w:rsidR="00000000" w:rsidRDefault="003B1ADD">
            <w:pPr>
              <w:autoSpaceDE w:val="0"/>
              <w:autoSpaceDN w:val="0"/>
              <w:adjustRightInd w:val="0"/>
              <w:snapToGrid w:val="0"/>
              <w:spacing w:line="360" w:lineRule="auto"/>
              <w:jc w:val="center"/>
              <w:rPr>
                <w:rFonts w:ascii="宋体" w:hAnsi="宋体"/>
                <w:szCs w:val="21"/>
              </w:rPr>
            </w:pPr>
            <w:r>
              <w:rPr>
                <w:rFonts w:ascii="宋体" w:hAnsi="宋体" w:hint="eastAsia"/>
                <w:szCs w:val="21"/>
              </w:rPr>
              <w:t>每笔</w:t>
            </w:r>
            <w:r>
              <w:rPr>
                <w:rFonts w:ascii="宋体" w:hAnsi="宋体"/>
                <w:szCs w:val="21"/>
              </w:rPr>
              <w:t>500</w:t>
            </w:r>
            <w:r>
              <w:rPr>
                <w:rFonts w:ascii="宋体" w:hAnsi="宋体" w:hint="eastAsia"/>
                <w:szCs w:val="21"/>
              </w:rPr>
              <w:t>元</w:t>
            </w:r>
          </w:p>
        </w:tc>
      </w:tr>
    </w:tbl>
    <w:p w:rsidR="00000000" w:rsidRDefault="003B1ADD">
      <w:pPr>
        <w:snapToGrid w:val="0"/>
        <w:spacing w:line="360" w:lineRule="auto"/>
        <w:ind w:firstLineChars="202" w:firstLine="424"/>
        <w:rPr>
          <w:rFonts w:ascii="宋体" w:hAnsi="宋体"/>
          <w:szCs w:val="21"/>
        </w:rPr>
      </w:pPr>
      <w:r>
        <w:rPr>
          <w:rFonts w:ascii="宋体" w:hAnsi="宋体" w:hint="eastAsia"/>
          <w:szCs w:val="21"/>
        </w:rPr>
        <w:t>基金管理人办理网下现金认购不收取认购费。发售代理机构办理网上现金认购、网下现金认购时可参照上述费率结构，按照不高于</w:t>
      </w:r>
      <w:r>
        <w:rPr>
          <w:rFonts w:ascii="宋体" w:hAnsi="宋体" w:hint="eastAsia"/>
          <w:szCs w:val="21"/>
        </w:rPr>
        <w:t>0.3%</w:t>
      </w:r>
      <w:r>
        <w:rPr>
          <w:rFonts w:ascii="宋体" w:hAnsi="宋体" w:hint="eastAsia"/>
          <w:szCs w:val="21"/>
        </w:rPr>
        <w:t>的标准收取一定的佣金。投资人申请重复现金认购的，须按每次认购所对应的费率档次分别计费。</w:t>
      </w:r>
      <w:bookmarkEnd w:id="1"/>
    </w:p>
    <w:p w:rsidR="00000000" w:rsidRDefault="003B1ADD">
      <w:pPr>
        <w:snapToGrid w:val="0"/>
        <w:spacing w:line="360" w:lineRule="auto"/>
        <w:ind w:firstLineChars="202" w:firstLine="424"/>
        <w:rPr>
          <w:rFonts w:ascii="宋体" w:hAnsi="宋体"/>
        </w:rPr>
      </w:pPr>
      <w:r>
        <w:rPr>
          <w:rFonts w:ascii="宋体" w:hAnsi="宋体" w:hint="eastAsia"/>
        </w:rPr>
        <w:t>4</w:t>
      </w:r>
      <w:r>
        <w:rPr>
          <w:rFonts w:ascii="宋体" w:hAnsi="宋体" w:hint="eastAsia"/>
        </w:rPr>
        <w:t>、认购份额的计算</w:t>
      </w:r>
      <w:r>
        <w:rPr>
          <w:rFonts w:ascii="宋体" w:hAnsi="宋体"/>
        </w:rPr>
        <w:t xml:space="preserve"> </w:t>
      </w:r>
    </w:p>
    <w:p w:rsidR="00000000" w:rsidRDefault="003B1ADD">
      <w:pPr>
        <w:snapToGrid w:val="0"/>
        <w:spacing w:line="360" w:lineRule="auto"/>
        <w:ind w:firstLineChars="202" w:firstLine="424"/>
        <w:rPr>
          <w:rFonts w:ascii="宋体" w:hAnsi="宋体"/>
        </w:rPr>
      </w:pPr>
      <w:r>
        <w:rPr>
          <w:rFonts w:ascii="宋体" w:hAnsi="宋体" w:hint="eastAsia"/>
        </w:rPr>
        <w:t>（</w:t>
      </w:r>
      <w:r>
        <w:rPr>
          <w:rFonts w:ascii="宋体" w:hAnsi="宋体" w:hint="eastAsia"/>
        </w:rPr>
        <w:t>1</w:t>
      </w:r>
      <w:r>
        <w:rPr>
          <w:rFonts w:ascii="宋体" w:hAnsi="宋体" w:hint="eastAsia"/>
        </w:rPr>
        <w:t>）通过发售代理机构进行网上现金认购的投资人，认购以基金份额申请，认购佣金、认购金额的计算公式为：</w:t>
      </w:r>
    </w:p>
    <w:p w:rsidR="00000000" w:rsidRDefault="003B1ADD">
      <w:pPr>
        <w:snapToGrid w:val="0"/>
        <w:spacing w:line="360" w:lineRule="auto"/>
        <w:ind w:firstLineChars="202" w:firstLine="424"/>
        <w:rPr>
          <w:rFonts w:ascii="宋体" w:hAnsi="宋体"/>
        </w:rPr>
      </w:pPr>
      <w:r>
        <w:rPr>
          <w:rFonts w:ascii="宋体" w:hAnsi="宋体" w:hint="eastAsia"/>
        </w:rPr>
        <w:t>认购佣金＝认购价格×认购份额×佣金比率</w:t>
      </w:r>
    </w:p>
    <w:p w:rsidR="00000000" w:rsidRDefault="003B1ADD">
      <w:pPr>
        <w:snapToGrid w:val="0"/>
        <w:spacing w:line="360" w:lineRule="auto"/>
        <w:ind w:firstLineChars="202" w:firstLine="424"/>
        <w:rPr>
          <w:rFonts w:ascii="宋体" w:hAnsi="宋体"/>
        </w:rPr>
      </w:pPr>
      <w:r>
        <w:rPr>
          <w:rFonts w:ascii="宋体" w:hAnsi="宋体" w:hint="eastAsia"/>
        </w:rPr>
        <w:t>（若适用固定费用的，认购佣金</w:t>
      </w:r>
      <w:r>
        <w:rPr>
          <w:rFonts w:ascii="宋体" w:hAnsi="宋体" w:hint="eastAsia"/>
        </w:rPr>
        <w:t>=</w:t>
      </w:r>
      <w:r>
        <w:rPr>
          <w:rFonts w:ascii="宋体" w:hAnsi="宋体" w:hint="eastAsia"/>
        </w:rPr>
        <w:t>固定费用）</w:t>
      </w:r>
    </w:p>
    <w:p w:rsidR="00000000" w:rsidRDefault="003B1ADD">
      <w:pPr>
        <w:snapToGrid w:val="0"/>
        <w:spacing w:line="360" w:lineRule="auto"/>
        <w:ind w:firstLineChars="202" w:firstLine="424"/>
        <w:rPr>
          <w:rFonts w:ascii="宋体" w:hAnsi="宋体"/>
        </w:rPr>
      </w:pPr>
      <w:r>
        <w:rPr>
          <w:rFonts w:ascii="宋体" w:hAnsi="宋体" w:hint="eastAsia"/>
        </w:rPr>
        <w:t>认</w:t>
      </w:r>
      <w:r>
        <w:rPr>
          <w:rFonts w:ascii="宋体" w:hAnsi="宋体" w:hint="eastAsia"/>
        </w:rPr>
        <w:t>购金额＝认购价格×认购份额×（</w:t>
      </w:r>
      <w:r>
        <w:rPr>
          <w:rFonts w:ascii="宋体" w:hAnsi="宋体" w:hint="eastAsia"/>
        </w:rPr>
        <w:t>1</w:t>
      </w:r>
      <w:r>
        <w:rPr>
          <w:rFonts w:ascii="宋体" w:hAnsi="宋体" w:hint="eastAsia"/>
        </w:rPr>
        <w:t>＋佣金比率）</w:t>
      </w:r>
    </w:p>
    <w:p w:rsidR="00000000" w:rsidRDefault="003B1ADD">
      <w:pPr>
        <w:snapToGrid w:val="0"/>
        <w:spacing w:line="360" w:lineRule="auto"/>
        <w:ind w:firstLineChars="202" w:firstLine="424"/>
        <w:rPr>
          <w:rFonts w:ascii="宋体" w:hAnsi="宋体"/>
        </w:rPr>
      </w:pPr>
      <w:r>
        <w:rPr>
          <w:rFonts w:ascii="宋体" w:hAnsi="宋体" w:hint="eastAsia"/>
        </w:rPr>
        <w:t>（若适用固定费用的，认购金额＝认购价格×认购份额</w:t>
      </w:r>
      <w:r>
        <w:rPr>
          <w:rFonts w:ascii="宋体" w:hAnsi="宋体" w:hint="eastAsia"/>
        </w:rPr>
        <w:t>+</w:t>
      </w:r>
      <w:r>
        <w:rPr>
          <w:rFonts w:ascii="宋体" w:hAnsi="宋体" w:hint="eastAsia"/>
        </w:rPr>
        <w:t>固定费用）</w:t>
      </w:r>
    </w:p>
    <w:p w:rsidR="00000000" w:rsidRDefault="003B1ADD">
      <w:pPr>
        <w:snapToGrid w:val="0"/>
        <w:spacing w:line="360" w:lineRule="auto"/>
        <w:ind w:firstLineChars="202" w:firstLine="424"/>
        <w:rPr>
          <w:rFonts w:ascii="宋体" w:hAnsi="宋体"/>
        </w:rPr>
      </w:pPr>
      <w:r>
        <w:rPr>
          <w:rFonts w:ascii="宋体" w:hAnsi="宋体" w:hint="eastAsia"/>
        </w:rPr>
        <w:t>认购佣金由发售代理机构向投资人收取，投资人需以现金方式交纳认购佣金。</w:t>
      </w:r>
    </w:p>
    <w:p w:rsidR="00000000" w:rsidRDefault="003B1ADD">
      <w:pPr>
        <w:snapToGrid w:val="0"/>
        <w:spacing w:line="360" w:lineRule="auto"/>
        <w:ind w:firstLineChars="202" w:firstLine="424"/>
        <w:rPr>
          <w:rFonts w:ascii="宋体" w:hAnsi="宋体"/>
        </w:rPr>
      </w:pPr>
      <w:r>
        <w:rPr>
          <w:rFonts w:ascii="宋体" w:hAnsi="宋体" w:hint="eastAsia"/>
        </w:rPr>
        <w:t>网上现金认购款项在基金募集期间产生的利息将折算为基金份额归基金份额持有人所有。</w:t>
      </w:r>
    </w:p>
    <w:p w:rsidR="00000000" w:rsidRDefault="003B1ADD">
      <w:pPr>
        <w:snapToGrid w:val="0"/>
        <w:spacing w:line="360" w:lineRule="auto"/>
        <w:ind w:firstLineChars="202" w:firstLine="424"/>
        <w:rPr>
          <w:rFonts w:ascii="宋体" w:hAnsi="宋体"/>
        </w:rPr>
      </w:pPr>
      <w:r>
        <w:rPr>
          <w:rFonts w:ascii="宋体" w:hAnsi="宋体" w:hint="eastAsia"/>
        </w:rPr>
        <w:t>利息折算的份额＝利息</w:t>
      </w:r>
      <w:r>
        <w:rPr>
          <w:rFonts w:ascii="宋体" w:hAnsi="宋体" w:hint="eastAsia"/>
        </w:rPr>
        <w:t>/</w:t>
      </w:r>
      <w:r>
        <w:rPr>
          <w:rFonts w:ascii="宋体" w:hAnsi="宋体" w:hint="eastAsia"/>
        </w:rPr>
        <w:t>认购价格</w:t>
      </w:r>
    </w:p>
    <w:p w:rsidR="00000000" w:rsidRDefault="003B1ADD">
      <w:pPr>
        <w:snapToGrid w:val="0"/>
        <w:spacing w:line="360" w:lineRule="auto"/>
        <w:ind w:firstLineChars="202" w:firstLine="424"/>
        <w:rPr>
          <w:rFonts w:ascii="宋体" w:hAnsi="宋体"/>
        </w:rPr>
      </w:pPr>
      <w:r>
        <w:rPr>
          <w:rFonts w:ascii="宋体" w:hAnsi="宋体" w:hint="eastAsia"/>
        </w:rPr>
        <w:t>网上现金认购的利息和具体份额以登记机构的记录为准。利息折算的基金份额保留至整数位，小数部分舍去，舍去部分计入基金财产。</w:t>
      </w:r>
    </w:p>
    <w:p w:rsidR="00000000" w:rsidRDefault="003B1ADD">
      <w:pPr>
        <w:snapToGrid w:val="0"/>
        <w:spacing w:line="360" w:lineRule="auto"/>
        <w:ind w:firstLineChars="202" w:firstLine="424"/>
        <w:rPr>
          <w:rFonts w:ascii="宋体" w:hAnsi="宋体"/>
        </w:rPr>
      </w:pPr>
      <w:r>
        <w:rPr>
          <w:rFonts w:ascii="宋体" w:hAnsi="宋体" w:hint="eastAsia"/>
        </w:rPr>
        <w:t>例：某投资人通过发售代理机构以网上现金认购方式认购</w:t>
      </w:r>
      <w:r>
        <w:rPr>
          <w:rFonts w:ascii="宋体" w:hAnsi="宋体" w:hint="eastAsia"/>
        </w:rPr>
        <w:t>1,000</w:t>
      </w:r>
      <w:r>
        <w:rPr>
          <w:rFonts w:ascii="宋体" w:hAnsi="宋体" w:hint="eastAsia"/>
        </w:rPr>
        <w:t>份本基金，假设发售代理机构确认的佣金比率为</w:t>
      </w:r>
      <w:r>
        <w:rPr>
          <w:rFonts w:ascii="宋体" w:hAnsi="宋体" w:hint="eastAsia"/>
        </w:rPr>
        <w:t>0.30%</w:t>
      </w:r>
      <w:r>
        <w:rPr>
          <w:rFonts w:ascii="宋体" w:hAnsi="宋体" w:hint="eastAsia"/>
        </w:rPr>
        <w:t>，则需准备的资金金额计算如下：</w:t>
      </w:r>
    </w:p>
    <w:p w:rsidR="00000000" w:rsidRDefault="003B1ADD">
      <w:pPr>
        <w:snapToGrid w:val="0"/>
        <w:spacing w:line="360" w:lineRule="auto"/>
        <w:ind w:firstLineChars="202" w:firstLine="424"/>
        <w:rPr>
          <w:rFonts w:ascii="宋体" w:hAnsi="宋体"/>
        </w:rPr>
      </w:pPr>
      <w:r>
        <w:rPr>
          <w:rFonts w:ascii="宋体" w:hAnsi="宋体" w:hint="eastAsia"/>
        </w:rPr>
        <w:t>认购佣金＝</w:t>
      </w:r>
      <w:r>
        <w:rPr>
          <w:rFonts w:ascii="宋体" w:hAnsi="宋体" w:hint="eastAsia"/>
        </w:rPr>
        <w:t>1.00</w:t>
      </w:r>
      <w:r>
        <w:rPr>
          <w:rFonts w:ascii="宋体" w:hAnsi="宋体" w:hint="eastAsia"/>
        </w:rPr>
        <w:t>×</w:t>
      </w:r>
      <w:r>
        <w:rPr>
          <w:rFonts w:ascii="宋体" w:hAnsi="宋体" w:hint="eastAsia"/>
        </w:rPr>
        <w:t>1,000</w:t>
      </w:r>
      <w:r>
        <w:rPr>
          <w:rFonts w:ascii="宋体" w:hAnsi="宋体" w:hint="eastAsia"/>
        </w:rPr>
        <w:t>×</w:t>
      </w:r>
      <w:r>
        <w:rPr>
          <w:rFonts w:ascii="宋体" w:hAnsi="宋体" w:hint="eastAsia"/>
        </w:rPr>
        <w:t>0.30%</w:t>
      </w:r>
      <w:r>
        <w:rPr>
          <w:rFonts w:ascii="宋体" w:hAnsi="宋体" w:hint="eastAsia"/>
        </w:rPr>
        <w:t>＝</w:t>
      </w:r>
      <w:r>
        <w:rPr>
          <w:rFonts w:ascii="宋体" w:hAnsi="宋体" w:hint="eastAsia"/>
        </w:rPr>
        <w:t>3</w:t>
      </w:r>
      <w:r>
        <w:rPr>
          <w:rFonts w:ascii="宋体" w:hAnsi="宋体" w:hint="eastAsia"/>
        </w:rPr>
        <w:t>元</w:t>
      </w:r>
    </w:p>
    <w:p w:rsidR="00000000" w:rsidRDefault="003B1ADD">
      <w:pPr>
        <w:snapToGrid w:val="0"/>
        <w:spacing w:line="360" w:lineRule="auto"/>
        <w:ind w:firstLineChars="202" w:firstLine="424"/>
        <w:rPr>
          <w:rFonts w:ascii="宋体" w:hAnsi="宋体"/>
        </w:rPr>
      </w:pPr>
      <w:r>
        <w:rPr>
          <w:rFonts w:ascii="宋体" w:hAnsi="宋体" w:hint="eastAsia"/>
        </w:rPr>
        <w:t>认购金额＝</w:t>
      </w:r>
      <w:r>
        <w:rPr>
          <w:rFonts w:ascii="宋体" w:hAnsi="宋体" w:hint="eastAsia"/>
        </w:rPr>
        <w:t>1.00</w:t>
      </w:r>
      <w:r>
        <w:rPr>
          <w:rFonts w:ascii="宋体" w:hAnsi="宋体" w:hint="eastAsia"/>
        </w:rPr>
        <w:t>×</w:t>
      </w:r>
      <w:r>
        <w:rPr>
          <w:rFonts w:ascii="宋体" w:hAnsi="宋体" w:hint="eastAsia"/>
        </w:rPr>
        <w:t>1,000</w:t>
      </w:r>
      <w:r>
        <w:rPr>
          <w:rFonts w:ascii="宋体" w:hAnsi="宋体" w:hint="eastAsia"/>
        </w:rPr>
        <w:t>×</w:t>
      </w:r>
      <w:r>
        <w:rPr>
          <w:rFonts w:ascii="宋体" w:hAnsi="宋体" w:hint="eastAsia"/>
        </w:rPr>
        <w:t>(1+0.30%)</w:t>
      </w:r>
      <w:r>
        <w:rPr>
          <w:rFonts w:ascii="宋体" w:hAnsi="宋体" w:hint="eastAsia"/>
        </w:rPr>
        <w:t>＝</w:t>
      </w:r>
      <w:r>
        <w:rPr>
          <w:rFonts w:ascii="宋体" w:hAnsi="宋体" w:hint="eastAsia"/>
        </w:rPr>
        <w:t>1,003</w:t>
      </w:r>
      <w:r>
        <w:rPr>
          <w:rFonts w:ascii="宋体" w:hAnsi="宋体" w:hint="eastAsia"/>
        </w:rPr>
        <w:t>元</w:t>
      </w:r>
    </w:p>
    <w:p w:rsidR="00000000" w:rsidRDefault="003B1ADD">
      <w:pPr>
        <w:snapToGrid w:val="0"/>
        <w:spacing w:line="360" w:lineRule="auto"/>
        <w:ind w:firstLineChars="202" w:firstLine="424"/>
        <w:rPr>
          <w:rFonts w:ascii="宋体"/>
          <w:szCs w:val="21"/>
        </w:rPr>
      </w:pPr>
      <w:r>
        <w:rPr>
          <w:rFonts w:ascii="宋体" w:hAnsi="宋体" w:hint="eastAsia"/>
        </w:rPr>
        <w:t>即投资人需准备</w:t>
      </w:r>
      <w:r>
        <w:rPr>
          <w:rFonts w:ascii="宋体" w:hAnsi="宋体" w:hint="eastAsia"/>
        </w:rPr>
        <w:t>1,003</w:t>
      </w:r>
      <w:r>
        <w:rPr>
          <w:rFonts w:ascii="宋体" w:hAnsi="宋体" w:hint="eastAsia"/>
        </w:rPr>
        <w:t>元资金，方可认购到</w:t>
      </w:r>
      <w:r>
        <w:rPr>
          <w:rFonts w:ascii="宋体" w:hAnsi="宋体" w:hint="eastAsia"/>
        </w:rPr>
        <w:t>1,000</w:t>
      </w:r>
      <w:r>
        <w:rPr>
          <w:rFonts w:ascii="宋体" w:hAnsi="宋体" w:hint="eastAsia"/>
        </w:rPr>
        <w:t>份本基金基金份额。</w:t>
      </w:r>
    </w:p>
    <w:p w:rsidR="00000000" w:rsidRDefault="003B1ADD">
      <w:pPr>
        <w:snapToGrid w:val="0"/>
        <w:spacing w:line="360" w:lineRule="auto"/>
        <w:ind w:firstLineChars="202" w:firstLine="424"/>
        <w:rPr>
          <w:rFonts w:ascii="宋体" w:hAnsi="宋体"/>
        </w:rPr>
      </w:pPr>
      <w:r>
        <w:rPr>
          <w:rFonts w:ascii="宋体" w:hAnsi="宋体" w:hint="eastAsia"/>
        </w:rPr>
        <w:t>（</w:t>
      </w:r>
      <w:r>
        <w:rPr>
          <w:rFonts w:ascii="宋体" w:hAnsi="宋体" w:hint="eastAsia"/>
        </w:rPr>
        <w:t>2</w:t>
      </w:r>
      <w:r>
        <w:rPr>
          <w:rFonts w:ascii="宋体" w:hAnsi="宋体" w:hint="eastAsia"/>
        </w:rPr>
        <w:t>）通过基金管理人进行网下现金认购的投资人，认购以基金份额申请，认购金额的计算公式为：</w:t>
      </w:r>
    </w:p>
    <w:p w:rsidR="00000000" w:rsidRDefault="003B1ADD">
      <w:pPr>
        <w:snapToGrid w:val="0"/>
        <w:spacing w:line="360" w:lineRule="auto"/>
        <w:ind w:firstLineChars="202" w:firstLine="424"/>
        <w:rPr>
          <w:rFonts w:ascii="宋体" w:hAnsi="宋体"/>
        </w:rPr>
      </w:pPr>
      <w:r>
        <w:rPr>
          <w:rFonts w:ascii="宋体" w:hAnsi="宋体" w:hint="eastAsia"/>
        </w:rPr>
        <w:t>认购金额＝认购价格×认购份额</w:t>
      </w:r>
    </w:p>
    <w:p w:rsidR="00000000" w:rsidRDefault="003B1ADD">
      <w:pPr>
        <w:snapToGrid w:val="0"/>
        <w:spacing w:line="360" w:lineRule="auto"/>
        <w:ind w:firstLineChars="202" w:firstLine="424"/>
        <w:rPr>
          <w:rFonts w:ascii="宋体" w:hAnsi="宋体"/>
        </w:rPr>
      </w:pPr>
      <w:r>
        <w:rPr>
          <w:rFonts w:ascii="宋体" w:hAnsi="宋体" w:hint="eastAsia"/>
        </w:rPr>
        <w:t>净认购份额＝认购份额</w:t>
      </w:r>
      <w:r>
        <w:rPr>
          <w:rFonts w:ascii="宋体" w:hAnsi="宋体" w:hint="eastAsia"/>
        </w:rPr>
        <w:t>+</w:t>
      </w:r>
      <w:r>
        <w:rPr>
          <w:rFonts w:ascii="宋体" w:hAnsi="宋体" w:hint="eastAsia"/>
        </w:rPr>
        <w:t>认购金额产生的利息</w:t>
      </w:r>
      <w:r>
        <w:rPr>
          <w:rFonts w:ascii="宋体" w:hAnsi="宋体" w:hint="eastAsia"/>
        </w:rPr>
        <w:t>/</w:t>
      </w:r>
      <w:r>
        <w:rPr>
          <w:rFonts w:ascii="宋体" w:hAnsi="宋体" w:hint="eastAsia"/>
        </w:rPr>
        <w:t>认购价格</w:t>
      </w:r>
    </w:p>
    <w:p w:rsidR="00000000" w:rsidRDefault="003B1ADD">
      <w:pPr>
        <w:snapToGrid w:val="0"/>
        <w:spacing w:line="360" w:lineRule="auto"/>
        <w:ind w:firstLineChars="202" w:firstLine="424"/>
        <w:rPr>
          <w:rFonts w:ascii="宋体" w:hAnsi="宋体"/>
        </w:rPr>
      </w:pPr>
      <w:r>
        <w:rPr>
          <w:rFonts w:ascii="宋体" w:hAnsi="宋体" w:hint="eastAsia"/>
        </w:rPr>
        <w:t>通过基金管理人进行网下现金认购，有效认购款项在基金募集期间产生的利息将折算为基金份额归基金份额持有人所有，认购</w:t>
      </w:r>
      <w:r>
        <w:rPr>
          <w:rFonts w:ascii="宋体" w:hAnsi="宋体" w:hint="eastAsia"/>
        </w:rPr>
        <w:t>款项利息的数额以基金管理人的记录为准。</w:t>
      </w:r>
    </w:p>
    <w:p w:rsidR="00000000" w:rsidRDefault="003B1ADD">
      <w:pPr>
        <w:snapToGrid w:val="0"/>
        <w:spacing w:line="360" w:lineRule="auto"/>
        <w:ind w:firstLineChars="202" w:firstLine="424"/>
        <w:rPr>
          <w:rFonts w:ascii="宋体" w:hAnsi="宋体"/>
        </w:rPr>
      </w:pPr>
      <w:r>
        <w:rPr>
          <w:rFonts w:ascii="宋体" w:hAnsi="宋体" w:hint="eastAsia"/>
        </w:rPr>
        <w:t>例：某投资人通过基金管理人以网下现金认购方式认购</w:t>
      </w:r>
      <w:r>
        <w:rPr>
          <w:rFonts w:ascii="宋体" w:hAnsi="宋体" w:hint="eastAsia"/>
        </w:rPr>
        <w:t>100,000</w:t>
      </w:r>
      <w:r>
        <w:rPr>
          <w:rFonts w:ascii="宋体" w:hAnsi="宋体" w:hint="eastAsia"/>
        </w:rPr>
        <w:t>份基金份额，假定认购金额产生的利息为</w:t>
      </w:r>
      <w:r>
        <w:rPr>
          <w:rFonts w:ascii="宋体" w:hAnsi="宋体" w:hint="eastAsia"/>
        </w:rPr>
        <w:t>10</w:t>
      </w:r>
      <w:r>
        <w:rPr>
          <w:rFonts w:ascii="宋体" w:hAnsi="宋体" w:hint="eastAsia"/>
        </w:rPr>
        <w:t>元，则需准备的资金金额计算如下：</w:t>
      </w:r>
    </w:p>
    <w:p w:rsidR="00000000" w:rsidRDefault="003B1ADD">
      <w:pPr>
        <w:snapToGrid w:val="0"/>
        <w:spacing w:line="360" w:lineRule="auto"/>
        <w:ind w:firstLineChars="202" w:firstLine="424"/>
        <w:rPr>
          <w:rFonts w:ascii="宋体" w:hAnsi="宋体"/>
        </w:rPr>
      </w:pPr>
      <w:r>
        <w:rPr>
          <w:rFonts w:ascii="宋体" w:hAnsi="宋体" w:hint="eastAsia"/>
        </w:rPr>
        <w:t>认购金额＝</w:t>
      </w:r>
      <w:r>
        <w:rPr>
          <w:rFonts w:ascii="宋体" w:hAnsi="宋体" w:hint="eastAsia"/>
        </w:rPr>
        <w:t>1.00</w:t>
      </w:r>
      <w:r>
        <w:rPr>
          <w:rFonts w:ascii="宋体" w:hAnsi="宋体" w:hint="eastAsia"/>
        </w:rPr>
        <w:t>×</w:t>
      </w:r>
      <w:r>
        <w:rPr>
          <w:rFonts w:ascii="宋体" w:hAnsi="宋体" w:hint="eastAsia"/>
        </w:rPr>
        <w:t>100,000</w:t>
      </w:r>
      <w:r>
        <w:rPr>
          <w:rFonts w:ascii="宋体" w:hAnsi="宋体" w:hint="eastAsia"/>
        </w:rPr>
        <w:t>＝</w:t>
      </w:r>
      <w:r>
        <w:rPr>
          <w:rFonts w:ascii="宋体" w:hAnsi="宋体" w:hint="eastAsia"/>
        </w:rPr>
        <w:t>100,000</w:t>
      </w:r>
      <w:r>
        <w:rPr>
          <w:rFonts w:ascii="宋体" w:hAnsi="宋体" w:hint="eastAsia"/>
        </w:rPr>
        <w:t>元</w:t>
      </w:r>
    </w:p>
    <w:p w:rsidR="00000000" w:rsidRDefault="003B1ADD">
      <w:pPr>
        <w:snapToGrid w:val="0"/>
        <w:spacing w:line="360" w:lineRule="auto"/>
        <w:ind w:firstLineChars="202" w:firstLine="424"/>
        <w:rPr>
          <w:rFonts w:ascii="宋体" w:hAnsi="宋体"/>
        </w:rPr>
      </w:pPr>
      <w:r>
        <w:rPr>
          <w:rFonts w:ascii="宋体" w:hAnsi="宋体" w:hint="eastAsia"/>
        </w:rPr>
        <w:t>净认购份额</w:t>
      </w:r>
      <w:r>
        <w:rPr>
          <w:rFonts w:ascii="宋体" w:hAnsi="宋体" w:hint="eastAsia"/>
        </w:rPr>
        <w:t>=100,000+10/1.00=100,010</w:t>
      </w:r>
      <w:r>
        <w:rPr>
          <w:rFonts w:ascii="宋体" w:hAnsi="宋体" w:hint="eastAsia"/>
        </w:rPr>
        <w:t>份</w:t>
      </w:r>
    </w:p>
    <w:p w:rsidR="00000000" w:rsidRDefault="003B1ADD">
      <w:pPr>
        <w:snapToGrid w:val="0"/>
        <w:spacing w:line="360" w:lineRule="auto"/>
        <w:ind w:firstLineChars="202" w:firstLine="424"/>
        <w:rPr>
          <w:rFonts w:ascii="宋体" w:hAnsi="宋体"/>
        </w:rPr>
      </w:pPr>
      <w:r>
        <w:rPr>
          <w:rFonts w:ascii="宋体" w:hAnsi="宋体" w:hint="eastAsia"/>
        </w:rPr>
        <w:t>即投资人若通过基金管理人以网下现金认购方式认购本基金</w:t>
      </w:r>
      <w:r>
        <w:rPr>
          <w:rFonts w:ascii="宋体" w:hAnsi="宋体" w:hint="eastAsia"/>
        </w:rPr>
        <w:t>100,000</w:t>
      </w:r>
      <w:r>
        <w:rPr>
          <w:rFonts w:ascii="宋体" w:hAnsi="宋体" w:hint="eastAsia"/>
        </w:rPr>
        <w:t>份，需准备</w:t>
      </w:r>
      <w:r>
        <w:rPr>
          <w:rFonts w:ascii="宋体" w:hAnsi="宋体" w:hint="eastAsia"/>
        </w:rPr>
        <w:t>100,000</w:t>
      </w:r>
      <w:r>
        <w:rPr>
          <w:rFonts w:ascii="宋体" w:hAnsi="宋体" w:hint="eastAsia"/>
        </w:rPr>
        <w:t>元资金，假定该笔认购金额产生利息</w:t>
      </w:r>
      <w:r>
        <w:rPr>
          <w:rFonts w:ascii="宋体" w:hAnsi="宋体" w:hint="eastAsia"/>
        </w:rPr>
        <w:t>10</w:t>
      </w:r>
      <w:r>
        <w:rPr>
          <w:rFonts w:ascii="宋体" w:hAnsi="宋体" w:hint="eastAsia"/>
        </w:rPr>
        <w:t>元，则投资人可得到</w:t>
      </w:r>
      <w:r>
        <w:rPr>
          <w:rFonts w:ascii="宋体" w:hAnsi="宋体" w:hint="eastAsia"/>
        </w:rPr>
        <w:t>100,010</w:t>
      </w:r>
      <w:r>
        <w:rPr>
          <w:rFonts w:ascii="宋体" w:hAnsi="宋体" w:hint="eastAsia"/>
        </w:rPr>
        <w:t>份本基金基金份额。</w:t>
      </w:r>
      <w:r>
        <w:rPr>
          <w:rFonts w:ascii="宋体" w:hAnsi="宋体"/>
        </w:rPr>
        <w:t xml:space="preserve"> </w:t>
      </w:r>
    </w:p>
    <w:p w:rsidR="00000000" w:rsidRDefault="003B1ADD">
      <w:pPr>
        <w:snapToGrid w:val="0"/>
        <w:spacing w:line="360" w:lineRule="auto"/>
        <w:ind w:firstLineChars="202" w:firstLine="424"/>
        <w:rPr>
          <w:rFonts w:ascii="宋体" w:hAnsi="宋体"/>
        </w:rPr>
      </w:pPr>
      <w:r>
        <w:rPr>
          <w:rFonts w:ascii="宋体" w:hAnsi="宋体" w:hint="eastAsia"/>
        </w:rPr>
        <w:t>（</w:t>
      </w:r>
      <w:r>
        <w:rPr>
          <w:rFonts w:ascii="宋体" w:hAnsi="宋体" w:hint="eastAsia"/>
        </w:rPr>
        <w:t>3</w:t>
      </w:r>
      <w:r>
        <w:rPr>
          <w:rFonts w:ascii="宋体" w:hAnsi="宋体" w:hint="eastAsia"/>
        </w:rPr>
        <w:t>）通过发售代理机构进行网下现金认购的</w:t>
      </w:r>
      <w:r>
        <w:rPr>
          <w:rFonts w:ascii="宋体" w:hAnsi="宋体" w:hint="eastAsia"/>
        </w:rPr>
        <w:t>认购金额的计算：同通过发售代理机构进行网上现金认购的认购金额的计算。</w:t>
      </w:r>
    </w:p>
    <w:p w:rsidR="00000000" w:rsidRDefault="003B1ADD">
      <w:pPr>
        <w:tabs>
          <w:tab w:val="left" w:pos="960"/>
        </w:tabs>
        <w:autoSpaceDE w:val="0"/>
        <w:autoSpaceDN w:val="0"/>
        <w:adjustRightInd w:val="0"/>
        <w:snapToGrid w:val="0"/>
        <w:spacing w:line="360" w:lineRule="auto"/>
        <w:ind w:firstLineChars="200" w:firstLine="422"/>
        <w:rPr>
          <w:rFonts w:ascii="宋体" w:hAnsi="宋体"/>
          <w:b/>
        </w:rPr>
      </w:pPr>
    </w:p>
    <w:p w:rsidR="00000000" w:rsidRDefault="003B1ADD">
      <w:pPr>
        <w:snapToGrid w:val="0"/>
        <w:spacing w:line="360" w:lineRule="auto"/>
        <w:ind w:firstLineChars="202" w:firstLine="426"/>
        <w:outlineLvl w:val="0"/>
        <w:rPr>
          <w:rFonts w:ascii="宋体" w:hAnsi="宋体"/>
          <w:b/>
        </w:rPr>
      </w:pPr>
      <w:r>
        <w:rPr>
          <w:rFonts w:ascii="宋体" w:hAnsi="宋体" w:hint="eastAsia"/>
          <w:b/>
        </w:rPr>
        <w:t>四、投资人开户</w:t>
      </w:r>
    </w:p>
    <w:p w:rsidR="00000000" w:rsidRDefault="003B1ADD">
      <w:pPr>
        <w:autoSpaceDE w:val="0"/>
        <w:autoSpaceDN w:val="0"/>
        <w:adjustRightInd w:val="0"/>
        <w:snapToGrid w:val="0"/>
        <w:spacing w:line="360" w:lineRule="auto"/>
        <w:ind w:firstLine="420"/>
        <w:rPr>
          <w:rFonts w:ascii="宋体" w:hAnsi="宋体"/>
          <w:szCs w:val="21"/>
        </w:rPr>
      </w:pPr>
      <w:r>
        <w:rPr>
          <w:rFonts w:ascii="宋体" w:hAnsi="宋体" w:hint="eastAsia"/>
          <w:szCs w:val="21"/>
        </w:rPr>
        <w:t>1</w:t>
      </w:r>
      <w:r>
        <w:rPr>
          <w:rFonts w:ascii="宋体" w:hAnsi="宋体" w:hint="eastAsia"/>
          <w:szCs w:val="21"/>
        </w:rPr>
        <w:t>、投资人认购本基金时需具有深圳证券交易所</w:t>
      </w:r>
      <w:r>
        <w:rPr>
          <w:rFonts w:ascii="宋体" w:hAnsi="宋体" w:hint="eastAsia"/>
          <w:szCs w:val="21"/>
        </w:rPr>
        <w:t>A</w:t>
      </w:r>
      <w:r>
        <w:rPr>
          <w:rFonts w:ascii="宋体" w:hAnsi="宋体" w:hint="eastAsia"/>
          <w:szCs w:val="21"/>
        </w:rPr>
        <w:t>股账户（以下简称“深圳</w:t>
      </w:r>
      <w:r>
        <w:rPr>
          <w:rFonts w:ascii="宋体" w:hAnsi="宋体" w:hint="eastAsia"/>
          <w:szCs w:val="21"/>
        </w:rPr>
        <w:t>A</w:t>
      </w:r>
      <w:r>
        <w:rPr>
          <w:rFonts w:ascii="宋体" w:hAnsi="宋体" w:hint="eastAsia"/>
          <w:szCs w:val="21"/>
        </w:rPr>
        <w:t>股账户”）或深圳证券交易所证券投资基金账户（以下简称“深圳证券投资基金账户”）。</w:t>
      </w:r>
    </w:p>
    <w:p w:rsidR="00000000" w:rsidRDefault="003B1ADD">
      <w:pPr>
        <w:autoSpaceDE w:val="0"/>
        <w:autoSpaceDN w:val="0"/>
        <w:adjustRightInd w:val="0"/>
        <w:snapToGrid w:val="0"/>
        <w:spacing w:line="360" w:lineRule="auto"/>
        <w:ind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）已有深圳</w:t>
      </w:r>
      <w:r>
        <w:rPr>
          <w:rFonts w:ascii="宋体" w:hAnsi="宋体" w:hint="eastAsia"/>
          <w:szCs w:val="21"/>
        </w:rPr>
        <w:t>A</w:t>
      </w:r>
      <w:r>
        <w:rPr>
          <w:rFonts w:ascii="宋体" w:hAnsi="宋体" w:hint="eastAsia"/>
          <w:szCs w:val="21"/>
        </w:rPr>
        <w:t>股账户或深圳证券投资基金账户的投资人不必再办理开户手续。</w:t>
      </w:r>
    </w:p>
    <w:p w:rsidR="00000000" w:rsidRDefault="003B1ADD">
      <w:pPr>
        <w:autoSpaceDE w:val="0"/>
        <w:autoSpaceDN w:val="0"/>
        <w:adjustRightInd w:val="0"/>
        <w:snapToGrid w:val="0"/>
        <w:spacing w:line="360" w:lineRule="auto"/>
        <w:ind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）尚无深圳</w:t>
      </w:r>
      <w:r>
        <w:rPr>
          <w:rFonts w:ascii="宋体" w:hAnsi="宋体" w:hint="eastAsia"/>
          <w:szCs w:val="21"/>
        </w:rPr>
        <w:t>A</w:t>
      </w:r>
      <w:r>
        <w:rPr>
          <w:rFonts w:ascii="宋体" w:hAnsi="宋体" w:hint="eastAsia"/>
          <w:szCs w:val="21"/>
        </w:rPr>
        <w:t>股账户或深圳证券投资基金账户的投资人，需在认购前持本人有效身份证明文件到中国证券登记结算有限责任公司深圳分公司的开户代理机构办理深圳</w:t>
      </w:r>
      <w:r>
        <w:rPr>
          <w:rFonts w:ascii="宋体" w:hAnsi="宋体" w:hint="eastAsia"/>
          <w:szCs w:val="21"/>
        </w:rPr>
        <w:t>A</w:t>
      </w:r>
      <w:r>
        <w:rPr>
          <w:rFonts w:ascii="宋体" w:hAnsi="宋体" w:hint="eastAsia"/>
          <w:szCs w:val="21"/>
        </w:rPr>
        <w:t>股账户或深圳证券投资基金账户的开户手续。有关开设深</w:t>
      </w:r>
      <w:r>
        <w:rPr>
          <w:rFonts w:ascii="宋体" w:hAnsi="宋体" w:hint="eastAsia"/>
          <w:szCs w:val="21"/>
        </w:rPr>
        <w:t>圳</w:t>
      </w:r>
      <w:r>
        <w:rPr>
          <w:rFonts w:ascii="宋体" w:hAnsi="宋体" w:hint="eastAsia"/>
          <w:szCs w:val="21"/>
        </w:rPr>
        <w:t>A</w:t>
      </w:r>
      <w:r>
        <w:rPr>
          <w:rFonts w:ascii="宋体" w:hAnsi="宋体" w:hint="eastAsia"/>
          <w:szCs w:val="21"/>
        </w:rPr>
        <w:t>股账户和深圳证券投资基金账户的具体程序和办法，请到各开户网点详细咨询有关规定。</w:t>
      </w:r>
    </w:p>
    <w:p w:rsidR="00000000" w:rsidRDefault="003B1ADD">
      <w:pPr>
        <w:snapToGrid w:val="0"/>
        <w:spacing w:line="360" w:lineRule="auto"/>
        <w:ind w:firstLineChars="202" w:firstLine="424"/>
        <w:rPr>
          <w:rFonts w:ascii="宋体" w:hAnsi="宋体"/>
        </w:rPr>
      </w:pPr>
      <w:r>
        <w:rPr>
          <w:rFonts w:ascii="宋体" w:hAnsi="宋体"/>
        </w:rPr>
        <w:t>2</w:t>
      </w:r>
      <w:r>
        <w:rPr>
          <w:rFonts w:ascii="宋体" w:hAnsi="宋体" w:hint="eastAsia"/>
        </w:rPr>
        <w:t>、账户使用注意事项</w:t>
      </w:r>
    </w:p>
    <w:p w:rsidR="00000000" w:rsidRDefault="003B1ADD">
      <w:pPr>
        <w:autoSpaceDE w:val="0"/>
        <w:autoSpaceDN w:val="0"/>
        <w:adjustRightInd w:val="0"/>
        <w:snapToGrid w:val="0"/>
        <w:spacing w:line="360" w:lineRule="auto"/>
        <w:ind w:firstLine="420"/>
        <w:rPr>
          <w:rFonts w:ascii="宋体" w:hAnsi="宋体"/>
          <w:szCs w:val="21"/>
        </w:rPr>
      </w:pPr>
      <w:r>
        <w:rPr>
          <w:rFonts w:ascii="宋体" w:hAnsi="宋体" w:hint="eastAsia"/>
          <w:szCs w:val="21"/>
        </w:rPr>
        <w:t>如投资人需要参与网下现金或网上现金认购，应使用深圳</w:t>
      </w:r>
      <w:r>
        <w:rPr>
          <w:rFonts w:ascii="宋体" w:hAnsi="宋体" w:hint="eastAsia"/>
          <w:szCs w:val="21"/>
        </w:rPr>
        <w:t>A</w:t>
      </w:r>
      <w:r>
        <w:rPr>
          <w:rFonts w:ascii="宋体" w:hAnsi="宋体" w:hint="eastAsia"/>
          <w:szCs w:val="21"/>
        </w:rPr>
        <w:t>股账户或深圳证券投资基金账户；深圳证券投资基金账户只能进行本基金的现金认购和二级市场交易。</w:t>
      </w:r>
    </w:p>
    <w:p w:rsidR="00000000" w:rsidRDefault="003B1ADD">
      <w:pPr>
        <w:autoSpaceDE w:val="0"/>
        <w:autoSpaceDN w:val="0"/>
        <w:adjustRightInd w:val="0"/>
        <w:snapToGrid w:val="0"/>
        <w:spacing w:line="360" w:lineRule="auto"/>
        <w:ind w:firstLine="420"/>
        <w:rPr>
          <w:rFonts w:ascii="宋体" w:hAnsi="宋体"/>
          <w:szCs w:val="21"/>
        </w:rPr>
      </w:pPr>
      <w:r>
        <w:rPr>
          <w:rFonts w:ascii="宋体" w:hAnsi="宋体" w:hint="eastAsia"/>
          <w:szCs w:val="21"/>
        </w:rPr>
        <w:t>3</w:t>
      </w:r>
      <w:r>
        <w:rPr>
          <w:rFonts w:ascii="宋体" w:hAnsi="宋体" w:hint="eastAsia"/>
          <w:szCs w:val="21"/>
        </w:rPr>
        <w:t>、已购买过基金管理人其他开放式基金的投资人，其持有的由基金管理人开立的开放式基金账户不能用于认购本基金。</w:t>
      </w:r>
    </w:p>
    <w:p w:rsidR="00000000" w:rsidRDefault="003B1ADD">
      <w:pPr>
        <w:autoSpaceDE w:val="0"/>
        <w:autoSpaceDN w:val="0"/>
        <w:adjustRightInd w:val="0"/>
        <w:snapToGrid w:val="0"/>
        <w:spacing w:line="360" w:lineRule="auto"/>
        <w:ind w:firstLineChars="200" w:firstLine="420"/>
      </w:pPr>
    </w:p>
    <w:p w:rsidR="00000000" w:rsidRDefault="003B1ADD">
      <w:pPr>
        <w:snapToGrid w:val="0"/>
        <w:spacing w:line="360" w:lineRule="auto"/>
        <w:ind w:firstLineChars="202" w:firstLine="426"/>
        <w:outlineLvl w:val="0"/>
        <w:rPr>
          <w:rFonts w:ascii="宋体" w:hAnsi="宋体"/>
          <w:b/>
        </w:rPr>
      </w:pPr>
      <w:r>
        <w:rPr>
          <w:rFonts w:ascii="宋体" w:hAnsi="宋体" w:hint="eastAsia"/>
          <w:b/>
        </w:rPr>
        <w:t>五、网上现金认购</w:t>
      </w:r>
    </w:p>
    <w:p w:rsidR="00000000" w:rsidRDefault="003B1ADD">
      <w:pPr>
        <w:snapToGrid w:val="0"/>
        <w:spacing w:line="360" w:lineRule="auto"/>
        <w:ind w:firstLineChars="200" w:firstLine="420"/>
        <w:rPr>
          <w:rFonts w:ascii="宋体" w:hAnsi="宋体"/>
        </w:rPr>
      </w:pPr>
      <w:r>
        <w:rPr>
          <w:rFonts w:ascii="宋体" w:hAnsi="宋体" w:hint="eastAsia"/>
        </w:rPr>
        <w:t>1</w:t>
      </w:r>
      <w:r>
        <w:rPr>
          <w:rFonts w:ascii="宋体" w:hAnsi="宋体" w:hint="eastAsia"/>
        </w:rPr>
        <w:t>、认购时间：</w:t>
      </w:r>
      <w:r>
        <w:rPr>
          <w:rFonts w:ascii="宋体" w:hAnsi="宋体" w:hint="eastAsia"/>
        </w:rPr>
        <w:t>2026</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8</w:t>
      </w:r>
      <w:r>
        <w:rPr>
          <w:rFonts w:ascii="宋体" w:hAnsi="宋体" w:hint="eastAsia"/>
        </w:rPr>
        <w:t>日至</w:t>
      </w:r>
      <w:r>
        <w:rPr>
          <w:rFonts w:ascii="宋体" w:hAnsi="宋体" w:hint="eastAsia"/>
        </w:rPr>
        <w:t>2026</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21</w:t>
      </w:r>
      <w:r>
        <w:rPr>
          <w:rFonts w:ascii="宋体" w:hAnsi="宋体" w:hint="eastAsia"/>
        </w:rPr>
        <w:t>日上午</w:t>
      </w:r>
      <w:r>
        <w:rPr>
          <w:rFonts w:ascii="宋体" w:hAnsi="宋体" w:hint="eastAsia"/>
        </w:rPr>
        <w:t>9</w:t>
      </w:r>
      <w:r>
        <w:rPr>
          <w:rFonts w:ascii="宋体" w:hAnsi="宋体" w:hint="eastAsia"/>
        </w:rPr>
        <w:t>：</w:t>
      </w:r>
      <w:r>
        <w:rPr>
          <w:rFonts w:ascii="宋体" w:hAnsi="宋体" w:hint="eastAsia"/>
        </w:rPr>
        <w:t>30</w:t>
      </w:r>
      <w:r>
        <w:rPr>
          <w:rFonts w:ascii="宋体" w:hAnsi="宋体" w:hint="eastAsia"/>
        </w:rPr>
        <w:t>－</w:t>
      </w:r>
      <w:r>
        <w:rPr>
          <w:rFonts w:ascii="宋体" w:hAnsi="宋体" w:hint="eastAsia"/>
        </w:rPr>
        <w:t>11</w:t>
      </w:r>
      <w:r>
        <w:rPr>
          <w:rFonts w:ascii="宋体" w:hAnsi="宋体" w:hint="eastAsia"/>
        </w:rPr>
        <w:t>：</w:t>
      </w:r>
      <w:r>
        <w:rPr>
          <w:rFonts w:ascii="宋体" w:hAnsi="宋体" w:hint="eastAsia"/>
        </w:rPr>
        <w:t>30</w:t>
      </w:r>
      <w:r>
        <w:rPr>
          <w:rFonts w:ascii="宋体" w:hAnsi="宋体" w:hint="eastAsia"/>
        </w:rPr>
        <w:t>和下午</w:t>
      </w:r>
      <w:r>
        <w:rPr>
          <w:rFonts w:ascii="宋体" w:hAnsi="宋体" w:hint="eastAsia"/>
        </w:rPr>
        <w:t>1</w:t>
      </w:r>
      <w:r>
        <w:rPr>
          <w:rFonts w:ascii="宋体" w:hAnsi="宋体" w:hint="eastAsia"/>
        </w:rPr>
        <w:t>：</w:t>
      </w:r>
      <w:r>
        <w:rPr>
          <w:rFonts w:ascii="宋体" w:hAnsi="宋体" w:hint="eastAsia"/>
        </w:rPr>
        <w:t>00</w:t>
      </w:r>
      <w:r>
        <w:rPr>
          <w:rFonts w:ascii="宋体" w:hAnsi="宋体" w:hint="eastAsia"/>
        </w:rPr>
        <w:t>－</w:t>
      </w:r>
      <w:r>
        <w:rPr>
          <w:rFonts w:ascii="宋体" w:hAnsi="宋体" w:hint="eastAsia"/>
        </w:rPr>
        <w:t>3</w:t>
      </w:r>
      <w:r>
        <w:rPr>
          <w:rFonts w:ascii="宋体" w:hAnsi="宋体" w:hint="eastAsia"/>
        </w:rPr>
        <w:t>：</w:t>
      </w:r>
      <w:r>
        <w:rPr>
          <w:rFonts w:ascii="宋体" w:hAnsi="宋体" w:hint="eastAsia"/>
        </w:rPr>
        <w:t>00</w:t>
      </w:r>
      <w:r>
        <w:rPr>
          <w:rFonts w:ascii="宋体" w:hAnsi="宋体" w:hint="eastAsia"/>
        </w:rPr>
        <w:t>（周六、周日和节假日不受理）。如</w:t>
      </w:r>
      <w:r>
        <w:rPr>
          <w:rFonts w:ascii="宋体" w:hAnsi="宋体" w:hint="eastAsia"/>
        </w:rPr>
        <w:t>深圳证券交易所对网上现金认购时间做出调整，我司将相应调整并及时公告。</w:t>
      </w:r>
      <w:r>
        <w:rPr>
          <w:rFonts w:ascii="宋体" w:hAnsi="宋体"/>
        </w:rPr>
        <w:t xml:space="preserve"> </w:t>
      </w:r>
    </w:p>
    <w:p w:rsidR="00000000" w:rsidRDefault="003B1ADD">
      <w:pPr>
        <w:snapToGrid w:val="0"/>
        <w:spacing w:line="360" w:lineRule="auto"/>
        <w:ind w:firstLineChars="200" w:firstLine="420"/>
        <w:rPr>
          <w:rFonts w:ascii="宋体" w:hAnsi="宋体"/>
        </w:rPr>
      </w:pPr>
      <w:r>
        <w:rPr>
          <w:rFonts w:ascii="宋体" w:hAnsi="宋体" w:hint="eastAsia"/>
        </w:rPr>
        <w:t>2</w:t>
      </w:r>
      <w:r>
        <w:rPr>
          <w:rFonts w:ascii="宋体" w:hAnsi="宋体" w:hint="eastAsia"/>
        </w:rPr>
        <w:t>、认购限额：</w:t>
      </w:r>
      <w:r>
        <w:rPr>
          <w:rFonts w:ascii="宋体" w:hAnsi="宋体" w:hint="eastAsia"/>
          <w:szCs w:val="21"/>
        </w:rPr>
        <w:t>网上现金认购以基金份额申请。单一账户每笔认购份额需为</w:t>
      </w:r>
      <w:r>
        <w:rPr>
          <w:rFonts w:ascii="宋体" w:hAnsi="宋体" w:hint="eastAsia"/>
          <w:szCs w:val="21"/>
        </w:rPr>
        <w:t>1,000</w:t>
      </w:r>
      <w:r>
        <w:rPr>
          <w:rFonts w:ascii="宋体" w:hAnsi="宋体" w:hint="eastAsia"/>
          <w:szCs w:val="21"/>
        </w:rPr>
        <w:t>份或其整数倍，并须遵循销售机构的相关规定。投资人可以多次认购，累计认购份额不设上限，但法律法规、监管要求以及本基金发售规模控制方案另有规定的除外。</w:t>
      </w:r>
    </w:p>
    <w:p w:rsidR="00000000" w:rsidRDefault="003B1ADD">
      <w:pPr>
        <w:snapToGrid w:val="0"/>
        <w:spacing w:line="360" w:lineRule="auto"/>
        <w:ind w:firstLineChars="200" w:firstLine="420"/>
        <w:rPr>
          <w:rFonts w:ascii="宋体" w:hAnsi="宋体"/>
        </w:rPr>
      </w:pPr>
      <w:r>
        <w:rPr>
          <w:rFonts w:ascii="宋体" w:hAnsi="宋体" w:hint="eastAsia"/>
        </w:rPr>
        <w:t>3</w:t>
      </w:r>
      <w:r>
        <w:rPr>
          <w:rFonts w:ascii="宋体" w:hAnsi="宋体" w:hint="eastAsia"/>
        </w:rPr>
        <w:t>、认购手续：投资人直接通过发售代理机构办理认购。</w:t>
      </w:r>
      <w:r>
        <w:rPr>
          <w:rFonts w:ascii="宋体" w:hAnsi="宋体"/>
        </w:rPr>
        <w:t xml:space="preserve"> </w:t>
      </w:r>
    </w:p>
    <w:p w:rsidR="00000000" w:rsidRDefault="003B1ADD">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）开立深圳证券交易所</w:t>
      </w:r>
      <w:r>
        <w:rPr>
          <w:rFonts w:ascii="宋体" w:hAnsi="宋体"/>
        </w:rPr>
        <w:t>A</w:t>
      </w:r>
      <w:r>
        <w:rPr>
          <w:rFonts w:ascii="宋体" w:hAnsi="宋体" w:hint="eastAsia"/>
        </w:rPr>
        <w:t>股账户或证券投资基金账户。</w:t>
      </w:r>
      <w:r>
        <w:rPr>
          <w:rFonts w:ascii="宋体" w:hAnsi="宋体"/>
        </w:rPr>
        <w:t xml:space="preserve"> </w:t>
      </w:r>
    </w:p>
    <w:p w:rsidR="00000000" w:rsidRDefault="003B1ADD">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）在认购前向资金账户中存入足够的认购资金。</w:t>
      </w:r>
      <w:r>
        <w:rPr>
          <w:rFonts w:ascii="宋体" w:hAnsi="宋体"/>
        </w:rPr>
        <w:t xml:space="preserve"> </w:t>
      </w:r>
    </w:p>
    <w:p w:rsidR="00000000" w:rsidRDefault="003B1ADD">
      <w:pPr>
        <w:snapToGrid w:val="0"/>
        <w:spacing w:line="360" w:lineRule="auto"/>
        <w:ind w:firstLineChars="200" w:firstLine="420"/>
        <w:rPr>
          <w:rFonts w:ascii="宋体" w:hAnsi="宋体"/>
        </w:rPr>
      </w:pPr>
      <w:r>
        <w:rPr>
          <w:rFonts w:ascii="宋体" w:hAnsi="宋体" w:hint="eastAsia"/>
        </w:rPr>
        <w:t>（</w:t>
      </w:r>
      <w:r>
        <w:rPr>
          <w:rFonts w:ascii="宋体" w:hAnsi="宋体" w:hint="eastAsia"/>
        </w:rPr>
        <w:t>3</w:t>
      </w:r>
      <w:r>
        <w:rPr>
          <w:rFonts w:ascii="宋体" w:hAnsi="宋体" w:hint="eastAsia"/>
        </w:rPr>
        <w:t>）投资人可通过填写认购委托单、电话委托、磁卡委托、网</w:t>
      </w:r>
      <w:r>
        <w:rPr>
          <w:rFonts w:ascii="宋体" w:hAnsi="宋体" w:hint="eastAsia"/>
        </w:rPr>
        <w:t>上委托等方式申报认购委托，可多次申报，申报一经确认，认购资金即被冻结。</w:t>
      </w:r>
      <w:r>
        <w:rPr>
          <w:rFonts w:ascii="宋体" w:hAnsi="宋体"/>
        </w:rPr>
        <w:t xml:space="preserve"> </w:t>
      </w:r>
    </w:p>
    <w:p w:rsidR="00000000" w:rsidRDefault="003B1ADD">
      <w:pPr>
        <w:snapToGrid w:val="0"/>
        <w:spacing w:line="360" w:lineRule="auto"/>
        <w:ind w:firstLineChars="200" w:firstLine="420"/>
        <w:rPr>
          <w:rFonts w:ascii="宋体" w:hAnsi="宋体"/>
        </w:rPr>
      </w:pPr>
      <w:r>
        <w:rPr>
          <w:rFonts w:ascii="宋体" w:hAnsi="宋体" w:hint="eastAsia"/>
        </w:rPr>
        <w:t>具体时间和认购手续以深圳证券交易所和发售代理机构的相关规则为准。</w:t>
      </w:r>
    </w:p>
    <w:p w:rsidR="00000000" w:rsidRDefault="003B1ADD"/>
    <w:p w:rsidR="00000000" w:rsidRDefault="003B1ADD">
      <w:pPr>
        <w:snapToGrid w:val="0"/>
        <w:spacing w:line="360" w:lineRule="auto"/>
        <w:ind w:firstLineChars="202" w:firstLine="426"/>
        <w:outlineLvl w:val="0"/>
        <w:rPr>
          <w:rFonts w:ascii="宋体" w:hAnsi="宋体"/>
          <w:b/>
        </w:rPr>
      </w:pPr>
      <w:r>
        <w:rPr>
          <w:rFonts w:ascii="宋体" w:hAnsi="宋体" w:hint="eastAsia"/>
          <w:b/>
        </w:rPr>
        <w:t>六、网下现金认购</w:t>
      </w:r>
      <w:r>
        <w:rPr>
          <w:rFonts w:ascii="宋体" w:hAnsi="宋体"/>
          <w:b/>
        </w:rPr>
        <w:t xml:space="preserve"> </w:t>
      </w:r>
    </w:p>
    <w:p w:rsidR="00000000" w:rsidRDefault="003B1ADD">
      <w:pPr>
        <w:snapToGrid w:val="0"/>
        <w:spacing w:line="360" w:lineRule="auto"/>
        <w:ind w:firstLineChars="200" w:firstLine="420"/>
        <w:rPr>
          <w:rFonts w:ascii="宋体" w:hAnsi="宋体"/>
        </w:rPr>
      </w:pPr>
      <w:r>
        <w:rPr>
          <w:rFonts w:ascii="宋体" w:hAnsi="宋体" w:hint="eastAsia"/>
        </w:rPr>
        <w:t>（一）直销机构</w:t>
      </w:r>
      <w:r>
        <w:rPr>
          <w:rFonts w:ascii="宋体" w:hAnsi="宋体"/>
        </w:rPr>
        <w:t xml:space="preserve"> </w:t>
      </w:r>
    </w:p>
    <w:p w:rsidR="00000000" w:rsidRDefault="003B1ADD">
      <w:pPr>
        <w:snapToGrid w:val="0"/>
        <w:spacing w:line="360" w:lineRule="auto"/>
        <w:ind w:firstLineChars="200" w:firstLine="420"/>
        <w:rPr>
          <w:rFonts w:ascii="宋体" w:hAnsi="宋体"/>
        </w:rPr>
      </w:pPr>
      <w:r>
        <w:rPr>
          <w:rFonts w:ascii="宋体" w:hAnsi="宋体" w:hint="eastAsia"/>
        </w:rPr>
        <w:t>1</w:t>
      </w:r>
      <w:r>
        <w:rPr>
          <w:rFonts w:ascii="宋体" w:hAnsi="宋体" w:hint="eastAsia"/>
        </w:rPr>
        <w:t>、认购时间：</w:t>
      </w:r>
      <w:r>
        <w:rPr>
          <w:rFonts w:ascii="宋体" w:hAnsi="宋体" w:hint="eastAsia"/>
        </w:rPr>
        <w:t>2026</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8</w:t>
      </w:r>
      <w:r>
        <w:rPr>
          <w:rFonts w:ascii="宋体" w:hAnsi="宋体" w:hint="eastAsia"/>
        </w:rPr>
        <w:t>日至</w:t>
      </w:r>
      <w:r>
        <w:rPr>
          <w:rFonts w:ascii="宋体" w:hAnsi="宋体" w:hint="eastAsia"/>
        </w:rPr>
        <w:t>2026</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21</w:t>
      </w:r>
      <w:r>
        <w:rPr>
          <w:rFonts w:ascii="宋体" w:hAnsi="宋体" w:hint="eastAsia"/>
        </w:rPr>
        <w:t>日（周六、周日和节假日不受理），具体业务办理时间由基金管理人确定。</w:t>
      </w:r>
    </w:p>
    <w:p w:rsidR="00000000" w:rsidRDefault="003B1ADD">
      <w:pPr>
        <w:snapToGrid w:val="0"/>
        <w:spacing w:line="360" w:lineRule="auto"/>
        <w:ind w:firstLineChars="200" w:firstLine="420"/>
        <w:rPr>
          <w:rFonts w:ascii="宋体" w:hAnsi="宋体"/>
          <w:szCs w:val="21"/>
        </w:rPr>
      </w:pPr>
      <w:r>
        <w:rPr>
          <w:rFonts w:ascii="宋体" w:hAnsi="宋体" w:hint="eastAsia"/>
        </w:rPr>
        <w:t>2</w:t>
      </w:r>
      <w:r>
        <w:rPr>
          <w:rFonts w:ascii="宋体" w:hAnsi="宋体" w:hint="eastAsia"/>
        </w:rPr>
        <w:t>、认购限额：</w:t>
      </w:r>
      <w:r>
        <w:rPr>
          <w:rFonts w:hAnsi="宋体" w:hint="eastAsia"/>
          <w:szCs w:val="15"/>
        </w:rPr>
        <w:t>网下现金认购以基金份额申请。投资人通过发售代理机构办理网下现金认购，每笔认购份额须为</w:t>
      </w:r>
      <w:r>
        <w:rPr>
          <w:rFonts w:hAnsi="宋体"/>
          <w:szCs w:val="15"/>
        </w:rPr>
        <w:t>1,000</w:t>
      </w:r>
      <w:r>
        <w:rPr>
          <w:rFonts w:hAnsi="宋体" w:hint="eastAsia"/>
          <w:szCs w:val="15"/>
        </w:rPr>
        <w:t>份或其整数倍；投资人通过基金管理人办理网下现金认购的，每笔认购份额须在</w:t>
      </w:r>
      <w:r>
        <w:rPr>
          <w:rFonts w:hAnsi="宋体"/>
          <w:szCs w:val="15"/>
        </w:rPr>
        <w:t>10</w:t>
      </w:r>
      <w:r>
        <w:rPr>
          <w:rFonts w:hAnsi="宋体" w:hint="eastAsia"/>
          <w:szCs w:val="15"/>
        </w:rPr>
        <w:t>万份以上（含</w:t>
      </w:r>
      <w:r>
        <w:rPr>
          <w:rFonts w:hAnsi="宋体"/>
          <w:szCs w:val="15"/>
        </w:rPr>
        <w:t>10</w:t>
      </w:r>
      <w:r>
        <w:rPr>
          <w:rFonts w:hAnsi="宋体" w:hint="eastAsia"/>
          <w:szCs w:val="15"/>
        </w:rPr>
        <w:t>万份）。</w:t>
      </w:r>
      <w:r>
        <w:rPr>
          <w:rFonts w:hint="eastAsia"/>
        </w:rPr>
        <w:t xml:space="preserve"> </w:t>
      </w:r>
      <w:r>
        <w:rPr>
          <w:rFonts w:hAnsi="宋体" w:hint="eastAsia"/>
          <w:szCs w:val="15"/>
        </w:rPr>
        <w:t>投资</w:t>
      </w:r>
      <w:r>
        <w:rPr>
          <w:rFonts w:hAnsi="宋体" w:hint="eastAsia"/>
          <w:szCs w:val="15"/>
        </w:rPr>
        <w:t>人可以多次认购，累计认购份额不设上限，但法律法规、监管要求以及本基金发售规模控制方案另有规定的除外。</w:t>
      </w:r>
    </w:p>
    <w:p w:rsidR="00000000" w:rsidRDefault="003B1ADD">
      <w:pPr>
        <w:snapToGrid w:val="0"/>
        <w:spacing w:line="360" w:lineRule="auto"/>
        <w:ind w:firstLineChars="200" w:firstLine="420"/>
        <w:rPr>
          <w:rFonts w:ascii="宋体" w:hAnsi="宋体"/>
        </w:rPr>
      </w:pPr>
      <w:r>
        <w:rPr>
          <w:rFonts w:ascii="宋体" w:hAnsi="宋体"/>
        </w:rPr>
        <w:t>3</w:t>
      </w:r>
      <w:r>
        <w:rPr>
          <w:rFonts w:ascii="宋体" w:hAnsi="宋体" w:hint="eastAsia"/>
        </w:rPr>
        <w:t>、认购手续：投资人到基金管理人直销柜台提供下列资料办理基金的认购手续：</w:t>
      </w:r>
    </w:p>
    <w:p w:rsidR="00000000" w:rsidRDefault="003B1ADD">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）个人投资者提供身份证件原件及复印件；</w:t>
      </w:r>
    </w:p>
    <w:p w:rsidR="00000000" w:rsidRDefault="003B1ADD">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机构投资者提供企业营业执照正本或副本原件及加盖单位公章的复印件；事业法人、社会团体或其他组织提供民政部门或主管部门颁发的注册登记证书原件及加盖单位公章的复印件；法定代表人授权委托；业务经办人有效身份证件原件及复印件（身份证或护照）；</w:t>
      </w:r>
    </w:p>
    <w:p w:rsidR="00000000" w:rsidRDefault="003B1ADD">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）深圳证券交易所</w:t>
      </w:r>
      <w:r>
        <w:rPr>
          <w:rFonts w:ascii="宋体" w:hAnsi="宋体"/>
        </w:rPr>
        <w:t>A</w:t>
      </w:r>
      <w:r>
        <w:rPr>
          <w:rFonts w:ascii="宋体" w:hAnsi="宋体" w:hint="eastAsia"/>
        </w:rPr>
        <w:t>股账户卡或证券投资基金账户卡（</w:t>
      </w:r>
      <w:r>
        <w:rPr>
          <w:rFonts w:ascii="宋体" w:hAnsi="宋体" w:hint="eastAsia"/>
        </w:rPr>
        <w:t>原件和复印件）；</w:t>
      </w:r>
    </w:p>
    <w:p w:rsidR="00000000" w:rsidRDefault="003B1ADD">
      <w:pPr>
        <w:snapToGrid w:val="0"/>
        <w:spacing w:line="360" w:lineRule="auto"/>
        <w:ind w:firstLineChars="200" w:firstLine="420"/>
        <w:rPr>
          <w:rFonts w:ascii="宋体" w:hAnsi="宋体"/>
        </w:rPr>
      </w:pPr>
      <w:r>
        <w:rPr>
          <w:rFonts w:ascii="宋体" w:hAnsi="宋体" w:hint="eastAsia"/>
        </w:rPr>
        <w:t>（</w:t>
      </w:r>
      <w:r>
        <w:rPr>
          <w:rFonts w:ascii="宋体" w:hAnsi="宋体"/>
        </w:rPr>
        <w:t>4</w:t>
      </w:r>
      <w:r>
        <w:rPr>
          <w:rFonts w:ascii="宋体" w:hAnsi="宋体" w:hint="eastAsia"/>
        </w:rPr>
        <w:t>）盖银行受理章的汇款凭证回单原件及复印件。</w:t>
      </w:r>
    </w:p>
    <w:p w:rsidR="00000000" w:rsidRDefault="003B1ADD">
      <w:pPr>
        <w:snapToGrid w:val="0"/>
        <w:spacing w:line="360" w:lineRule="auto"/>
        <w:ind w:firstLineChars="200" w:firstLine="420"/>
        <w:rPr>
          <w:rFonts w:ascii="宋体" w:hAnsi="宋体"/>
        </w:rPr>
      </w:pPr>
      <w:r>
        <w:rPr>
          <w:rFonts w:ascii="宋体" w:hAnsi="宋体"/>
        </w:rPr>
        <w:t>4</w:t>
      </w:r>
      <w:r>
        <w:rPr>
          <w:rFonts w:ascii="宋体" w:hAnsi="宋体" w:hint="eastAsia"/>
        </w:rPr>
        <w:t>、投资人办理认购前应将足额资金汇入南方基金管理股份有限公司直销清算账户。</w:t>
      </w:r>
    </w:p>
    <w:p w:rsidR="00000000" w:rsidRDefault="003B1ADD">
      <w:pPr>
        <w:snapToGrid w:val="0"/>
        <w:spacing w:line="360" w:lineRule="auto"/>
        <w:ind w:firstLineChars="200" w:firstLine="420"/>
        <w:rPr>
          <w:rFonts w:ascii="宋体" w:hAnsi="宋体"/>
        </w:rPr>
      </w:pPr>
      <w:r>
        <w:rPr>
          <w:rFonts w:ascii="宋体" w:hAnsi="宋体" w:hint="eastAsia"/>
        </w:rPr>
        <w:t>户名：南方基金管理股份有限公司销售专户</w:t>
      </w:r>
    </w:p>
    <w:p w:rsidR="00000000" w:rsidRDefault="003B1ADD">
      <w:pPr>
        <w:snapToGrid w:val="0"/>
        <w:spacing w:line="360" w:lineRule="auto"/>
        <w:ind w:firstLineChars="200" w:firstLine="420"/>
        <w:rPr>
          <w:rFonts w:ascii="宋体" w:hAnsi="宋体"/>
        </w:rPr>
      </w:pPr>
      <w:r>
        <w:rPr>
          <w:rFonts w:ascii="宋体" w:hAnsi="宋体" w:hint="eastAsia"/>
        </w:rPr>
        <w:t>开户银行：中国工商银行深圳市分行罗湖支行营业部</w:t>
      </w:r>
    </w:p>
    <w:p w:rsidR="00000000" w:rsidRDefault="003B1ADD">
      <w:pPr>
        <w:snapToGrid w:val="0"/>
        <w:spacing w:line="360" w:lineRule="auto"/>
        <w:ind w:firstLineChars="200" w:firstLine="420"/>
        <w:rPr>
          <w:rFonts w:ascii="宋体" w:hAnsi="宋体"/>
        </w:rPr>
      </w:pPr>
      <w:r>
        <w:rPr>
          <w:rFonts w:ascii="宋体" w:hAnsi="宋体" w:hint="eastAsia"/>
        </w:rPr>
        <w:t>银行账号：</w:t>
      </w:r>
      <w:r>
        <w:rPr>
          <w:rFonts w:ascii="宋体" w:hAnsi="宋体"/>
        </w:rPr>
        <w:t>4000020419200038011</w:t>
      </w:r>
    </w:p>
    <w:p w:rsidR="00000000" w:rsidRDefault="003B1ADD">
      <w:pPr>
        <w:snapToGrid w:val="0"/>
        <w:spacing w:line="360" w:lineRule="auto"/>
        <w:ind w:firstLineChars="200" w:firstLine="420"/>
        <w:rPr>
          <w:rFonts w:ascii="宋体" w:hAnsi="宋体"/>
        </w:rPr>
      </w:pPr>
      <w:r>
        <w:rPr>
          <w:rFonts w:ascii="宋体" w:hAnsi="宋体" w:hint="eastAsia"/>
        </w:rPr>
        <w:t>投资人所填写的票据在汇款用途中必须注明购买的基金名称和基金代码，并确保认购期间每日</w:t>
      </w:r>
      <w:r>
        <w:rPr>
          <w:rFonts w:ascii="宋体" w:hAnsi="宋体"/>
        </w:rPr>
        <w:t>16</w:t>
      </w:r>
      <w:r>
        <w:rPr>
          <w:rFonts w:ascii="宋体" w:hAnsi="宋体" w:hint="eastAsia"/>
        </w:rPr>
        <w:t>：</w:t>
      </w:r>
      <w:r>
        <w:rPr>
          <w:rFonts w:ascii="宋体" w:hAnsi="宋体"/>
        </w:rPr>
        <w:t>00</w:t>
      </w:r>
      <w:r>
        <w:rPr>
          <w:rFonts w:ascii="宋体" w:hAnsi="宋体" w:hint="eastAsia"/>
        </w:rPr>
        <w:t>前到账。</w:t>
      </w:r>
    </w:p>
    <w:p w:rsidR="00000000" w:rsidRDefault="003B1ADD">
      <w:pPr>
        <w:snapToGrid w:val="0"/>
        <w:spacing w:line="360" w:lineRule="auto"/>
        <w:ind w:firstLineChars="200" w:firstLine="420"/>
        <w:rPr>
          <w:rFonts w:ascii="宋体" w:hAnsi="宋体"/>
        </w:rPr>
      </w:pPr>
      <w:r>
        <w:rPr>
          <w:rFonts w:ascii="宋体" w:hAnsi="宋体"/>
        </w:rPr>
        <w:t>5</w:t>
      </w:r>
      <w:r>
        <w:rPr>
          <w:rFonts w:ascii="宋体" w:hAnsi="宋体" w:hint="eastAsia"/>
        </w:rPr>
        <w:t>、注意事项：</w:t>
      </w:r>
    </w:p>
    <w:p w:rsidR="00000000" w:rsidRDefault="003B1ADD">
      <w:pPr>
        <w:snapToGrid w:val="0"/>
        <w:spacing w:line="360" w:lineRule="auto"/>
        <w:ind w:firstLineChars="200" w:firstLine="420"/>
        <w:rPr>
          <w:rFonts w:ascii="宋体" w:hAnsi="宋体"/>
        </w:rPr>
      </w:pPr>
      <w:r>
        <w:rPr>
          <w:rFonts w:ascii="宋体" w:hAnsi="宋体" w:hint="eastAsia"/>
        </w:rPr>
        <w:t>（</w:t>
      </w:r>
      <w:r>
        <w:rPr>
          <w:rFonts w:ascii="宋体" w:hAnsi="宋体"/>
        </w:rPr>
        <w:t>1</w:t>
      </w:r>
      <w:r>
        <w:rPr>
          <w:rFonts w:ascii="宋体" w:hAnsi="宋体" w:hint="eastAsia"/>
        </w:rPr>
        <w:t>）投资人在认购时不能使用南方基金管理股份有限公司开放式基金账户，而需使用深圳证券交易所</w:t>
      </w:r>
      <w:r>
        <w:rPr>
          <w:rFonts w:ascii="宋体" w:hAnsi="宋体"/>
        </w:rPr>
        <w:t>A</w:t>
      </w:r>
      <w:r>
        <w:rPr>
          <w:rFonts w:ascii="宋体" w:hAnsi="宋体" w:hint="eastAsia"/>
        </w:rPr>
        <w:t>股账户卡或证券投资基金</w:t>
      </w:r>
      <w:r>
        <w:rPr>
          <w:rFonts w:ascii="宋体" w:hAnsi="宋体" w:hint="eastAsia"/>
        </w:rPr>
        <w:t>账户卡。</w:t>
      </w:r>
      <w:r>
        <w:rPr>
          <w:rFonts w:ascii="宋体" w:hAnsi="宋体"/>
        </w:rPr>
        <w:t xml:space="preserve"> </w:t>
      </w:r>
    </w:p>
    <w:p w:rsidR="00000000" w:rsidRDefault="003B1ADD">
      <w:pPr>
        <w:snapToGrid w:val="0"/>
        <w:spacing w:line="360" w:lineRule="auto"/>
        <w:ind w:firstLineChars="200" w:firstLine="420"/>
        <w:rPr>
          <w:rFonts w:ascii="宋体" w:hAnsi="宋体"/>
        </w:rPr>
      </w:pPr>
      <w:r>
        <w:rPr>
          <w:rFonts w:ascii="宋体" w:hAnsi="宋体" w:hint="eastAsia"/>
        </w:rPr>
        <w:t>（</w:t>
      </w:r>
      <w:r>
        <w:rPr>
          <w:rFonts w:ascii="宋体" w:hAnsi="宋体"/>
        </w:rPr>
        <w:t>2</w:t>
      </w:r>
      <w:r>
        <w:rPr>
          <w:rFonts w:ascii="宋体" w:hAnsi="宋体" w:hint="eastAsia"/>
        </w:rPr>
        <w:t>）若个人投资者的认购资金在认购申请当日</w:t>
      </w:r>
      <w:r>
        <w:rPr>
          <w:rFonts w:ascii="宋体" w:hAnsi="宋体"/>
        </w:rPr>
        <w:t>16</w:t>
      </w:r>
      <w:r>
        <w:rPr>
          <w:rFonts w:ascii="宋体" w:hAnsi="宋体" w:hint="eastAsia"/>
        </w:rPr>
        <w:t>：</w:t>
      </w:r>
      <w:r>
        <w:rPr>
          <w:rFonts w:ascii="宋体" w:hAnsi="宋体"/>
        </w:rPr>
        <w:t>00</w:t>
      </w:r>
      <w:r>
        <w:rPr>
          <w:rFonts w:ascii="宋体" w:hAnsi="宋体" w:hint="eastAsia"/>
        </w:rPr>
        <w:t>之前未到达本公司指定的直销资金专户，则当日提交的申请顺延受理。</w:t>
      </w:r>
      <w:r>
        <w:rPr>
          <w:rFonts w:ascii="宋体" w:hAnsi="宋体"/>
        </w:rPr>
        <w:t xml:space="preserve"> </w:t>
      </w:r>
    </w:p>
    <w:p w:rsidR="00000000" w:rsidRDefault="003B1ADD">
      <w:pPr>
        <w:snapToGrid w:val="0"/>
        <w:spacing w:line="360"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）投资人若未按上述规定划付款项，造成认购无效的，南方基金管理股份有限公司及直销柜台清算账户的开户银行不承担任何责任。</w:t>
      </w:r>
      <w:r>
        <w:rPr>
          <w:rFonts w:ascii="宋体" w:hAnsi="宋体"/>
        </w:rPr>
        <w:t xml:space="preserve"> </w:t>
      </w:r>
    </w:p>
    <w:p w:rsidR="00000000" w:rsidRDefault="003B1ADD">
      <w:pPr>
        <w:snapToGrid w:val="0"/>
        <w:spacing w:line="360" w:lineRule="auto"/>
        <w:ind w:firstLineChars="200" w:firstLine="420"/>
        <w:rPr>
          <w:rFonts w:ascii="宋体" w:hAnsi="宋体"/>
        </w:rPr>
      </w:pPr>
      <w:r>
        <w:rPr>
          <w:rFonts w:ascii="宋体" w:hAnsi="宋体" w:hint="eastAsia"/>
        </w:rPr>
        <w:t>（二）发售代理机构</w:t>
      </w:r>
      <w:r>
        <w:rPr>
          <w:rFonts w:ascii="宋体" w:hAnsi="宋体"/>
        </w:rPr>
        <w:t xml:space="preserve"> </w:t>
      </w:r>
    </w:p>
    <w:p w:rsidR="00000000" w:rsidRDefault="003B1ADD">
      <w:pPr>
        <w:snapToGrid w:val="0"/>
        <w:spacing w:line="360" w:lineRule="auto"/>
        <w:ind w:firstLineChars="200" w:firstLine="420"/>
        <w:rPr>
          <w:rFonts w:ascii="宋体" w:hAnsi="宋体"/>
        </w:rPr>
      </w:pPr>
      <w:r>
        <w:rPr>
          <w:rFonts w:ascii="宋体" w:hAnsi="宋体" w:hint="eastAsia"/>
        </w:rPr>
        <w:t>发售代理机构的销售网点以及认购等事项的详细情况请向各销售机构咨询。</w:t>
      </w:r>
    </w:p>
    <w:p w:rsidR="00000000" w:rsidRDefault="003B1ADD">
      <w:pPr>
        <w:snapToGrid w:val="0"/>
        <w:spacing w:line="360" w:lineRule="auto"/>
        <w:ind w:firstLineChars="200" w:firstLine="420"/>
        <w:rPr>
          <w:rFonts w:ascii="宋体" w:hAnsi="宋体"/>
        </w:rPr>
      </w:pPr>
    </w:p>
    <w:p w:rsidR="00000000" w:rsidRDefault="003B1ADD">
      <w:pPr>
        <w:snapToGrid w:val="0"/>
        <w:spacing w:line="360" w:lineRule="auto"/>
        <w:ind w:firstLineChars="202" w:firstLine="426"/>
        <w:outlineLvl w:val="0"/>
        <w:rPr>
          <w:rFonts w:ascii="宋体" w:hAnsi="宋体"/>
          <w:b/>
        </w:rPr>
      </w:pPr>
      <w:r>
        <w:rPr>
          <w:rFonts w:ascii="宋体" w:hAnsi="宋体" w:hint="eastAsia"/>
          <w:b/>
        </w:rPr>
        <w:t>七、清算与交割</w:t>
      </w:r>
    </w:p>
    <w:p w:rsidR="00000000" w:rsidRDefault="003B1ADD">
      <w:pPr>
        <w:snapToGrid w:val="0"/>
        <w:spacing w:line="360" w:lineRule="auto"/>
        <w:ind w:firstLineChars="200" w:firstLine="420"/>
        <w:rPr>
          <w:rFonts w:ascii="宋体" w:hAnsi="宋体"/>
        </w:rPr>
      </w:pPr>
      <w:r>
        <w:rPr>
          <w:rFonts w:ascii="宋体" w:hAnsi="宋体" w:hint="eastAsia"/>
        </w:rPr>
        <w:t>基金募集期间募集的资金存入专门账户，在基金募集行为结束前，任何人不得动用。有效认购款项在募集期间产生的利息将折算为基金份额归基金份额持有人所有，其中利</w:t>
      </w:r>
      <w:r>
        <w:rPr>
          <w:rFonts w:ascii="宋体" w:hAnsi="宋体" w:hint="eastAsia"/>
        </w:rPr>
        <w:t>息转份额以登记机构和</w:t>
      </w:r>
      <w:r>
        <w:rPr>
          <w:rFonts w:ascii="宋体" w:hAnsi="宋体" w:hint="eastAsia"/>
        </w:rPr>
        <w:t>/</w:t>
      </w:r>
      <w:r>
        <w:rPr>
          <w:rFonts w:ascii="宋体" w:hAnsi="宋体" w:hint="eastAsia"/>
        </w:rPr>
        <w:t>或基金管理人的记录为准。</w:t>
      </w:r>
    </w:p>
    <w:p w:rsidR="00000000" w:rsidRDefault="003B1ADD">
      <w:pPr>
        <w:snapToGrid w:val="0"/>
        <w:spacing w:line="360" w:lineRule="auto"/>
        <w:ind w:firstLineChars="200" w:firstLine="420"/>
        <w:rPr>
          <w:rFonts w:ascii="宋体" w:hAnsi="宋体"/>
        </w:rPr>
      </w:pPr>
    </w:p>
    <w:p w:rsidR="00000000" w:rsidRDefault="003B1ADD">
      <w:pPr>
        <w:snapToGrid w:val="0"/>
        <w:spacing w:line="360" w:lineRule="auto"/>
        <w:ind w:firstLineChars="202" w:firstLine="426"/>
        <w:outlineLvl w:val="0"/>
        <w:rPr>
          <w:rFonts w:ascii="宋体" w:hAnsi="宋体"/>
          <w:b/>
        </w:rPr>
      </w:pPr>
      <w:r>
        <w:rPr>
          <w:rFonts w:ascii="宋体" w:hAnsi="宋体" w:hint="eastAsia"/>
          <w:b/>
        </w:rPr>
        <w:t>八、基金的验资与基金合同的生效</w:t>
      </w:r>
    </w:p>
    <w:p w:rsidR="00000000" w:rsidRDefault="003B1ADD">
      <w:pPr>
        <w:pStyle w:val="ad"/>
        <w:autoSpaceDE w:val="0"/>
        <w:autoSpaceDN w:val="0"/>
        <w:adjustRightInd w:val="0"/>
        <w:snapToGrid w:val="0"/>
        <w:rPr>
          <w:rFonts w:ascii="宋体" w:hAnsi="宋体"/>
          <w:bCs/>
          <w:szCs w:val="21"/>
        </w:rPr>
      </w:pPr>
      <w:r>
        <w:rPr>
          <w:rFonts w:ascii="宋体" w:hAnsi="宋体" w:hint="eastAsia"/>
          <w:bCs/>
          <w:szCs w:val="21"/>
        </w:rPr>
        <w:t>本基金自基金份额发售之日起</w:t>
      </w:r>
      <w:r>
        <w:rPr>
          <w:rFonts w:ascii="宋体" w:hAnsi="宋体" w:hint="eastAsia"/>
          <w:bCs/>
          <w:szCs w:val="21"/>
        </w:rPr>
        <w:t>3</w:t>
      </w:r>
      <w:r>
        <w:rPr>
          <w:rFonts w:ascii="宋体" w:hAnsi="宋体" w:hint="eastAsia"/>
          <w:bCs/>
          <w:szCs w:val="21"/>
        </w:rPr>
        <w:t>个月内，在基金募集份额总额不少于</w:t>
      </w:r>
      <w:r>
        <w:rPr>
          <w:rFonts w:ascii="宋体" w:hAnsi="宋体" w:hint="eastAsia"/>
          <w:bCs/>
          <w:szCs w:val="21"/>
        </w:rPr>
        <w:t>2</w:t>
      </w:r>
      <w:r>
        <w:rPr>
          <w:rFonts w:ascii="宋体" w:hAnsi="宋体" w:hint="eastAsia"/>
          <w:bCs/>
          <w:szCs w:val="21"/>
        </w:rPr>
        <w:t>亿份，基金募集金额不少于</w:t>
      </w:r>
      <w:r>
        <w:rPr>
          <w:rFonts w:ascii="宋体" w:hAnsi="宋体" w:hint="eastAsia"/>
          <w:bCs/>
          <w:szCs w:val="21"/>
        </w:rPr>
        <w:t>2</w:t>
      </w:r>
      <w:r>
        <w:rPr>
          <w:rFonts w:ascii="宋体" w:hAnsi="宋体" w:hint="eastAsia"/>
          <w:bCs/>
          <w:szCs w:val="21"/>
        </w:rPr>
        <w:t>亿元人民币且基金认购人数不少于</w:t>
      </w:r>
      <w:r>
        <w:rPr>
          <w:rFonts w:ascii="宋体" w:hAnsi="宋体" w:hint="eastAsia"/>
          <w:bCs/>
          <w:szCs w:val="21"/>
        </w:rPr>
        <w:t>200</w:t>
      </w:r>
      <w:r>
        <w:rPr>
          <w:rFonts w:ascii="宋体" w:hAnsi="宋体" w:hint="eastAsia"/>
          <w:bCs/>
          <w:szCs w:val="21"/>
        </w:rPr>
        <w:t>人的条件下，基金募集期届满或基金管理人依据法律法规及招募说明书可以决定停止基金发售，并在</w:t>
      </w:r>
      <w:r>
        <w:rPr>
          <w:rFonts w:ascii="宋体" w:hAnsi="宋体" w:hint="eastAsia"/>
          <w:bCs/>
          <w:szCs w:val="21"/>
        </w:rPr>
        <w:t>10</w:t>
      </w:r>
      <w:r>
        <w:rPr>
          <w:rFonts w:ascii="宋体" w:hAnsi="宋体" w:hint="eastAsia"/>
          <w:bCs/>
          <w:szCs w:val="21"/>
        </w:rPr>
        <w:t>日内聘请法定验资机构验资，自收到验资报告之日起</w:t>
      </w:r>
      <w:r>
        <w:rPr>
          <w:rFonts w:ascii="宋体" w:hAnsi="宋体" w:hint="eastAsia"/>
          <w:bCs/>
          <w:szCs w:val="21"/>
        </w:rPr>
        <w:t>10</w:t>
      </w:r>
      <w:r>
        <w:rPr>
          <w:rFonts w:ascii="宋体" w:hAnsi="宋体" w:hint="eastAsia"/>
          <w:bCs/>
          <w:szCs w:val="21"/>
        </w:rPr>
        <w:t>日内，向中国证监会办理基金备案手续。</w:t>
      </w:r>
    </w:p>
    <w:p w:rsidR="00000000" w:rsidRDefault="003B1ADD">
      <w:pPr>
        <w:adjustRightInd w:val="0"/>
        <w:snapToGrid w:val="0"/>
        <w:spacing w:line="360" w:lineRule="auto"/>
        <w:ind w:firstLineChars="200" w:firstLine="420"/>
        <w:jc w:val="left"/>
        <w:rPr>
          <w:rFonts w:ascii="宋体" w:hAnsi="宋体"/>
          <w:bCs/>
          <w:szCs w:val="21"/>
        </w:rPr>
      </w:pPr>
      <w:r>
        <w:rPr>
          <w:rFonts w:ascii="宋体" w:hAnsi="宋体" w:hint="eastAsia"/>
          <w:bCs/>
          <w:szCs w:val="21"/>
        </w:rPr>
        <w:t>基金募集达到基金备案条件的，自基金管理人办理完毕基金备案手续并取得中国证监会书面确认之日起，《基金合同》生效；否则《基金合同》</w:t>
      </w:r>
      <w:r>
        <w:rPr>
          <w:rFonts w:ascii="宋体" w:hAnsi="宋体" w:hint="eastAsia"/>
          <w:bCs/>
          <w:szCs w:val="21"/>
        </w:rPr>
        <w:t>不生效。基金管理人在收到中国证监会确认文件的次日对《基金合同》生效事宜予以公告。基金管理人应将基金募集期间募集的资金存入专门账户，在基金募集行为结束前，任何人不得动用。</w:t>
      </w:r>
    </w:p>
    <w:p w:rsidR="00000000" w:rsidRDefault="003B1ADD">
      <w:pPr>
        <w:pStyle w:val="ad"/>
        <w:autoSpaceDE w:val="0"/>
        <w:autoSpaceDN w:val="0"/>
        <w:adjustRightInd w:val="0"/>
        <w:snapToGrid w:val="0"/>
        <w:rPr>
          <w:rFonts w:ascii="宋体" w:hAnsi="宋体"/>
          <w:bCs/>
          <w:szCs w:val="21"/>
        </w:rPr>
      </w:pPr>
      <w:r>
        <w:rPr>
          <w:rFonts w:ascii="宋体" w:hAnsi="宋体" w:hint="eastAsia"/>
          <w:bCs/>
          <w:szCs w:val="21"/>
        </w:rPr>
        <w:t>如果募集期限届满，未满足基金备案条件，基金管理人应当承担下列责任：</w:t>
      </w:r>
    </w:p>
    <w:p w:rsidR="00000000" w:rsidRDefault="003B1ADD">
      <w:pPr>
        <w:pStyle w:val="ad"/>
        <w:autoSpaceDE w:val="0"/>
        <w:autoSpaceDN w:val="0"/>
        <w:adjustRightInd w:val="0"/>
        <w:snapToGrid w:val="0"/>
        <w:rPr>
          <w:rFonts w:ascii="宋体" w:hAnsi="宋体"/>
          <w:bCs/>
          <w:szCs w:val="21"/>
        </w:rPr>
      </w:pPr>
      <w:r>
        <w:rPr>
          <w:rFonts w:ascii="宋体" w:hAnsi="宋体" w:hint="eastAsia"/>
          <w:bCs/>
          <w:szCs w:val="21"/>
        </w:rPr>
        <w:t>1</w:t>
      </w:r>
      <w:r>
        <w:rPr>
          <w:rFonts w:ascii="宋体" w:hAnsi="宋体" w:hint="eastAsia"/>
          <w:bCs/>
          <w:szCs w:val="21"/>
        </w:rPr>
        <w:t>、以其固有财产承担因募集行为而产生的债务和费用；</w:t>
      </w:r>
    </w:p>
    <w:p w:rsidR="00000000" w:rsidRDefault="003B1ADD">
      <w:pPr>
        <w:pStyle w:val="ad"/>
        <w:autoSpaceDE w:val="0"/>
        <w:autoSpaceDN w:val="0"/>
        <w:adjustRightInd w:val="0"/>
        <w:snapToGrid w:val="0"/>
        <w:rPr>
          <w:rFonts w:ascii="宋体" w:hAnsi="宋体"/>
          <w:bCs/>
          <w:szCs w:val="21"/>
        </w:rPr>
      </w:pPr>
      <w:r>
        <w:rPr>
          <w:rFonts w:ascii="宋体" w:hAnsi="宋体" w:hint="eastAsia"/>
          <w:bCs/>
          <w:szCs w:val="21"/>
        </w:rPr>
        <w:t>2</w:t>
      </w:r>
      <w:r>
        <w:rPr>
          <w:rFonts w:ascii="宋体" w:hAnsi="宋体" w:hint="eastAsia"/>
          <w:bCs/>
          <w:szCs w:val="21"/>
        </w:rPr>
        <w:t>、在基金募集期限届满后</w:t>
      </w:r>
      <w:r>
        <w:rPr>
          <w:rFonts w:ascii="宋体" w:hAnsi="宋体" w:hint="eastAsia"/>
          <w:bCs/>
          <w:szCs w:val="21"/>
        </w:rPr>
        <w:t>30</w:t>
      </w:r>
      <w:r>
        <w:rPr>
          <w:rFonts w:ascii="宋体" w:hAnsi="宋体" w:hint="eastAsia"/>
          <w:bCs/>
          <w:szCs w:val="21"/>
        </w:rPr>
        <w:t>日内返还投资人已缴纳的款项，并加计银行同期活期存款利息。登记机构及发售代理机构将协助基金管理人完成相关资金的退还工作；</w:t>
      </w:r>
    </w:p>
    <w:p w:rsidR="00000000" w:rsidRDefault="003B1ADD">
      <w:pPr>
        <w:adjustRightInd w:val="0"/>
        <w:snapToGrid w:val="0"/>
        <w:spacing w:line="360" w:lineRule="auto"/>
        <w:ind w:firstLineChars="200" w:firstLine="420"/>
        <w:rPr>
          <w:rFonts w:ascii="宋体" w:hAnsi="宋体"/>
          <w:bCs/>
          <w:szCs w:val="21"/>
        </w:rPr>
      </w:pPr>
      <w:r>
        <w:rPr>
          <w:rFonts w:ascii="宋体" w:hAnsi="宋体" w:hint="eastAsia"/>
          <w:bCs/>
          <w:szCs w:val="21"/>
        </w:rPr>
        <w:t>3</w:t>
      </w:r>
      <w:r>
        <w:rPr>
          <w:rFonts w:ascii="宋体" w:hAnsi="宋体" w:hint="eastAsia"/>
          <w:bCs/>
          <w:szCs w:val="21"/>
        </w:rPr>
        <w:t>、如基金募集失败，基金管理人、基金托管人及销售机构不得请求报酬。基金管理</w:t>
      </w:r>
      <w:r>
        <w:rPr>
          <w:rFonts w:ascii="宋体" w:hAnsi="宋体" w:hint="eastAsia"/>
          <w:bCs/>
          <w:szCs w:val="21"/>
        </w:rPr>
        <w:t>人、基金托管人和销售机构为基金募集支付之一切费用应由各方各自承担。</w:t>
      </w:r>
    </w:p>
    <w:p w:rsidR="00000000" w:rsidRDefault="003B1ADD">
      <w:pPr>
        <w:snapToGrid w:val="0"/>
        <w:spacing w:line="360" w:lineRule="auto"/>
        <w:ind w:firstLineChars="200" w:firstLine="420"/>
        <w:rPr>
          <w:rFonts w:ascii="宋体" w:hAnsi="宋体"/>
        </w:rPr>
      </w:pPr>
    </w:p>
    <w:p w:rsidR="00000000" w:rsidRDefault="003B1ADD">
      <w:pPr>
        <w:snapToGrid w:val="0"/>
        <w:spacing w:line="360" w:lineRule="auto"/>
        <w:ind w:firstLineChars="202" w:firstLine="426"/>
        <w:outlineLvl w:val="0"/>
        <w:rPr>
          <w:rFonts w:ascii="宋体" w:hAnsi="宋体"/>
          <w:b/>
        </w:rPr>
      </w:pPr>
      <w:r>
        <w:rPr>
          <w:rFonts w:ascii="宋体" w:hAnsi="宋体" w:hint="eastAsia"/>
          <w:b/>
        </w:rPr>
        <w:t>九、本次发售当事人或中介机构</w:t>
      </w:r>
    </w:p>
    <w:p w:rsidR="00000000" w:rsidRDefault="003B1ADD">
      <w:pPr>
        <w:snapToGrid w:val="0"/>
        <w:spacing w:line="360" w:lineRule="auto"/>
        <w:ind w:firstLineChars="200" w:firstLine="420"/>
        <w:rPr>
          <w:rFonts w:ascii="宋体" w:hAnsi="宋体"/>
          <w:color w:val="000000"/>
        </w:rPr>
      </w:pPr>
      <w:r>
        <w:rPr>
          <w:rFonts w:ascii="宋体" w:hAnsi="宋体"/>
          <w:color w:val="000000"/>
        </w:rPr>
        <w:t>（一）基金管理人</w:t>
      </w:r>
    </w:p>
    <w:p w:rsidR="00000000" w:rsidRDefault="003B1ADD">
      <w:pPr>
        <w:snapToGrid w:val="0"/>
        <w:spacing w:line="360" w:lineRule="auto"/>
        <w:ind w:firstLineChars="200" w:firstLine="420"/>
        <w:rPr>
          <w:rFonts w:ascii="宋体" w:hAnsi="宋体"/>
        </w:rPr>
      </w:pPr>
      <w:r>
        <w:rPr>
          <w:rFonts w:ascii="宋体" w:hAnsi="宋体"/>
        </w:rPr>
        <w:t>名称：南方基金管理股份有限公司</w:t>
      </w:r>
    </w:p>
    <w:p w:rsidR="00000000" w:rsidRDefault="003B1ADD">
      <w:pPr>
        <w:snapToGrid w:val="0"/>
        <w:spacing w:line="360" w:lineRule="auto"/>
        <w:ind w:firstLineChars="200" w:firstLine="420"/>
        <w:rPr>
          <w:rFonts w:ascii="宋体" w:hAnsi="宋体"/>
        </w:rPr>
      </w:pPr>
      <w:r>
        <w:rPr>
          <w:rFonts w:ascii="宋体" w:hAnsi="宋体"/>
        </w:rPr>
        <w:t>注册地址：</w:t>
      </w:r>
      <w:r>
        <w:rPr>
          <w:rFonts w:hint="eastAsia"/>
        </w:rPr>
        <w:t>深圳市福田区莲花街道益田路</w:t>
      </w:r>
      <w:r>
        <w:rPr>
          <w:rFonts w:hint="eastAsia"/>
        </w:rPr>
        <w:t>5999</w:t>
      </w:r>
      <w:r>
        <w:rPr>
          <w:rFonts w:hint="eastAsia"/>
        </w:rPr>
        <w:t>号基金大厦</w:t>
      </w:r>
      <w:r>
        <w:rPr>
          <w:rFonts w:hint="eastAsia"/>
        </w:rPr>
        <w:t>32-42</w:t>
      </w:r>
      <w:r>
        <w:rPr>
          <w:rFonts w:hint="eastAsia"/>
        </w:rPr>
        <w:t>楼</w:t>
      </w:r>
    </w:p>
    <w:p w:rsidR="00000000" w:rsidRDefault="003B1ADD">
      <w:pPr>
        <w:snapToGrid w:val="0"/>
        <w:spacing w:line="360" w:lineRule="auto"/>
        <w:ind w:firstLineChars="200" w:firstLine="420"/>
        <w:rPr>
          <w:rFonts w:ascii="宋体" w:hAnsi="宋体"/>
        </w:rPr>
      </w:pPr>
      <w:r>
        <w:rPr>
          <w:rFonts w:ascii="宋体" w:hAnsi="宋体"/>
        </w:rPr>
        <w:t>法定代表人：</w:t>
      </w:r>
      <w:r>
        <w:rPr>
          <w:rFonts w:ascii="宋体" w:hAnsi="宋体" w:hint="eastAsia"/>
        </w:rPr>
        <w:t>周易</w:t>
      </w:r>
    </w:p>
    <w:p w:rsidR="00000000" w:rsidRDefault="003B1ADD">
      <w:pPr>
        <w:snapToGrid w:val="0"/>
        <w:spacing w:line="360" w:lineRule="auto"/>
        <w:ind w:firstLineChars="200" w:firstLine="420"/>
        <w:rPr>
          <w:rFonts w:ascii="宋体" w:hAnsi="宋体"/>
        </w:rPr>
      </w:pPr>
      <w:r>
        <w:rPr>
          <w:rFonts w:ascii="宋体" w:hAnsi="宋体"/>
        </w:rPr>
        <w:t>成立时间：</w:t>
      </w:r>
      <w:r>
        <w:rPr>
          <w:rFonts w:ascii="宋体" w:hAnsi="宋体"/>
        </w:rPr>
        <w:t>1998</w:t>
      </w:r>
      <w:r>
        <w:rPr>
          <w:rFonts w:ascii="宋体" w:hAnsi="宋体"/>
        </w:rPr>
        <w:t>年</w:t>
      </w:r>
      <w:r>
        <w:rPr>
          <w:rFonts w:ascii="宋体" w:hAnsi="宋体"/>
        </w:rPr>
        <w:t>3</w:t>
      </w:r>
      <w:r>
        <w:rPr>
          <w:rFonts w:ascii="宋体" w:hAnsi="宋体"/>
        </w:rPr>
        <w:t>月</w:t>
      </w:r>
      <w:r>
        <w:rPr>
          <w:rFonts w:ascii="宋体" w:hAnsi="宋体"/>
        </w:rPr>
        <w:t>6</w:t>
      </w:r>
      <w:r>
        <w:rPr>
          <w:rFonts w:ascii="宋体" w:hAnsi="宋体"/>
        </w:rPr>
        <w:t>日</w:t>
      </w:r>
    </w:p>
    <w:p w:rsidR="00000000" w:rsidRDefault="003B1ADD">
      <w:pPr>
        <w:snapToGrid w:val="0"/>
        <w:spacing w:line="360" w:lineRule="auto"/>
        <w:ind w:firstLineChars="200" w:firstLine="420"/>
        <w:rPr>
          <w:rFonts w:ascii="宋体" w:hAnsi="宋体"/>
        </w:rPr>
      </w:pPr>
      <w:r>
        <w:rPr>
          <w:rFonts w:ascii="宋体" w:hAnsi="宋体"/>
        </w:rPr>
        <w:t>电话：（</w:t>
      </w:r>
      <w:r>
        <w:rPr>
          <w:rFonts w:ascii="宋体" w:hAnsi="宋体"/>
        </w:rPr>
        <w:t>0755</w:t>
      </w:r>
      <w:r>
        <w:rPr>
          <w:rFonts w:ascii="宋体" w:hAnsi="宋体"/>
        </w:rPr>
        <w:t>）</w:t>
      </w:r>
      <w:r>
        <w:rPr>
          <w:rFonts w:ascii="宋体" w:hAnsi="宋体"/>
        </w:rPr>
        <w:t>82763888</w:t>
      </w:r>
    </w:p>
    <w:p w:rsidR="00000000" w:rsidRDefault="003B1ADD">
      <w:pPr>
        <w:snapToGrid w:val="0"/>
        <w:spacing w:line="360" w:lineRule="auto"/>
        <w:ind w:firstLineChars="200" w:firstLine="420"/>
        <w:rPr>
          <w:rFonts w:ascii="宋体" w:hAnsi="宋体"/>
        </w:rPr>
      </w:pPr>
      <w:r>
        <w:rPr>
          <w:rFonts w:ascii="宋体" w:hAnsi="宋体"/>
        </w:rPr>
        <w:t>传真：（</w:t>
      </w:r>
      <w:r>
        <w:rPr>
          <w:rFonts w:ascii="宋体" w:hAnsi="宋体"/>
        </w:rPr>
        <w:t>0755</w:t>
      </w:r>
      <w:r>
        <w:rPr>
          <w:rFonts w:ascii="宋体" w:hAnsi="宋体"/>
        </w:rPr>
        <w:t>）</w:t>
      </w:r>
      <w:r>
        <w:rPr>
          <w:rFonts w:ascii="宋体" w:hAnsi="宋体"/>
        </w:rPr>
        <w:t>82763889</w:t>
      </w:r>
    </w:p>
    <w:p w:rsidR="00000000" w:rsidRDefault="003B1ADD">
      <w:pPr>
        <w:snapToGrid w:val="0"/>
        <w:spacing w:line="360" w:lineRule="auto"/>
        <w:ind w:firstLineChars="200" w:firstLine="420"/>
        <w:rPr>
          <w:rFonts w:ascii="宋体" w:hAnsi="宋体"/>
          <w:color w:val="000000"/>
        </w:rPr>
      </w:pPr>
      <w:r>
        <w:rPr>
          <w:rFonts w:ascii="宋体" w:hAnsi="宋体"/>
          <w:color w:val="000000"/>
        </w:rPr>
        <w:t>（二）基金托管人</w:t>
      </w:r>
    </w:p>
    <w:p w:rsidR="00000000" w:rsidRDefault="003B1ADD">
      <w:pPr>
        <w:adjustRightInd w:val="0"/>
        <w:snapToGrid w:val="0"/>
        <w:spacing w:line="360" w:lineRule="auto"/>
        <w:ind w:firstLineChars="200" w:firstLine="420"/>
        <w:rPr>
          <w:rFonts w:ascii="宋体" w:hAnsi="宋体"/>
          <w:bCs/>
        </w:rPr>
      </w:pPr>
      <w:r>
        <w:rPr>
          <w:rFonts w:ascii="宋体" w:hAnsi="宋体" w:hint="eastAsia"/>
        </w:rPr>
        <w:t>名称：招商银行股份有限公司</w:t>
      </w:r>
    </w:p>
    <w:p w:rsidR="00000000" w:rsidRDefault="003B1ADD">
      <w:pPr>
        <w:adjustRightInd w:val="0"/>
        <w:snapToGrid w:val="0"/>
        <w:spacing w:line="360" w:lineRule="auto"/>
        <w:ind w:firstLineChars="200" w:firstLine="420"/>
        <w:rPr>
          <w:rFonts w:ascii="宋体" w:hAnsi="宋体"/>
          <w:bCs/>
        </w:rPr>
      </w:pPr>
      <w:r>
        <w:rPr>
          <w:rFonts w:ascii="宋体" w:hAnsi="宋体" w:hint="eastAsia"/>
        </w:rPr>
        <w:t>设立日期：</w:t>
      </w:r>
      <w:r>
        <w:rPr>
          <w:rFonts w:ascii="宋体" w:hAnsi="宋体" w:hint="eastAsia"/>
        </w:rPr>
        <w:t>1987</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8</w:t>
      </w:r>
      <w:r>
        <w:rPr>
          <w:rFonts w:ascii="宋体" w:hAnsi="宋体" w:hint="eastAsia"/>
        </w:rPr>
        <w:t>日</w:t>
      </w:r>
    </w:p>
    <w:p w:rsidR="00000000" w:rsidRDefault="003B1ADD">
      <w:pPr>
        <w:adjustRightInd w:val="0"/>
        <w:snapToGrid w:val="0"/>
        <w:spacing w:line="360" w:lineRule="auto"/>
        <w:ind w:firstLineChars="200" w:firstLine="420"/>
        <w:rPr>
          <w:rFonts w:ascii="宋体" w:hAnsi="宋体"/>
          <w:bCs/>
        </w:rPr>
      </w:pPr>
      <w:r>
        <w:rPr>
          <w:rFonts w:ascii="宋体" w:hAnsi="宋体" w:hint="eastAsia"/>
        </w:rPr>
        <w:t>注册地址：深圳市深南大道</w:t>
      </w:r>
      <w:r>
        <w:rPr>
          <w:rFonts w:ascii="宋体" w:hAnsi="宋体" w:hint="eastAsia"/>
        </w:rPr>
        <w:t>7088</w:t>
      </w:r>
      <w:r>
        <w:rPr>
          <w:rFonts w:ascii="宋体" w:hAnsi="宋体" w:hint="eastAsia"/>
        </w:rPr>
        <w:t>号招商银行大厦</w:t>
      </w:r>
    </w:p>
    <w:p w:rsidR="00000000" w:rsidRDefault="003B1ADD">
      <w:pPr>
        <w:adjustRightInd w:val="0"/>
        <w:snapToGrid w:val="0"/>
        <w:spacing w:line="360" w:lineRule="auto"/>
        <w:ind w:firstLineChars="200" w:firstLine="420"/>
        <w:rPr>
          <w:rFonts w:ascii="宋体" w:hAnsi="宋体"/>
          <w:bCs/>
        </w:rPr>
      </w:pPr>
      <w:r>
        <w:rPr>
          <w:rFonts w:ascii="宋体" w:hAnsi="宋体" w:hint="eastAsia"/>
        </w:rPr>
        <w:t>办公地址：深圳市深南大道</w:t>
      </w:r>
      <w:r>
        <w:rPr>
          <w:rFonts w:ascii="宋体" w:hAnsi="宋体" w:hint="eastAsia"/>
        </w:rPr>
        <w:t>7088</w:t>
      </w:r>
      <w:r>
        <w:rPr>
          <w:rFonts w:ascii="宋体" w:hAnsi="宋体" w:hint="eastAsia"/>
        </w:rPr>
        <w:t>号招商银行大厦</w:t>
      </w:r>
    </w:p>
    <w:p w:rsidR="00000000" w:rsidRDefault="003B1ADD">
      <w:pPr>
        <w:adjustRightInd w:val="0"/>
        <w:snapToGrid w:val="0"/>
        <w:spacing w:line="360" w:lineRule="auto"/>
        <w:ind w:firstLineChars="200" w:firstLine="420"/>
        <w:rPr>
          <w:rFonts w:ascii="宋体" w:hAnsi="宋体"/>
          <w:bCs/>
        </w:rPr>
      </w:pPr>
      <w:r>
        <w:rPr>
          <w:rFonts w:ascii="宋体" w:hAnsi="宋体" w:hint="eastAsia"/>
        </w:rPr>
        <w:t>注</w:t>
      </w:r>
      <w:r>
        <w:rPr>
          <w:rFonts w:ascii="宋体" w:hAnsi="宋体" w:hint="eastAsia"/>
        </w:rPr>
        <w:t>册资本：</w:t>
      </w:r>
      <w:r>
        <w:rPr>
          <w:rFonts w:ascii="宋体" w:hAnsi="宋体" w:hint="eastAsia"/>
        </w:rPr>
        <w:t>252.20</w:t>
      </w:r>
      <w:r>
        <w:rPr>
          <w:rFonts w:ascii="宋体" w:hAnsi="宋体" w:hint="eastAsia"/>
        </w:rPr>
        <w:t>亿元</w:t>
      </w:r>
    </w:p>
    <w:p w:rsidR="00000000" w:rsidRDefault="003B1ADD">
      <w:pPr>
        <w:adjustRightInd w:val="0"/>
        <w:snapToGrid w:val="0"/>
        <w:spacing w:line="360" w:lineRule="auto"/>
        <w:ind w:firstLineChars="200" w:firstLine="420"/>
        <w:rPr>
          <w:rFonts w:ascii="宋体" w:hAnsi="宋体"/>
          <w:bCs/>
        </w:rPr>
      </w:pPr>
      <w:r>
        <w:rPr>
          <w:rFonts w:ascii="宋体" w:hAnsi="宋体" w:hint="eastAsia"/>
        </w:rPr>
        <w:t>法定代表人：缪建民</w:t>
      </w:r>
    </w:p>
    <w:p w:rsidR="00000000" w:rsidRDefault="003B1ADD">
      <w:pPr>
        <w:adjustRightInd w:val="0"/>
        <w:snapToGrid w:val="0"/>
        <w:spacing w:line="360" w:lineRule="auto"/>
        <w:ind w:firstLineChars="200" w:firstLine="420"/>
        <w:rPr>
          <w:rFonts w:ascii="宋体" w:hAnsi="宋体"/>
          <w:bCs/>
        </w:rPr>
      </w:pPr>
      <w:r>
        <w:rPr>
          <w:rFonts w:ascii="宋体" w:hAnsi="宋体" w:hint="eastAsia"/>
        </w:rPr>
        <w:t>行长：王良</w:t>
      </w:r>
    </w:p>
    <w:p w:rsidR="00000000" w:rsidRDefault="003B1ADD">
      <w:pPr>
        <w:adjustRightInd w:val="0"/>
        <w:snapToGrid w:val="0"/>
        <w:spacing w:line="360" w:lineRule="auto"/>
        <w:ind w:firstLineChars="200" w:firstLine="420"/>
        <w:rPr>
          <w:rFonts w:ascii="宋体" w:hAnsi="宋体"/>
          <w:bCs/>
        </w:rPr>
      </w:pPr>
      <w:r>
        <w:rPr>
          <w:rFonts w:ascii="宋体" w:hAnsi="宋体" w:hint="eastAsia"/>
        </w:rPr>
        <w:t>资产托管业务批准文号：证监基金字</w:t>
      </w:r>
      <w:r>
        <w:rPr>
          <w:rFonts w:ascii="宋体" w:hAnsi="宋体" w:hint="eastAsia"/>
        </w:rPr>
        <w:t>[2002]83</w:t>
      </w:r>
      <w:r>
        <w:rPr>
          <w:rFonts w:ascii="宋体" w:hAnsi="宋体" w:hint="eastAsia"/>
        </w:rPr>
        <w:t>号</w:t>
      </w:r>
    </w:p>
    <w:p w:rsidR="00000000" w:rsidRDefault="003B1ADD">
      <w:pPr>
        <w:adjustRightInd w:val="0"/>
        <w:snapToGrid w:val="0"/>
        <w:spacing w:line="360" w:lineRule="auto"/>
        <w:ind w:firstLineChars="200" w:firstLine="420"/>
        <w:rPr>
          <w:rFonts w:ascii="宋体" w:hAnsi="宋体"/>
          <w:bCs/>
        </w:rPr>
      </w:pPr>
      <w:r>
        <w:rPr>
          <w:rFonts w:ascii="宋体" w:hAnsi="宋体" w:hint="eastAsia"/>
        </w:rPr>
        <w:t>电话：</w:t>
      </w:r>
      <w:r>
        <w:rPr>
          <w:rFonts w:ascii="宋体" w:hAnsi="宋体" w:hint="eastAsia"/>
        </w:rPr>
        <w:t>4006195555</w:t>
      </w:r>
    </w:p>
    <w:p w:rsidR="00000000" w:rsidRDefault="003B1ADD">
      <w:pPr>
        <w:adjustRightInd w:val="0"/>
        <w:snapToGrid w:val="0"/>
        <w:spacing w:line="360" w:lineRule="auto"/>
        <w:ind w:firstLineChars="200" w:firstLine="420"/>
        <w:rPr>
          <w:rFonts w:ascii="宋体" w:hAnsi="宋体"/>
          <w:bCs/>
        </w:rPr>
      </w:pPr>
      <w:r>
        <w:rPr>
          <w:rFonts w:ascii="宋体" w:hAnsi="宋体" w:hint="eastAsia"/>
        </w:rPr>
        <w:t>传真：</w:t>
      </w:r>
      <w:r>
        <w:rPr>
          <w:rFonts w:ascii="宋体" w:hAnsi="宋体" w:hint="eastAsia"/>
        </w:rPr>
        <w:t>0755-83195201</w:t>
      </w:r>
    </w:p>
    <w:p w:rsidR="00000000" w:rsidRDefault="003B1ADD">
      <w:pPr>
        <w:adjustRightInd w:val="0"/>
        <w:snapToGrid w:val="0"/>
        <w:spacing w:line="360" w:lineRule="auto"/>
        <w:ind w:firstLineChars="200" w:firstLine="420"/>
        <w:rPr>
          <w:rFonts w:ascii="宋体" w:hAnsi="宋体"/>
          <w:bCs/>
        </w:rPr>
      </w:pPr>
      <w:r>
        <w:rPr>
          <w:rFonts w:ascii="宋体" w:hAnsi="宋体" w:hint="eastAsia"/>
        </w:rPr>
        <w:t>资产托管部信息披露负责人：张姗</w:t>
      </w:r>
    </w:p>
    <w:p w:rsidR="00000000" w:rsidRDefault="003B1ADD">
      <w:pPr>
        <w:snapToGrid w:val="0"/>
        <w:spacing w:line="360" w:lineRule="auto"/>
        <w:ind w:firstLineChars="200" w:firstLine="420"/>
        <w:rPr>
          <w:rFonts w:ascii="宋体" w:hAnsi="宋体"/>
          <w:color w:val="000000"/>
        </w:rPr>
      </w:pPr>
      <w:r>
        <w:rPr>
          <w:rFonts w:ascii="宋体" w:hAnsi="宋体"/>
          <w:color w:val="000000"/>
        </w:rPr>
        <w:t>（三）销售机构</w:t>
      </w:r>
    </w:p>
    <w:p w:rsidR="00000000" w:rsidRDefault="003B1ADD">
      <w:pPr>
        <w:snapToGrid w:val="0"/>
        <w:spacing w:line="360" w:lineRule="auto"/>
        <w:ind w:firstLineChars="202" w:firstLine="424"/>
        <w:rPr>
          <w:rFonts w:ascii="宋体" w:hAnsi="宋体"/>
        </w:rPr>
      </w:pPr>
      <w:r>
        <w:rPr>
          <w:rFonts w:ascii="宋体" w:hAnsi="宋体"/>
        </w:rPr>
        <w:t>1</w:t>
      </w:r>
      <w:r>
        <w:rPr>
          <w:rFonts w:ascii="宋体" w:hAnsi="宋体" w:hint="eastAsia"/>
        </w:rPr>
        <w:t>、网下现金销售机构</w:t>
      </w:r>
    </w:p>
    <w:p w:rsidR="00000000" w:rsidRDefault="003B1ADD">
      <w:pPr>
        <w:snapToGrid w:val="0"/>
        <w:spacing w:line="360" w:lineRule="auto"/>
        <w:ind w:firstLineChars="202" w:firstLine="424"/>
        <w:rPr>
          <w:rFonts w:ascii="宋体" w:hAnsi="宋体"/>
          <w:color w:val="000000"/>
        </w:rPr>
      </w:pPr>
      <w:r>
        <w:rPr>
          <w:rFonts w:ascii="宋体" w:hAnsi="宋体"/>
          <w:color w:val="000000"/>
        </w:rPr>
        <w:t>直销机构</w:t>
      </w:r>
    </w:p>
    <w:p w:rsidR="00000000" w:rsidRDefault="003B1ADD">
      <w:pPr>
        <w:autoSpaceDE w:val="0"/>
        <w:autoSpaceDN w:val="0"/>
        <w:adjustRightInd w:val="0"/>
        <w:snapToGrid w:val="0"/>
        <w:spacing w:line="360" w:lineRule="auto"/>
        <w:ind w:firstLineChars="200" w:firstLine="420"/>
        <w:rPr>
          <w:rFonts w:ascii="宋体" w:hAnsi="宋体"/>
        </w:rPr>
      </w:pPr>
      <w:bookmarkStart w:id="2" w:name="_Hlk143090611"/>
      <w:r>
        <w:rPr>
          <w:rFonts w:ascii="宋体" w:hAnsi="宋体"/>
        </w:rPr>
        <w:t>南方基金管理股份有限公司</w:t>
      </w:r>
      <w:r>
        <w:rPr>
          <w:rFonts w:ascii="宋体" w:hAnsi="宋体" w:hint="eastAsia"/>
        </w:rPr>
        <w:t>直销柜台</w:t>
      </w:r>
    </w:p>
    <w:p w:rsidR="00000000" w:rsidRDefault="003B1ADD">
      <w:pPr>
        <w:snapToGrid w:val="0"/>
        <w:spacing w:line="360" w:lineRule="auto"/>
        <w:ind w:firstLineChars="200" w:firstLine="420"/>
        <w:rPr>
          <w:rFonts w:ascii="宋体" w:hAnsi="宋体"/>
        </w:rPr>
      </w:pPr>
      <w:r>
        <w:rPr>
          <w:rFonts w:ascii="宋体" w:hAnsi="宋体"/>
        </w:rPr>
        <w:t>注册地址：</w:t>
      </w:r>
      <w:r>
        <w:rPr>
          <w:rFonts w:hint="eastAsia"/>
        </w:rPr>
        <w:t>深圳市福田区莲花街道益田路</w:t>
      </w:r>
      <w:r>
        <w:rPr>
          <w:rFonts w:hint="eastAsia"/>
        </w:rPr>
        <w:t>5999</w:t>
      </w:r>
      <w:r>
        <w:rPr>
          <w:rFonts w:hint="eastAsia"/>
        </w:rPr>
        <w:t>号基金大厦</w:t>
      </w:r>
      <w:r>
        <w:rPr>
          <w:rFonts w:hint="eastAsia"/>
        </w:rPr>
        <w:t>32-42</w:t>
      </w:r>
      <w:r>
        <w:rPr>
          <w:rFonts w:hint="eastAsia"/>
        </w:rPr>
        <w:t>楼</w:t>
      </w:r>
    </w:p>
    <w:p w:rsidR="00000000" w:rsidRDefault="003B1ADD">
      <w:pPr>
        <w:snapToGrid w:val="0"/>
        <w:spacing w:line="360" w:lineRule="auto"/>
        <w:ind w:firstLineChars="200" w:firstLine="420"/>
        <w:rPr>
          <w:rFonts w:ascii="宋体" w:hAnsi="宋体"/>
        </w:rPr>
      </w:pPr>
      <w:r>
        <w:rPr>
          <w:rFonts w:ascii="宋体" w:hAnsi="宋体"/>
        </w:rPr>
        <w:t>法定代表人：</w:t>
      </w:r>
      <w:r>
        <w:rPr>
          <w:rFonts w:ascii="宋体" w:hAnsi="宋体" w:hint="eastAsia"/>
        </w:rPr>
        <w:t>周易</w:t>
      </w:r>
    </w:p>
    <w:p w:rsidR="00000000" w:rsidRDefault="003B1ADD">
      <w:pPr>
        <w:snapToGrid w:val="0"/>
        <w:spacing w:line="360" w:lineRule="auto"/>
        <w:ind w:firstLineChars="200" w:firstLine="420"/>
        <w:rPr>
          <w:rFonts w:ascii="宋体" w:hAnsi="宋体"/>
        </w:rPr>
      </w:pPr>
      <w:r>
        <w:rPr>
          <w:rFonts w:ascii="宋体" w:hAnsi="宋体"/>
        </w:rPr>
        <w:t>电话：（</w:t>
      </w:r>
      <w:r>
        <w:rPr>
          <w:rFonts w:ascii="宋体" w:hAnsi="宋体"/>
        </w:rPr>
        <w:t>0755</w:t>
      </w:r>
      <w:r>
        <w:rPr>
          <w:rFonts w:ascii="宋体" w:hAnsi="宋体"/>
        </w:rPr>
        <w:t>）</w:t>
      </w:r>
      <w:r>
        <w:rPr>
          <w:rFonts w:ascii="宋体" w:hAnsi="宋体"/>
        </w:rPr>
        <w:t>82763905</w:t>
      </w:r>
    </w:p>
    <w:p w:rsidR="00000000" w:rsidRDefault="003B1ADD">
      <w:pPr>
        <w:snapToGrid w:val="0"/>
        <w:spacing w:line="360" w:lineRule="auto"/>
        <w:ind w:firstLineChars="200" w:firstLine="420"/>
        <w:rPr>
          <w:rFonts w:ascii="宋体" w:hAnsi="宋体"/>
        </w:rPr>
      </w:pPr>
      <w:r>
        <w:rPr>
          <w:rFonts w:ascii="宋体" w:hAnsi="宋体"/>
        </w:rPr>
        <w:t>传真：（</w:t>
      </w:r>
      <w:r>
        <w:rPr>
          <w:rFonts w:ascii="宋体" w:hAnsi="宋体"/>
        </w:rPr>
        <w:t>0755</w:t>
      </w:r>
      <w:r>
        <w:rPr>
          <w:rFonts w:ascii="宋体" w:hAnsi="宋体"/>
        </w:rPr>
        <w:t>）</w:t>
      </w:r>
      <w:r>
        <w:rPr>
          <w:rFonts w:ascii="宋体" w:hAnsi="宋体"/>
        </w:rPr>
        <w:t>82763900</w:t>
      </w:r>
    </w:p>
    <w:p w:rsidR="00000000" w:rsidRDefault="003B1ADD">
      <w:pPr>
        <w:snapToGrid w:val="0"/>
        <w:spacing w:line="360" w:lineRule="auto"/>
        <w:ind w:firstLineChars="200" w:firstLine="420"/>
        <w:rPr>
          <w:rFonts w:ascii="宋体" w:hAnsi="宋体"/>
        </w:rPr>
      </w:pPr>
      <w:r>
        <w:rPr>
          <w:rFonts w:ascii="宋体" w:hAnsi="宋体"/>
        </w:rPr>
        <w:t>联系人：</w:t>
      </w:r>
      <w:r>
        <w:rPr>
          <w:rFonts w:ascii="宋体" w:hAnsi="宋体" w:hint="eastAsia"/>
        </w:rPr>
        <w:t>高婷</w:t>
      </w:r>
    </w:p>
    <w:bookmarkEnd w:id="2"/>
    <w:p w:rsidR="00000000" w:rsidRDefault="003B1ADD">
      <w:pPr>
        <w:snapToGrid w:val="0"/>
        <w:spacing w:line="360" w:lineRule="auto"/>
        <w:ind w:firstLineChars="202" w:firstLine="424"/>
        <w:rPr>
          <w:rFonts w:ascii="宋体" w:hAnsi="宋体"/>
        </w:rPr>
      </w:pPr>
      <w:r>
        <w:rPr>
          <w:rFonts w:ascii="宋体" w:hAnsi="宋体"/>
        </w:rPr>
        <w:t>2</w:t>
      </w:r>
      <w:r>
        <w:rPr>
          <w:rFonts w:ascii="宋体" w:hAnsi="宋体" w:hint="eastAsia"/>
        </w:rPr>
        <w:t>、网上现金销售机构</w:t>
      </w:r>
      <w:r>
        <w:rPr>
          <w:rFonts w:ascii="宋体" w:hAnsi="宋体" w:hint="eastAsia"/>
        </w:rPr>
        <w:t xml:space="preserve"> </w:t>
      </w:r>
    </w:p>
    <w:p w:rsidR="00000000" w:rsidRDefault="003B1ADD">
      <w:pPr>
        <w:snapToGrid w:val="0"/>
        <w:spacing w:line="360" w:lineRule="auto"/>
        <w:ind w:firstLineChars="202" w:firstLine="424"/>
        <w:rPr>
          <w:rFonts w:ascii="宋体" w:hAnsi="宋体"/>
        </w:rPr>
      </w:pPr>
      <w:r>
        <w:rPr>
          <w:rFonts w:ascii="宋体" w:hAnsi="宋体" w:hint="eastAsia"/>
        </w:rPr>
        <w:t>（</w:t>
      </w:r>
      <w:r>
        <w:rPr>
          <w:rFonts w:ascii="宋体" w:hAnsi="宋体" w:hint="eastAsia"/>
        </w:rPr>
        <w:t>1</w:t>
      </w:r>
      <w:r>
        <w:rPr>
          <w:rFonts w:ascii="宋体" w:hAnsi="宋体" w:hint="eastAsia"/>
        </w:rPr>
        <w:t>）网上现金发售代理机构包括</w:t>
      </w:r>
      <w:r>
        <w:rPr>
          <w:rFonts w:ascii="宋体" w:hAnsi="宋体" w:hint="eastAsia"/>
        </w:rPr>
        <w:t>具有基金销售业务资格及深圳证券交易所会员资格的证券公司。</w:t>
      </w:r>
      <w:r>
        <w:rPr>
          <w:rFonts w:ascii="宋体" w:hAnsi="宋体" w:hint="eastAsia"/>
        </w:rPr>
        <w:t xml:space="preserve"> </w:t>
      </w:r>
    </w:p>
    <w:p w:rsidR="00000000" w:rsidRDefault="003B1ADD">
      <w:pPr>
        <w:snapToGrid w:val="0"/>
        <w:spacing w:line="360" w:lineRule="auto"/>
        <w:ind w:firstLineChars="202" w:firstLine="424"/>
        <w:rPr>
          <w:rFonts w:ascii="宋体" w:hAnsi="宋体"/>
        </w:rPr>
      </w:pPr>
      <w:r>
        <w:rPr>
          <w:rFonts w:ascii="宋体" w:hAnsi="宋体" w:hint="eastAsia"/>
        </w:rPr>
        <w:t>爱建证券、渤海证券、财达证券、财通证券、财信证券、川财证券、大通证券、大同证券、德邦证券、第一创业、东北证券、东方财富、东方证券、东莞证券、东海证券、东吴证券、东兴证券、方正证券、高华证券、光大证券、广发证券、国都证券、国海证券、国金证券、国开证券、国联民生证券、国融证券、国盛证券、国泰海通证券、国投证券、国新证券、国信证券、国元证券、金融街证券、红塔证券、天府证券、华安证券、华宝证券、华创证券、华福证券、华金证券、华林证券、华龙证券、华泰证券、华</w:t>
      </w:r>
      <w:r>
        <w:rPr>
          <w:rFonts w:ascii="宋体" w:hAnsi="宋体" w:hint="eastAsia"/>
        </w:rPr>
        <w:t>西证券、华鑫证券、华源证券、江海证券、金元证券、开源证券、联储证券、民生证券、南京证券、平安证券、瑞银证券、山西证券、上海证券、申万宏源、申万宏源西部、世纪证券、首创证券、太平洋证券、天风证券、万和证券、万联证券、麦高证券、五矿证券、西部证券、西南证券、湘财证券、诚通证券、信达证券、兴业证券、银河证券、银泰证券、英大证券、甬兴证券、粤开证券、长城国瑞、长城证券、长江证券、招商证券、浙商证券、中航证券、中金财富、中金公司、中山证券、中泰证券、中天证券、中信建投、中信山东、中信证券、中信证券华南、中银证券、中邮</w:t>
      </w:r>
      <w:r>
        <w:rPr>
          <w:rFonts w:ascii="宋体" w:hAnsi="宋体" w:hint="eastAsia"/>
        </w:rPr>
        <w:t>证券、中原证券。（排名不分先后）</w:t>
      </w:r>
    </w:p>
    <w:p w:rsidR="00000000" w:rsidRDefault="003B1ADD">
      <w:pPr>
        <w:snapToGrid w:val="0"/>
        <w:spacing w:line="360" w:lineRule="auto"/>
        <w:ind w:firstLineChars="202" w:firstLine="424"/>
        <w:rPr>
          <w:rFonts w:ascii="宋体" w:hAnsi="宋体"/>
        </w:rPr>
      </w:pPr>
      <w:r>
        <w:rPr>
          <w:rFonts w:ascii="宋体" w:hAnsi="宋体" w:hint="eastAsia"/>
        </w:rPr>
        <w:t>（</w:t>
      </w:r>
      <w:r>
        <w:rPr>
          <w:rFonts w:ascii="宋体" w:hAnsi="宋体" w:hint="eastAsia"/>
        </w:rPr>
        <w:t>2</w:t>
      </w:r>
      <w:r>
        <w:rPr>
          <w:rFonts w:ascii="宋体" w:hAnsi="宋体" w:hint="eastAsia"/>
        </w:rPr>
        <w:t>）本基金募集期结束前获得基金销售业务资格的深圳证券交易所会员可通过深圳证券交易所网上系统办理本基金的网上现金认购业务。如有新增具有基金销售业务资格及深圳证券交易所会员资格的证券公司以销售机构的公告为准。</w:t>
      </w:r>
    </w:p>
    <w:p w:rsidR="00000000" w:rsidRDefault="003B1ADD">
      <w:pPr>
        <w:snapToGrid w:val="0"/>
        <w:spacing w:line="360" w:lineRule="auto"/>
        <w:ind w:firstLineChars="202" w:firstLine="424"/>
        <w:rPr>
          <w:rFonts w:ascii="宋体" w:hAnsi="宋体"/>
        </w:rPr>
      </w:pPr>
      <w:r>
        <w:rPr>
          <w:rFonts w:ascii="宋体" w:hAnsi="宋体"/>
        </w:rPr>
        <w:t>（四）登记机构</w:t>
      </w:r>
    </w:p>
    <w:p w:rsidR="00000000" w:rsidRDefault="003B1ADD">
      <w:pPr>
        <w:snapToGrid w:val="0"/>
        <w:spacing w:line="360" w:lineRule="auto"/>
        <w:ind w:firstLine="420"/>
        <w:rPr>
          <w:color w:val="000000"/>
        </w:rPr>
      </w:pPr>
      <w:r>
        <w:rPr>
          <w:rFonts w:hint="eastAsia"/>
          <w:color w:val="000000"/>
        </w:rPr>
        <w:t>名称：中国证券登记结算有限责任公司</w:t>
      </w:r>
    </w:p>
    <w:p w:rsidR="00000000" w:rsidRDefault="003B1ADD">
      <w:pPr>
        <w:snapToGrid w:val="0"/>
        <w:spacing w:line="360" w:lineRule="auto"/>
        <w:ind w:firstLine="420"/>
        <w:rPr>
          <w:color w:val="000000"/>
        </w:rPr>
      </w:pPr>
      <w:r>
        <w:rPr>
          <w:rFonts w:hint="eastAsia"/>
          <w:color w:val="000000"/>
        </w:rPr>
        <w:t>注册地址：北京市西城区太平桥大街</w:t>
      </w:r>
      <w:r>
        <w:rPr>
          <w:rFonts w:hint="eastAsia"/>
          <w:color w:val="000000"/>
        </w:rPr>
        <w:t>17</w:t>
      </w:r>
      <w:r>
        <w:rPr>
          <w:rFonts w:hint="eastAsia"/>
          <w:color w:val="000000"/>
        </w:rPr>
        <w:t>号</w:t>
      </w:r>
    </w:p>
    <w:p w:rsidR="00000000" w:rsidRDefault="003B1ADD">
      <w:pPr>
        <w:snapToGrid w:val="0"/>
        <w:spacing w:line="360" w:lineRule="auto"/>
        <w:ind w:firstLine="420"/>
        <w:rPr>
          <w:color w:val="000000"/>
        </w:rPr>
      </w:pPr>
      <w:r>
        <w:rPr>
          <w:rFonts w:hint="eastAsia"/>
          <w:color w:val="000000"/>
        </w:rPr>
        <w:t>法定代表人：于文强</w:t>
      </w:r>
    </w:p>
    <w:p w:rsidR="00000000" w:rsidRDefault="003B1ADD">
      <w:pPr>
        <w:snapToGrid w:val="0"/>
        <w:spacing w:line="360" w:lineRule="auto"/>
        <w:ind w:firstLine="420"/>
        <w:rPr>
          <w:color w:val="000000"/>
        </w:rPr>
      </w:pPr>
      <w:r>
        <w:rPr>
          <w:rFonts w:hint="eastAsia"/>
          <w:color w:val="000000"/>
        </w:rPr>
        <w:t>电话：</w:t>
      </w:r>
      <w:r>
        <w:rPr>
          <w:rFonts w:hint="eastAsia"/>
          <w:color w:val="000000"/>
        </w:rPr>
        <w:t>4008</w:t>
      </w:r>
      <w:r>
        <w:rPr>
          <w:color w:val="000000"/>
        </w:rPr>
        <w:t xml:space="preserve"> </w:t>
      </w:r>
      <w:r>
        <w:rPr>
          <w:rFonts w:hint="eastAsia"/>
          <w:color w:val="000000"/>
        </w:rPr>
        <w:t>058</w:t>
      </w:r>
      <w:r>
        <w:rPr>
          <w:color w:val="000000"/>
        </w:rPr>
        <w:t xml:space="preserve"> </w:t>
      </w:r>
      <w:r>
        <w:rPr>
          <w:rFonts w:hint="eastAsia"/>
          <w:color w:val="000000"/>
        </w:rPr>
        <w:t>058</w:t>
      </w:r>
    </w:p>
    <w:p w:rsidR="00000000" w:rsidRDefault="003B1ADD">
      <w:pPr>
        <w:snapToGrid w:val="0"/>
        <w:spacing w:line="360" w:lineRule="auto"/>
        <w:ind w:firstLineChars="200" w:firstLine="420"/>
        <w:rPr>
          <w:rFonts w:ascii="宋体" w:hAnsi="宋体"/>
        </w:rPr>
      </w:pPr>
      <w:r>
        <w:rPr>
          <w:rFonts w:hint="eastAsia"/>
          <w:color w:val="000000"/>
        </w:rPr>
        <w:t>联系人：苑泽田</w:t>
      </w:r>
    </w:p>
    <w:p w:rsidR="00000000" w:rsidRDefault="003B1ADD">
      <w:pPr>
        <w:snapToGrid w:val="0"/>
        <w:spacing w:line="360" w:lineRule="auto"/>
        <w:ind w:firstLineChars="200" w:firstLine="420"/>
        <w:rPr>
          <w:rFonts w:ascii="宋体" w:hAnsi="宋体"/>
          <w:color w:val="000000"/>
        </w:rPr>
      </w:pPr>
      <w:r>
        <w:rPr>
          <w:rFonts w:ascii="宋体" w:hAnsi="宋体" w:hint="eastAsia"/>
          <w:color w:val="000000"/>
        </w:rPr>
        <w:t>（五）出具法律意见书的律师事务所</w:t>
      </w:r>
    </w:p>
    <w:p w:rsidR="00000000" w:rsidRDefault="003B1ADD">
      <w:pPr>
        <w:snapToGrid w:val="0"/>
        <w:spacing w:line="360" w:lineRule="auto"/>
        <w:ind w:left="420"/>
        <w:rPr>
          <w:bCs/>
          <w:color w:val="000000"/>
        </w:rPr>
      </w:pPr>
      <w:r>
        <w:rPr>
          <w:rFonts w:hint="eastAsia"/>
          <w:bCs/>
          <w:color w:val="000000"/>
        </w:rPr>
        <w:t>名称：上海市通力律师事务所</w:t>
      </w:r>
    </w:p>
    <w:p w:rsidR="00000000" w:rsidRDefault="003B1ADD">
      <w:pPr>
        <w:snapToGrid w:val="0"/>
        <w:spacing w:line="360" w:lineRule="auto"/>
        <w:ind w:left="420"/>
        <w:rPr>
          <w:bCs/>
          <w:color w:val="000000"/>
        </w:rPr>
      </w:pPr>
      <w:r>
        <w:rPr>
          <w:rFonts w:hint="eastAsia"/>
          <w:bCs/>
          <w:color w:val="000000"/>
        </w:rPr>
        <w:t>注册地址：上海市银城中路</w:t>
      </w:r>
      <w:r>
        <w:rPr>
          <w:rFonts w:hint="eastAsia"/>
          <w:bCs/>
          <w:color w:val="000000"/>
        </w:rPr>
        <w:t>68</w:t>
      </w:r>
      <w:r>
        <w:rPr>
          <w:rFonts w:hint="eastAsia"/>
          <w:bCs/>
          <w:color w:val="000000"/>
        </w:rPr>
        <w:t>号时代金融中心</w:t>
      </w:r>
      <w:r>
        <w:rPr>
          <w:rFonts w:hint="eastAsia"/>
          <w:bCs/>
          <w:color w:val="000000"/>
        </w:rPr>
        <w:t>19</w:t>
      </w:r>
      <w:r>
        <w:rPr>
          <w:rFonts w:hint="eastAsia"/>
          <w:bCs/>
          <w:color w:val="000000"/>
        </w:rPr>
        <w:t>楼</w:t>
      </w:r>
    </w:p>
    <w:p w:rsidR="00000000" w:rsidRDefault="003B1ADD">
      <w:pPr>
        <w:snapToGrid w:val="0"/>
        <w:spacing w:line="360" w:lineRule="auto"/>
        <w:ind w:left="420"/>
        <w:rPr>
          <w:bCs/>
          <w:color w:val="000000"/>
        </w:rPr>
      </w:pPr>
      <w:r>
        <w:rPr>
          <w:rFonts w:hint="eastAsia"/>
          <w:bCs/>
          <w:color w:val="000000"/>
        </w:rPr>
        <w:t>负责人：韩炯</w:t>
      </w:r>
    </w:p>
    <w:p w:rsidR="00000000" w:rsidRDefault="003B1ADD">
      <w:pPr>
        <w:snapToGrid w:val="0"/>
        <w:spacing w:line="360" w:lineRule="auto"/>
        <w:ind w:left="420"/>
        <w:rPr>
          <w:bCs/>
          <w:color w:val="000000"/>
        </w:rPr>
      </w:pPr>
      <w:r>
        <w:rPr>
          <w:rFonts w:hint="eastAsia"/>
          <w:bCs/>
          <w:color w:val="000000"/>
        </w:rPr>
        <w:t>联系人：丁媛</w:t>
      </w:r>
    </w:p>
    <w:p w:rsidR="00000000" w:rsidRDefault="003B1ADD">
      <w:pPr>
        <w:snapToGrid w:val="0"/>
        <w:spacing w:line="360" w:lineRule="auto"/>
        <w:ind w:left="420"/>
        <w:rPr>
          <w:bCs/>
          <w:color w:val="000000"/>
        </w:rPr>
      </w:pPr>
      <w:r>
        <w:rPr>
          <w:rFonts w:hint="eastAsia"/>
          <w:bCs/>
          <w:color w:val="000000"/>
        </w:rPr>
        <w:t>电话</w:t>
      </w:r>
      <w:r>
        <w:rPr>
          <w:rFonts w:hint="eastAsia"/>
          <w:bCs/>
          <w:color w:val="000000"/>
        </w:rPr>
        <w:t xml:space="preserve">: </w:t>
      </w:r>
      <w:r>
        <w:rPr>
          <w:rFonts w:hint="eastAsia"/>
          <w:bCs/>
          <w:color w:val="000000"/>
        </w:rPr>
        <w:t>（</w:t>
      </w:r>
      <w:r>
        <w:rPr>
          <w:rFonts w:hint="eastAsia"/>
          <w:bCs/>
          <w:color w:val="000000"/>
        </w:rPr>
        <w:t>86 21</w:t>
      </w:r>
      <w:r>
        <w:rPr>
          <w:rFonts w:hint="eastAsia"/>
          <w:bCs/>
          <w:color w:val="000000"/>
        </w:rPr>
        <w:t>）</w:t>
      </w:r>
      <w:r>
        <w:rPr>
          <w:rFonts w:hint="eastAsia"/>
          <w:bCs/>
          <w:color w:val="000000"/>
        </w:rPr>
        <w:t xml:space="preserve"> 3135 8666</w:t>
      </w:r>
    </w:p>
    <w:p w:rsidR="00000000" w:rsidRDefault="003B1ADD">
      <w:pPr>
        <w:snapToGrid w:val="0"/>
        <w:spacing w:line="360" w:lineRule="auto"/>
        <w:ind w:left="420"/>
        <w:rPr>
          <w:bCs/>
          <w:color w:val="000000"/>
        </w:rPr>
      </w:pPr>
      <w:r>
        <w:rPr>
          <w:rFonts w:hint="eastAsia"/>
          <w:bCs/>
          <w:color w:val="000000"/>
        </w:rPr>
        <w:t>传真</w:t>
      </w:r>
      <w:r>
        <w:rPr>
          <w:rFonts w:hint="eastAsia"/>
          <w:bCs/>
          <w:color w:val="000000"/>
        </w:rPr>
        <w:t xml:space="preserve">: </w:t>
      </w:r>
      <w:r>
        <w:rPr>
          <w:rFonts w:hint="eastAsia"/>
          <w:bCs/>
          <w:color w:val="000000"/>
        </w:rPr>
        <w:t>（</w:t>
      </w:r>
      <w:r>
        <w:rPr>
          <w:rFonts w:hint="eastAsia"/>
          <w:bCs/>
          <w:color w:val="000000"/>
        </w:rPr>
        <w:t>86 21</w:t>
      </w:r>
      <w:r>
        <w:rPr>
          <w:rFonts w:hint="eastAsia"/>
          <w:bCs/>
          <w:color w:val="000000"/>
        </w:rPr>
        <w:t>）</w:t>
      </w:r>
      <w:r>
        <w:rPr>
          <w:rFonts w:hint="eastAsia"/>
          <w:bCs/>
          <w:color w:val="000000"/>
        </w:rPr>
        <w:t xml:space="preserve"> 3135 8600</w:t>
      </w:r>
    </w:p>
    <w:p w:rsidR="00000000" w:rsidRDefault="003B1ADD">
      <w:pPr>
        <w:tabs>
          <w:tab w:val="left" w:pos="840"/>
        </w:tabs>
        <w:adjustRightInd w:val="0"/>
        <w:snapToGrid w:val="0"/>
        <w:spacing w:line="360" w:lineRule="auto"/>
        <w:ind w:firstLineChars="200" w:firstLine="420"/>
        <w:rPr>
          <w:rFonts w:hAnsi="宋体"/>
          <w:bCs/>
        </w:rPr>
      </w:pPr>
      <w:r>
        <w:rPr>
          <w:rFonts w:hint="eastAsia"/>
          <w:bCs/>
          <w:color w:val="000000"/>
        </w:rPr>
        <w:t>经办律师：丁媛、李晓露</w:t>
      </w:r>
    </w:p>
    <w:p w:rsidR="00000000" w:rsidRDefault="003B1ADD">
      <w:pPr>
        <w:snapToGrid w:val="0"/>
        <w:spacing w:line="360" w:lineRule="auto"/>
        <w:ind w:firstLineChars="200" w:firstLine="420"/>
        <w:rPr>
          <w:rFonts w:ascii="宋体" w:hAnsi="宋体"/>
          <w:color w:val="000000"/>
        </w:rPr>
      </w:pPr>
      <w:r>
        <w:rPr>
          <w:rFonts w:ascii="宋体" w:hAnsi="宋体"/>
          <w:color w:val="000000"/>
        </w:rPr>
        <w:t>（</w:t>
      </w:r>
      <w:r>
        <w:rPr>
          <w:rFonts w:ascii="宋体" w:hAnsi="宋体" w:hint="eastAsia"/>
          <w:color w:val="000000"/>
        </w:rPr>
        <w:t>六</w:t>
      </w:r>
      <w:r>
        <w:rPr>
          <w:rFonts w:ascii="宋体" w:hAnsi="宋体"/>
          <w:color w:val="000000"/>
        </w:rPr>
        <w:t>）</w:t>
      </w:r>
      <w:r>
        <w:rPr>
          <w:rFonts w:ascii="宋体" w:hAnsi="宋体" w:hint="eastAsia"/>
          <w:color w:val="000000"/>
        </w:rPr>
        <w:t>审计基金财产的会计师事务所</w:t>
      </w:r>
    </w:p>
    <w:p w:rsidR="00000000" w:rsidRDefault="003B1ADD">
      <w:pPr>
        <w:snapToGrid w:val="0"/>
        <w:spacing w:line="360" w:lineRule="auto"/>
        <w:ind w:left="420"/>
        <w:rPr>
          <w:bCs/>
          <w:color w:val="000000"/>
        </w:rPr>
      </w:pPr>
      <w:r>
        <w:rPr>
          <w:rFonts w:hint="eastAsia"/>
          <w:bCs/>
          <w:color w:val="000000"/>
        </w:rPr>
        <w:t>名称：德勤华永会计师事务所（特殊普通合伙）</w:t>
      </w:r>
    </w:p>
    <w:p w:rsidR="00000000" w:rsidRDefault="003B1ADD">
      <w:pPr>
        <w:snapToGrid w:val="0"/>
        <w:spacing w:line="360" w:lineRule="auto"/>
        <w:ind w:left="420"/>
        <w:rPr>
          <w:bCs/>
          <w:color w:val="000000"/>
        </w:rPr>
      </w:pPr>
      <w:r>
        <w:rPr>
          <w:rFonts w:hint="eastAsia"/>
          <w:bCs/>
          <w:color w:val="000000"/>
        </w:rPr>
        <w:t>住所：上海市黄浦区延安东路</w:t>
      </w:r>
      <w:r>
        <w:rPr>
          <w:rFonts w:hint="eastAsia"/>
          <w:bCs/>
          <w:color w:val="000000"/>
        </w:rPr>
        <w:t>222</w:t>
      </w:r>
      <w:r>
        <w:rPr>
          <w:rFonts w:hint="eastAsia"/>
          <w:bCs/>
          <w:color w:val="000000"/>
        </w:rPr>
        <w:t>号</w:t>
      </w:r>
      <w:r>
        <w:rPr>
          <w:rFonts w:hint="eastAsia"/>
          <w:bCs/>
          <w:color w:val="000000"/>
        </w:rPr>
        <w:t>30</w:t>
      </w:r>
      <w:r>
        <w:rPr>
          <w:rFonts w:hint="eastAsia"/>
          <w:bCs/>
          <w:color w:val="000000"/>
        </w:rPr>
        <w:t>楼</w:t>
      </w:r>
    </w:p>
    <w:p w:rsidR="00000000" w:rsidRDefault="003B1ADD">
      <w:pPr>
        <w:snapToGrid w:val="0"/>
        <w:spacing w:line="360" w:lineRule="auto"/>
        <w:ind w:left="420"/>
        <w:rPr>
          <w:bCs/>
          <w:color w:val="000000"/>
        </w:rPr>
      </w:pPr>
      <w:r>
        <w:rPr>
          <w:rFonts w:hint="eastAsia"/>
          <w:bCs/>
          <w:color w:val="000000"/>
        </w:rPr>
        <w:t>办公地址：上海市黄浦区延安东路</w:t>
      </w:r>
      <w:r>
        <w:rPr>
          <w:rFonts w:hint="eastAsia"/>
          <w:bCs/>
          <w:color w:val="000000"/>
        </w:rPr>
        <w:t>222</w:t>
      </w:r>
      <w:r>
        <w:rPr>
          <w:rFonts w:hint="eastAsia"/>
          <w:bCs/>
          <w:color w:val="000000"/>
        </w:rPr>
        <w:t>号</w:t>
      </w:r>
      <w:r>
        <w:rPr>
          <w:rFonts w:hint="eastAsia"/>
          <w:bCs/>
          <w:color w:val="000000"/>
        </w:rPr>
        <w:t>30</w:t>
      </w:r>
      <w:r>
        <w:rPr>
          <w:rFonts w:hint="eastAsia"/>
          <w:bCs/>
          <w:color w:val="000000"/>
        </w:rPr>
        <w:t>楼</w:t>
      </w:r>
    </w:p>
    <w:p w:rsidR="00000000" w:rsidRDefault="003B1ADD">
      <w:pPr>
        <w:snapToGrid w:val="0"/>
        <w:spacing w:line="360" w:lineRule="auto"/>
        <w:ind w:left="420"/>
        <w:rPr>
          <w:bCs/>
          <w:color w:val="000000"/>
        </w:rPr>
      </w:pPr>
      <w:r>
        <w:rPr>
          <w:rFonts w:hint="eastAsia"/>
          <w:bCs/>
          <w:color w:val="000000"/>
        </w:rPr>
        <w:t>执行事务合伙人：唐恋炯</w:t>
      </w:r>
    </w:p>
    <w:p w:rsidR="00000000" w:rsidRDefault="003B1ADD">
      <w:pPr>
        <w:snapToGrid w:val="0"/>
        <w:spacing w:line="360" w:lineRule="auto"/>
        <w:ind w:left="420"/>
        <w:rPr>
          <w:bCs/>
          <w:color w:val="000000"/>
        </w:rPr>
      </w:pPr>
      <w:r>
        <w:rPr>
          <w:rFonts w:hint="eastAsia"/>
          <w:bCs/>
          <w:color w:val="000000"/>
        </w:rPr>
        <w:t>联系人：汪芳</w:t>
      </w:r>
    </w:p>
    <w:p w:rsidR="00000000" w:rsidRDefault="003B1ADD">
      <w:pPr>
        <w:snapToGrid w:val="0"/>
        <w:spacing w:line="360" w:lineRule="auto"/>
        <w:ind w:left="420"/>
        <w:rPr>
          <w:bCs/>
          <w:color w:val="000000"/>
        </w:rPr>
      </w:pPr>
      <w:r>
        <w:rPr>
          <w:rFonts w:hint="eastAsia"/>
          <w:bCs/>
          <w:color w:val="000000"/>
        </w:rPr>
        <w:t>联系电话：</w:t>
      </w:r>
      <w:r>
        <w:rPr>
          <w:rFonts w:hint="eastAsia"/>
          <w:bCs/>
          <w:color w:val="000000"/>
        </w:rPr>
        <w:t>+86 021 61412431</w:t>
      </w:r>
    </w:p>
    <w:p w:rsidR="00000000" w:rsidRDefault="003B1ADD">
      <w:pPr>
        <w:snapToGrid w:val="0"/>
        <w:spacing w:line="360" w:lineRule="auto"/>
        <w:ind w:left="420"/>
        <w:rPr>
          <w:bCs/>
          <w:color w:val="000000"/>
        </w:rPr>
      </w:pPr>
      <w:r>
        <w:rPr>
          <w:rFonts w:hint="eastAsia"/>
          <w:bCs/>
          <w:color w:val="000000"/>
        </w:rPr>
        <w:t>传真：</w:t>
      </w:r>
      <w:r>
        <w:rPr>
          <w:rFonts w:hint="eastAsia"/>
          <w:bCs/>
          <w:color w:val="000000"/>
        </w:rPr>
        <w:t>+86 021 63350177</w:t>
      </w:r>
    </w:p>
    <w:p w:rsidR="00000000" w:rsidRDefault="003B1ADD">
      <w:pPr>
        <w:snapToGrid w:val="0"/>
        <w:spacing w:line="360" w:lineRule="auto"/>
        <w:ind w:left="420"/>
        <w:rPr>
          <w:bCs/>
          <w:color w:val="000000"/>
        </w:rPr>
      </w:pPr>
      <w:r>
        <w:rPr>
          <w:rFonts w:hint="eastAsia"/>
          <w:bCs/>
          <w:color w:val="000000"/>
        </w:rPr>
        <w:t>经办注册会计师：汪芳、陈思雨</w:t>
      </w:r>
    </w:p>
    <w:p w:rsidR="00000000" w:rsidRDefault="003B1ADD">
      <w:pPr>
        <w:snapToGrid w:val="0"/>
        <w:spacing w:line="360" w:lineRule="auto"/>
        <w:ind w:left="420"/>
        <w:rPr>
          <w:bCs/>
          <w:color w:val="000000"/>
        </w:rPr>
      </w:pPr>
    </w:p>
    <w:p w:rsidR="00000000" w:rsidRDefault="003B1ADD">
      <w:pPr>
        <w:snapToGrid w:val="0"/>
        <w:spacing w:line="360" w:lineRule="auto"/>
        <w:ind w:left="420"/>
        <w:rPr>
          <w:bCs/>
          <w:color w:val="000000"/>
        </w:rPr>
      </w:pPr>
    </w:p>
    <w:p w:rsidR="00000000" w:rsidRDefault="003B1ADD">
      <w:pPr>
        <w:snapToGrid w:val="0"/>
        <w:spacing w:line="360" w:lineRule="auto"/>
        <w:ind w:firstLineChars="2100" w:firstLine="4410"/>
        <w:jc w:val="right"/>
        <w:rPr>
          <w:rFonts w:ascii="宋体" w:hAnsi="宋体"/>
          <w:szCs w:val="21"/>
        </w:rPr>
      </w:pPr>
    </w:p>
    <w:p w:rsidR="00000000" w:rsidRDefault="003B1ADD">
      <w:pPr>
        <w:snapToGrid w:val="0"/>
        <w:spacing w:line="360" w:lineRule="auto"/>
        <w:ind w:firstLineChars="2100" w:firstLine="4410"/>
        <w:jc w:val="right"/>
        <w:rPr>
          <w:rFonts w:ascii="宋体" w:hAnsi="宋体"/>
          <w:szCs w:val="21"/>
        </w:rPr>
      </w:pPr>
      <w:r>
        <w:rPr>
          <w:rFonts w:ascii="宋体" w:hAnsi="宋体" w:hint="eastAsia"/>
          <w:szCs w:val="21"/>
        </w:rPr>
        <w:t>南方基金管理股份有限公司</w:t>
      </w:r>
    </w:p>
    <w:p w:rsidR="00000000" w:rsidRDefault="003B1ADD">
      <w:pPr>
        <w:snapToGrid w:val="0"/>
        <w:spacing w:line="360" w:lineRule="auto"/>
        <w:ind w:firstLineChars="2100" w:firstLine="4410"/>
        <w:jc w:val="right"/>
      </w:pPr>
      <w:r>
        <w:rPr>
          <w:rFonts w:ascii="宋体" w:hAnsi="宋体" w:hint="eastAsia"/>
          <w:szCs w:val="21"/>
        </w:rPr>
        <w:t>2026</w:t>
      </w:r>
      <w:r>
        <w:rPr>
          <w:rFonts w:ascii="宋体" w:hAnsi="宋体" w:hint="eastAsia"/>
          <w:szCs w:val="21"/>
        </w:rPr>
        <w:t>年</w:t>
      </w:r>
      <w:r>
        <w:rPr>
          <w:rFonts w:ascii="宋体" w:hAnsi="宋体"/>
          <w:szCs w:val="21"/>
        </w:rPr>
        <w:t>4</w:t>
      </w:r>
      <w:r>
        <w:rPr>
          <w:rFonts w:ascii="宋体" w:hAnsi="宋体" w:hint="eastAsia"/>
          <w:szCs w:val="21"/>
        </w:rPr>
        <w:t>月</w:t>
      </w:r>
      <w:r>
        <w:rPr>
          <w:rFonts w:ascii="宋体" w:hAnsi="宋体"/>
          <w:szCs w:val="21"/>
        </w:rPr>
        <w:t>1</w:t>
      </w:r>
      <w:r>
        <w:rPr>
          <w:rFonts w:ascii="宋体" w:hAnsi="宋体" w:hint="eastAsia"/>
          <w:szCs w:val="21"/>
        </w:rPr>
        <w:t>日</w:t>
      </w:r>
    </w:p>
    <w:sectPr w:rsidR="00000000">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3B1ADD">
      <w:r>
        <w:separator/>
      </w:r>
    </w:p>
  </w:endnote>
  <w:endnote w:type="continuationSeparator" w:id="0">
    <w:p w:rsidR="00000000" w:rsidRDefault="003B1A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B1ADD">
    <w:pPr>
      <w:pStyle w:val="a7"/>
      <w:jc w:val="center"/>
    </w:pPr>
    <w:r>
      <w:fldChar w:fldCharType="begin"/>
    </w:r>
    <w:r>
      <w:instrText>PAGE   \* MERGEFORMAT</w:instrText>
    </w:r>
    <w:r>
      <w:fldChar w:fldCharType="separate"/>
    </w:r>
    <w:r w:rsidRPr="003B1ADD">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3B1ADD">
      <w:r>
        <w:separator/>
      </w:r>
    </w:p>
  </w:footnote>
  <w:footnote w:type="continuationSeparator" w:id="0">
    <w:p w:rsidR="00000000" w:rsidRDefault="003B1A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mU0MWIzZmRkMzQzYjBiMmRhNTVlYWUyNDcxZWFlOTIifQ=="/>
  </w:docVars>
  <w:rsids>
    <w:rsidRoot w:val="00E815D7"/>
    <w:rsid w:val="000019E9"/>
    <w:rsid w:val="000031A6"/>
    <w:rsid w:val="00007685"/>
    <w:rsid w:val="00007FC1"/>
    <w:rsid w:val="000101A6"/>
    <w:rsid w:val="00010B92"/>
    <w:rsid w:val="000137B2"/>
    <w:rsid w:val="00014C88"/>
    <w:rsid w:val="00020192"/>
    <w:rsid w:val="00022F03"/>
    <w:rsid w:val="00023C18"/>
    <w:rsid w:val="000261BF"/>
    <w:rsid w:val="00027087"/>
    <w:rsid w:val="000325FC"/>
    <w:rsid w:val="00032E0C"/>
    <w:rsid w:val="000333E5"/>
    <w:rsid w:val="00034390"/>
    <w:rsid w:val="000353C0"/>
    <w:rsid w:val="00036046"/>
    <w:rsid w:val="000360BF"/>
    <w:rsid w:val="000369C5"/>
    <w:rsid w:val="00042667"/>
    <w:rsid w:val="00042D23"/>
    <w:rsid w:val="00044029"/>
    <w:rsid w:val="00044DFF"/>
    <w:rsid w:val="00045B01"/>
    <w:rsid w:val="000463EE"/>
    <w:rsid w:val="00050859"/>
    <w:rsid w:val="0005498E"/>
    <w:rsid w:val="000561FA"/>
    <w:rsid w:val="00060114"/>
    <w:rsid w:val="00060846"/>
    <w:rsid w:val="00064F4A"/>
    <w:rsid w:val="00066F50"/>
    <w:rsid w:val="00070983"/>
    <w:rsid w:val="0007126A"/>
    <w:rsid w:val="00074686"/>
    <w:rsid w:val="000764B7"/>
    <w:rsid w:val="00077A04"/>
    <w:rsid w:val="000804DC"/>
    <w:rsid w:val="00084374"/>
    <w:rsid w:val="00085066"/>
    <w:rsid w:val="00087A21"/>
    <w:rsid w:val="00092C81"/>
    <w:rsid w:val="00092ED8"/>
    <w:rsid w:val="0009557E"/>
    <w:rsid w:val="000A0451"/>
    <w:rsid w:val="000A1982"/>
    <w:rsid w:val="000A513F"/>
    <w:rsid w:val="000A5905"/>
    <w:rsid w:val="000A653B"/>
    <w:rsid w:val="000A69F2"/>
    <w:rsid w:val="000A7446"/>
    <w:rsid w:val="000B087B"/>
    <w:rsid w:val="000B0C47"/>
    <w:rsid w:val="000B1EF7"/>
    <w:rsid w:val="000B24B1"/>
    <w:rsid w:val="000B29DC"/>
    <w:rsid w:val="000B552B"/>
    <w:rsid w:val="000B567F"/>
    <w:rsid w:val="000B6E84"/>
    <w:rsid w:val="000B72E9"/>
    <w:rsid w:val="000C081E"/>
    <w:rsid w:val="000C0865"/>
    <w:rsid w:val="000C36F7"/>
    <w:rsid w:val="000C37E0"/>
    <w:rsid w:val="000C3FF4"/>
    <w:rsid w:val="000C46B8"/>
    <w:rsid w:val="000C5227"/>
    <w:rsid w:val="000C5288"/>
    <w:rsid w:val="000D342C"/>
    <w:rsid w:val="000D3D01"/>
    <w:rsid w:val="000D5710"/>
    <w:rsid w:val="000D74F6"/>
    <w:rsid w:val="000D7AE0"/>
    <w:rsid w:val="000E04A5"/>
    <w:rsid w:val="000E0DA1"/>
    <w:rsid w:val="000E139F"/>
    <w:rsid w:val="000E4A10"/>
    <w:rsid w:val="000F0D13"/>
    <w:rsid w:val="000F1D16"/>
    <w:rsid w:val="000F1F09"/>
    <w:rsid w:val="000F45C4"/>
    <w:rsid w:val="000F65A6"/>
    <w:rsid w:val="000F6A4E"/>
    <w:rsid w:val="00101960"/>
    <w:rsid w:val="00101F2E"/>
    <w:rsid w:val="0010453E"/>
    <w:rsid w:val="00106E1E"/>
    <w:rsid w:val="00107C5E"/>
    <w:rsid w:val="0011332E"/>
    <w:rsid w:val="001142EB"/>
    <w:rsid w:val="00115FD0"/>
    <w:rsid w:val="00116FEA"/>
    <w:rsid w:val="00120600"/>
    <w:rsid w:val="0012167E"/>
    <w:rsid w:val="00122908"/>
    <w:rsid w:val="00123207"/>
    <w:rsid w:val="00124A1F"/>
    <w:rsid w:val="00124E2B"/>
    <w:rsid w:val="00127F90"/>
    <w:rsid w:val="001320CD"/>
    <w:rsid w:val="001337E6"/>
    <w:rsid w:val="0013592B"/>
    <w:rsid w:val="001415CE"/>
    <w:rsid w:val="00142148"/>
    <w:rsid w:val="00144B9A"/>
    <w:rsid w:val="00150D03"/>
    <w:rsid w:val="00157822"/>
    <w:rsid w:val="00160369"/>
    <w:rsid w:val="001615AA"/>
    <w:rsid w:val="00161D1E"/>
    <w:rsid w:val="0016281C"/>
    <w:rsid w:val="00163C02"/>
    <w:rsid w:val="00166F9B"/>
    <w:rsid w:val="00167E97"/>
    <w:rsid w:val="001720C4"/>
    <w:rsid w:val="0017289B"/>
    <w:rsid w:val="00173C76"/>
    <w:rsid w:val="001756BE"/>
    <w:rsid w:val="00180539"/>
    <w:rsid w:val="001821D1"/>
    <w:rsid w:val="00183EC4"/>
    <w:rsid w:val="00184775"/>
    <w:rsid w:val="001864AE"/>
    <w:rsid w:val="00187B51"/>
    <w:rsid w:val="0019247D"/>
    <w:rsid w:val="00192A8B"/>
    <w:rsid w:val="00197A59"/>
    <w:rsid w:val="001A008F"/>
    <w:rsid w:val="001A0214"/>
    <w:rsid w:val="001A2C9C"/>
    <w:rsid w:val="001A504E"/>
    <w:rsid w:val="001A7207"/>
    <w:rsid w:val="001B0E62"/>
    <w:rsid w:val="001B19F0"/>
    <w:rsid w:val="001B6E44"/>
    <w:rsid w:val="001C6012"/>
    <w:rsid w:val="001C62C0"/>
    <w:rsid w:val="001C6CC0"/>
    <w:rsid w:val="001C73E5"/>
    <w:rsid w:val="001C77BA"/>
    <w:rsid w:val="001D17BA"/>
    <w:rsid w:val="001D2237"/>
    <w:rsid w:val="001E046D"/>
    <w:rsid w:val="001E055B"/>
    <w:rsid w:val="001E1F7E"/>
    <w:rsid w:val="001E3231"/>
    <w:rsid w:val="001E445E"/>
    <w:rsid w:val="001F3CC9"/>
    <w:rsid w:val="001F4770"/>
    <w:rsid w:val="001F6E91"/>
    <w:rsid w:val="00205BBE"/>
    <w:rsid w:val="00207C18"/>
    <w:rsid w:val="00207F09"/>
    <w:rsid w:val="00212884"/>
    <w:rsid w:val="00213F7B"/>
    <w:rsid w:val="00214B27"/>
    <w:rsid w:val="00214CDB"/>
    <w:rsid w:val="00215EE8"/>
    <w:rsid w:val="002215B5"/>
    <w:rsid w:val="002230C1"/>
    <w:rsid w:val="002249BD"/>
    <w:rsid w:val="002250FF"/>
    <w:rsid w:val="002263BE"/>
    <w:rsid w:val="0023211F"/>
    <w:rsid w:val="00232742"/>
    <w:rsid w:val="002329DB"/>
    <w:rsid w:val="002333B9"/>
    <w:rsid w:val="00233499"/>
    <w:rsid w:val="00237299"/>
    <w:rsid w:val="00237552"/>
    <w:rsid w:val="00237AF5"/>
    <w:rsid w:val="002452AD"/>
    <w:rsid w:val="00250BBE"/>
    <w:rsid w:val="00250BC0"/>
    <w:rsid w:val="002539CE"/>
    <w:rsid w:val="00253B29"/>
    <w:rsid w:val="002544E3"/>
    <w:rsid w:val="00257A0C"/>
    <w:rsid w:val="00257DE7"/>
    <w:rsid w:val="00261DE5"/>
    <w:rsid w:val="00270287"/>
    <w:rsid w:val="00270D78"/>
    <w:rsid w:val="00271590"/>
    <w:rsid w:val="0027241A"/>
    <w:rsid w:val="00272CA4"/>
    <w:rsid w:val="00272CCE"/>
    <w:rsid w:val="00277729"/>
    <w:rsid w:val="0027779F"/>
    <w:rsid w:val="00281258"/>
    <w:rsid w:val="00281A5A"/>
    <w:rsid w:val="0028262D"/>
    <w:rsid w:val="002832BC"/>
    <w:rsid w:val="002851EC"/>
    <w:rsid w:val="00286F87"/>
    <w:rsid w:val="0029142A"/>
    <w:rsid w:val="002934EF"/>
    <w:rsid w:val="002937A9"/>
    <w:rsid w:val="002940DC"/>
    <w:rsid w:val="00294C94"/>
    <w:rsid w:val="00296254"/>
    <w:rsid w:val="00296296"/>
    <w:rsid w:val="002A1C93"/>
    <w:rsid w:val="002A3DA2"/>
    <w:rsid w:val="002A5C4C"/>
    <w:rsid w:val="002A64AB"/>
    <w:rsid w:val="002B120C"/>
    <w:rsid w:val="002B3B34"/>
    <w:rsid w:val="002B4C48"/>
    <w:rsid w:val="002B74E6"/>
    <w:rsid w:val="002C0E60"/>
    <w:rsid w:val="002C345F"/>
    <w:rsid w:val="002C687C"/>
    <w:rsid w:val="002D22B1"/>
    <w:rsid w:val="002D2834"/>
    <w:rsid w:val="002D2F68"/>
    <w:rsid w:val="002D43A0"/>
    <w:rsid w:val="002D6B98"/>
    <w:rsid w:val="002D74E1"/>
    <w:rsid w:val="002D76C3"/>
    <w:rsid w:val="002E259C"/>
    <w:rsid w:val="002E37F4"/>
    <w:rsid w:val="002E63E9"/>
    <w:rsid w:val="002E70EC"/>
    <w:rsid w:val="002F412B"/>
    <w:rsid w:val="002F645F"/>
    <w:rsid w:val="002F6F53"/>
    <w:rsid w:val="00301CCF"/>
    <w:rsid w:val="00302D63"/>
    <w:rsid w:val="00303706"/>
    <w:rsid w:val="00305E06"/>
    <w:rsid w:val="003068F6"/>
    <w:rsid w:val="00307B37"/>
    <w:rsid w:val="00307FB4"/>
    <w:rsid w:val="003103BB"/>
    <w:rsid w:val="00310EEB"/>
    <w:rsid w:val="00312B99"/>
    <w:rsid w:val="003150DC"/>
    <w:rsid w:val="00316158"/>
    <w:rsid w:val="00316696"/>
    <w:rsid w:val="00316CC4"/>
    <w:rsid w:val="003173BF"/>
    <w:rsid w:val="00321342"/>
    <w:rsid w:val="00322146"/>
    <w:rsid w:val="0032249C"/>
    <w:rsid w:val="00322FC6"/>
    <w:rsid w:val="00325A82"/>
    <w:rsid w:val="00326C95"/>
    <w:rsid w:val="00326D30"/>
    <w:rsid w:val="00333006"/>
    <w:rsid w:val="00333CD9"/>
    <w:rsid w:val="00334993"/>
    <w:rsid w:val="00335C3A"/>
    <w:rsid w:val="0033748C"/>
    <w:rsid w:val="00342A7E"/>
    <w:rsid w:val="00343B33"/>
    <w:rsid w:val="00343EDB"/>
    <w:rsid w:val="00345095"/>
    <w:rsid w:val="003455EA"/>
    <w:rsid w:val="0034755D"/>
    <w:rsid w:val="003476DB"/>
    <w:rsid w:val="0035331F"/>
    <w:rsid w:val="003565B8"/>
    <w:rsid w:val="00360C28"/>
    <w:rsid w:val="003647A5"/>
    <w:rsid w:val="00367FF2"/>
    <w:rsid w:val="0037042D"/>
    <w:rsid w:val="00371A1C"/>
    <w:rsid w:val="00372446"/>
    <w:rsid w:val="00372967"/>
    <w:rsid w:val="00372F07"/>
    <w:rsid w:val="0037633D"/>
    <w:rsid w:val="00391695"/>
    <w:rsid w:val="00392DF3"/>
    <w:rsid w:val="00395AEF"/>
    <w:rsid w:val="0039726D"/>
    <w:rsid w:val="003A23FC"/>
    <w:rsid w:val="003A248D"/>
    <w:rsid w:val="003B0016"/>
    <w:rsid w:val="003B169C"/>
    <w:rsid w:val="003B1ADD"/>
    <w:rsid w:val="003B4EE7"/>
    <w:rsid w:val="003B5BA8"/>
    <w:rsid w:val="003B6D01"/>
    <w:rsid w:val="003C1CEF"/>
    <w:rsid w:val="003C452A"/>
    <w:rsid w:val="003C52A8"/>
    <w:rsid w:val="003C5BD9"/>
    <w:rsid w:val="003D1809"/>
    <w:rsid w:val="003D58C7"/>
    <w:rsid w:val="003E0416"/>
    <w:rsid w:val="003E1146"/>
    <w:rsid w:val="003E116F"/>
    <w:rsid w:val="003E2ABF"/>
    <w:rsid w:val="003E4292"/>
    <w:rsid w:val="003E5C6A"/>
    <w:rsid w:val="003E7854"/>
    <w:rsid w:val="003F0CE6"/>
    <w:rsid w:val="003F6271"/>
    <w:rsid w:val="004002F0"/>
    <w:rsid w:val="004014A3"/>
    <w:rsid w:val="00404C31"/>
    <w:rsid w:val="00405F06"/>
    <w:rsid w:val="00406D87"/>
    <w:rsid w:val="00410E87"/>
    <w:rsid w:val="0041209F"/>
    <w:rsid w:val="004126DE"/>
    <w:rsid w:val="0041509C"/>
    <w:rsid w:val="00415274"/>
    <w:rsid w:val="00415C59"/>
    <w:rsid w:val="004160B7"/>
    <w:rsid w:val="0041635C"/>
    <w:rsid w:val="00417AA7"/>
    <w:rsid w:val="00421A7B"/>
    <w:rsid w:val="00422589"/>
    <w:rsid w:val="004226AF"/>
    <w:rsid w:val="00424B9A"/>
    <w:rsid w:val="00426BAD"/>
    <w:rsid w:val="004317EA"/>
    <w:rsid w:val="004370B6"/>
    <w:rsid w:val="0043745B"/>
    <w:rsid w:val="00442B40"/>
    <w:rsid w:val="00443236"/>
    <w:rsid w:val="00450528"/>
    <w:rsid w:val="0045210D"/>
    <w:rsid w:val="004525B1"/>
    <w:rsid w:val="00454BD7"/>
    <w:rsid w:val="0045785D"/>
    <w:rsid w:val="00460C32"/>
    <w:rsid w:val="00460E81"/>
    <w:rsid w:val="004627B1"/>
    <w:rsid w:val="00462E9C"/>
    <w:rsid w:val="004664F3"/>
    <w:rsid w:val="00467573"/>
    <w:rsid w:val="00470965"/>
    <w:rsid w:val="00472F28"/>
    <w:rsid w:val="00475DA2"/>
    <w:rsid w:val="00476C16"/>
    <w:rsid w:val="00480EC0"/>
    <w:rsid w:val="00481C8E"/>
    <w:rsid w:val="0048371E"/>
    <w:rsid w:val="00483A38"/>
    <w:rsid w:val="004867F5"/>
    <w:rsid w:val="004909E0"/>
    <w:rsid w:val="004920B1"/>
    <w:rsid w:val="00492C02"/>
    <w:rsid w:val="00496B1E"/>
    <w:rsid w:val="00497CA2"/>
    <w:rsid w:val="004A1268"/>
    <w:rsid w:val="004A1B6B"/>
    <w:rsid w:val="004A1E2C"/>
    <w:rsid w:val="004A3D72"/>
    <w:rsid w:val="004B278F"/>
    <w:rsid w:val="004B4DB0"/>
    <w:rsid w:val="004B5C43"/>
    <w:rsid w:val="004C1377"/>
    <w:rsid w:val="004C4B5D"/>
    <w:rsid w:val="004D0DEC"/>
    <w:rsid w:val="004D1A1E"/>
    <w:rsid w:val="004D30C3"/>
    <w:rsid w:val="004D3AA0"/>
    <w:rsid w:val="004D4DE3"/>
    <w:rsid w:val="004D5973"/>
    <w:rsid w:val="004D6212"/>
    <w:rsid w:val="004D73B2"/>
    <w:rsid w:val="004D7DBF"/>
    <w:rsid w:val="004E07E9"/>
    <w:rsid w:val="004E13FB"/>
    <w:rsid w:val="004E423A"/>
    <w:rsid w:val="004E5AF9"/>
    <w:rsid w:val="004E691C"/>
    <w:rsid w:val="004E78B4"/>
    <w:rsid w:val="004F0BAA"/>
    <w:rsid w:val="004F1276"/>
    <w:rsid w:val="004F20C4"/>
    <w:rsid w:val="004F2400"/>
    <w:rsid w:val="004F36B8"/>
    <w:rsid w:val="004F435F"/>
    <w:rsid w:val="004F4885"/>
    <w:rsid w:val="004F5D37"/>
    <w:rsid w:val="004F5E3D"/>
    <w:rsid w:val="00500026"/>
    <w:rsid w:val="00500FA6"/>
    <w:rsid w:val="005025C6"/>
    <w:rsid w:val="00503908"/>
    <w:rsid w:val="00504839"/>
    <w:rsid w:val="00514791"/>
    <w:rsid w:val="00514F44"/>
    <w:rsid w:val="005159FD"/>
    <w:rsid w:val="005168E6"/>
    <w:rsid w:val="00516F15"/>
    <w:rsid w:val="00517514"/>
    <w:rsid w:val="005176FE"/>
    <w:rsid w:val="005202D9"/>
    <w:rsid w:val="005231D0"/>
    <w:rsid w:val="00524579"/>
    <w:rsid w:val="00526245"/>
    <w:rsid w:val="005262BD"/>
    <w:rsid w:val="005300A0"/>
    <w:rsid w:val="00531640"/>
    <w:rsid w:val="00534D51"/>
    <w:rsid w:val="00535D1C"/>
    <w:rsid w:val="00536A09"/>
    <w:rsid w:val="005374E6"/>
    <w:rsid w:val="0054000E"/>
    <w:rsid w:val="0054237D"/>
    <w:rsid w:val="0054381B"/>
    <w:rsid w:val="00546035"/>
    <w:rsid w:val="00553E52"/>
    <w:rsid w:val="00555655"/>
    <w:rsid w:val="00556AD7"/>
    <w:rsid w:val="005570E1"/>
    <w:rsid w:val="00557CDB"/>
    <w:rsid w:val="005613CF"/>
    <w:rsid w:val="005616DA"/>
    <w:rsid w:val="00563862"/>
    <w:rsid w:val="0056766F"/>
    <w:rsid w:val="0057008B"/>
    <w:rsid w:val="00571166"/>
    <w:rsid w:val="00572294"/>
    <w:rsid w:val="00574FD2"/>
    <w:rsid w:val="00574FF5"/>
    <w:rsid w:val="00577191"/>
    <w:rsid w:val="0057739A"/>
    <w:rsid w:val="00577572"/>
    <w:rsid w:val="0058056F"/>
    <w:rsid w:val="005827DF"/>
    <w:rsid w:val="005830BA"/>
    <w:rsid w:val="00585449"/>
    <w:rsid w:val="00585D33"/>
    <w:rsid w:val="00585DFF"/>
    <w:rsid w:val="0058715A"/>
    <w:rsid w:val="00591D1B"/>
    <w:rsid w:val="00594530"/>
    <w:rsid w:val="005A5839"/>
    <w:rsid w:val="005A6AD9"/>
    <w:rsid w:val="005B0E25"/>
    <w:rsid w:val="005B50A7"/>
    <w:rsid w:val="005B6176"/>
    <w:rsid w:val="005C064B"/>
    <w:rsid w:val="005C0FD9"/>
    <w:rsid w:val="005C25AB"/>
    <w:rsid w:val="005C3F58"/>
    <w:rsid w:val="005C57B0"/>
    <w:rsid w:val="005C626C"/>
    <w:rsid w:val="005D2DA4"/>
    <w:rsid w:val="005D3848"/>
    <w:rsid w:val="005D3C7A"/>
    <w:rsid w:val="005D4777"/>
    <w:rsid w:val="005D6B00"/>
    <w:rsid w:val="005E0FEE"/>
    <w:rsid w:val="005E29C0"/>
    <w:rsid w:val="005E5C20"/>
    <w:rsid w:val="005E60B2"/>
    <w:rsid w:val="005E73DF"/>
    <w:rsid w:val="005F14DA"/>
    <w:rsid w:val="005F4206"/>
    <w:rsid w:val="00602122"/>
    <w:rsid w:val="00604271"/>
    <w:rsid w:val="00612E8A"/>
    <w:rsid w:val="00614083"/>
    <w:rsid w:val="00615104"/>
    <w:rsid w:val="00617160"/>
    <w:rsid w:val="006206EB"/>
    <w:rsid w:val="00620B4E"/>
    <w:rsid w:val="00622C41"/>
    <w:rsid w:val="006248A6"/>
    <w:rsid w:val="0064193E"/>
    <w:rsid w:val="00644178"/>
    <w:rsid w:val="00645101"/>
    <w:rsid w:val="00646308"/>
    <w:rsid w:val="006464BB"/>
    <w:rsid w:val="00652B43"/>
    <w:rsid w:val="00653883"/>
    <w:rsid w:val="00653A4B"/>
    <w:rsid w:val="00657711"/>
    <w:rsid w:val="00664C27"/>
    <w:rsid w:val="00664DAA"/>
    <w:rsid w:val="00665A54"/>
    <w:rsid w:val="006752AE"/>
    <w:rsid w:val="00676735"/>
    <w:rsid w:val="006779E2"/>
    <w:rsid w:val="00677E1D"/>
    <w:rsid w:val="00680A02"/>
    <w:rsid w:val="00687589"/>
    <w:rsid w:val="00692296"/>
    <w:rsid w:val="006927BD"/>
    <w:rsid w:val="006A005B"/>
    <w:rsid w:val="006A2285"/>
    <w:rsid w:val="006A289A"/>
    <w:rsid w:val="006A4715"/>
    <w:rsid w:val="006A55F8"/>
    <w:rsid w:val="006A60E3"/>
    <w:rsid w:val="006A78BC"/>
    <w:rsid w:val="006A7C59"/>
    <w:rsid w:val="006B076F"/>
    <w:rsid w:val="006B38AC"/>
    <w:rsid w:val="006B620B"/>
    <w:rsid w:val="006C197A"/>
    <w:rsid w:val="006C3FE6"/>
    <w:rsid w:val="006C44FE"/>
    <w:rsid w:val="006C6C7C"/>
    <w:rsid w:val="006D025C"/>
    <w:rsid w:val="006E0EC7"/>
    <w:rsid w:val="006E22C7"/>
    <w:rsid w:val="006E2B16"/>
    <w:rsid w:val="006E7ADC"/>
    <w:rsid w:val="006F0790"/>
    <w:rsid w:val="006F610B"/>
    <w:rsid w:val="006F6258"/>
    <w:rsid w:val="006F7DCB"/>
    <w:rsid w:val="00700476"/>
    <w:rsid w:val="00700E00"/>
    <w:rsid w:val="007048E6"/>
    <w:rsid w:val="00704A92"/>
    <w:rsid w:val="00704F44"/>
    <w:rsid w:val="00705A3C"/>
    <w:rsid w:val="00706962"/>
    <w:rsid w:val="007104D6"/>
    <w:rsid w:val="007110E8"/>
    <w:rsid w:val="00715CEE"/>
    <w:rsid w:val="007206C2"/>
    <w:rsid w:val="00732A2A"/>
    <w:rsid w:val="00732FC1"/>
    <w:rsid w:val="007336C9"/>
    <w:rsid w:val="0073653A"/>
    <w:rsid w:val="00737FCA"/>
    <w:rsid w:val="00743FEB"/>
    <w:rsid w:val="007459D7"/>
    <w:rsid w:val="00750021"/>
    <w:rsid w:val="00753A1F"/>
    <w:rsid w:val="007572AC"/>
    <w:rsid w:val="00760314"/>
    <w:rsid w:val="00761BA4"/>
    <w:rsid w:val="00761DD7"/>
    <w:rsid w:val="0076281A"/>
    <w:rsid w:val="00763677"/>
    <w:rsid w:val="007639AB"/>
    <w:rsid w:val="00764D77"/>
    <w:rsid w:val="007660C9"/>
    <w:rsid w:val="007660E3"/>
    <w:rsid w:val="007731D9"/>
    <w:rsid w:val="00776D27"/>
    <w:rsid w:val="00780EC1"/>
    <w:rsid w:val="007831B1"/>
    <w:rsid w:val="00784557"/>
    <w:rsid w:val="00785B6B"/>
    <w:rsid w:val="007934BF"/>
    <w:rsid w:val="00793BCE"/>
    <w:rsid w:val="007946F6"/>
    <w:rsid w:val="00795C44"/>
    <w:rsid w:val="00797E38"/>
    <w:rsid w:val="007A469F"/>
    <w:rsid w:val="007B0768"/>
    <w:rsid w:val="007B087E"/>
    <w:rsid w:val="007B4F0D"/>
    <w:rsid w:val="007B525F"/>
    <w:rsid w:val="007B65EE"/>
    <w:rsid w:val="007C242D"/>
    <w:rsid w:val="007C32D4"/>
    <w:rsid w:val="007C38FE"/>
    <w:rsid w:val="007C3C05"/>
    <w:rsid w:val="007C7426"/>
    <w:rsid w:val="007D0EE9"/>
    <w:rsid w:val="007D1956"/>
    <w:rsid w:val="007D1D15"/>
    <w:rsid w:val="007D22CB"/>
    <w:rsid w:val="007D7F34"/>
    <w:rsid w:val="007E12B1"/>
    <w:rsid w:val="007E1878"/>
    <w:rsid w:val="007E1E08"/>
    <w:rsid w:val="007E21DF"/>
    <w:rsid w:val="007E29FD"/>
    <w:rsid w:val="007E356E"/>
    <w:rsid w:val="007E3F72"/>
    <w:rsid w:val="007E4925"/>
    <w:rsid w:val="007E4B48"/>
    <w:rsid w:val="007E531E"/>
    <w:rsid w:val="007E77DC"/>
    <w:rsid w:val="007F0127"/>
    <w:rsid w:val="007F08CD"/>
    <w:rsid w:val="007F0BB4"/>
    <w:rsid w:val="007F2960"/>
    <w:rsid w:val="007F2DE7"/>
    <w:rsid w:val="007F2E4A"/>
    <w:rsid w:val="007F34FA"/>
    <w:rsid w:val="007F43D2"/>
    <w:rsid w:val="007F5A41"/>
    <w:rsid w:val="007F7BC4"/>
    <w:rsid w:val="007F7EC3"/>
    <w:rsid w:val="00800FA2"/>
    <w:rsid w:val="00802039"/>
    <w:rsid w:val="00807211"/>
    <w:rsid w:val="00807966"/>
    <w:rsid w:val="00813EA9"/>
    <w:rsid w:val="00814F23"/>
    <w:rsid w:val="008156AB"/>
    <w:rsid w:val="0081622D"/>
    <w:rsid w:val="008179A2"/>
    <w:rsid w:val="00817C6B"/>
    <w:rsid w:val="00827287"/>
    <w:rsid w:val="0082737E"/>
    <w:rsid w:val="008275B9"/>
    <w:rsid w:val="00830202"/>
    <w:rsid w:val="0083135E"/>
    <w:rsid w:val="008320B4"/>
    <w:rsid w:val="00832B9A"/>
    <w:rsid w:val="00834FD9"/>
    <w:rsid w:val="00835E82"/>
    <w:rsid w:val="00844277"/>
    <w:rsid w:val="008446A5"/>
    <w:rsid w:val="008509F4"/>
    <w:rsid w:val="0085253B"/>
    <w:rsid w:val="00855193"/>
    <w:rsid w:val="008632C6"/>
    <w:rsid w:val="00873442"/>
    <w:rsid w:val="00875F10"/>
    <w:rsid w:val="00876719"/>
    <w:rsid w:val="00880472"/>
    <w:rsid w:val="00880577"/>
    <w:rsid w:val="00880B0A"/>
    <w:rsid w:val="00883783"/>
    <w:rsid w:val="00883BDD"/>
    <w:rsid w:val="00883EB1"/>
    <w:rsid w:val="008863E9"/>
    <w:rsid w:val="00887AD8"/>
    <w:rsid w:val="00891190"/>
    <w:rsid w:val="00892DE2"/>
    <w:rsid w:val="008938C4"/>
    <w:rsid w:val="00893CEC"/>
    <w:rsid w:val="00893E5D"/>
    <w:rsid w:val="008954F3"/>
    <w:rsid w:val="008965EA"/>
    <w:rsid w:val="00896DAC"/>
    <w:rsid w:val="008A0D70"/>
    <w:rsid w:val="008A3819"/>
    <w:rsid w:val="008A3F74"/>
    <w:rsid w:val="008A4AA0"/>
    <w:rsid w:val="008A5D6B"/>
    <w:rsid w:val="008B11BF"/>
    <w:rsid w:val="008B16AE"/>
    <w:rsid w:val="008B69A8"/>
    <w:rsid w:val="008B7016"/>
    <w:rsid w:val="008C1DDF"/>
    <w:rsid w:val="008C2A2F"/>
    <w:rsid w:val="008C51AB"/>
    <w:rsid w:val="008C709A"/>
    <w:rsid w:val="008D07DA"/>
    <w:rsid w:val="008D102C"/>
    <w:rsid w:val="008D12F0"/>
    <w:rsid w:val="008D2BBA"/>
    <w:rsid w:val="008D2BEF"/>
    <w:rsid w:val="008D380B"/>
    <w:rsid w:val="008D6D9C"/>
    <w:rsid w:val="008E0A40"/>
    <w:rsid w:val="008E1013"/>
    <w:rsid w:val="008E1031"/>
    <w:rsid w:val="008E1482"/>
    <w:rsid w:val="008E4036"/>
    <w:rsid w:val="008E41B5"/>
    <w:rsid w:val="008E4661"/>
    <w:rsid w:val="008E50B6"/>
    <w:rsid w:val="008E5176"/>
    <w:rsid w:val="008E7164"/>
    <w:rsid w:val="008E7918"/>
    <w:rsid w:val="008F4501"/>
    <w:rsid w:val="008F4E8A"/>
    <w:rsid w:val="008F67AF"/>
    <w:rsid w:val="008F7D4B"/>
    <w:rsid w:val="00900A83"/>
    <w:rsid w:val="00900CA4"/>
    <w:rsid w:val="0090182D"/>
    <w:rsid w:val="00901A46"/>
    <w:rsid w:val="00902928"/>
    <w:rsid w:val="00903722"/>
    <w:rsid w:val="0090633D"/>
    <w:rsid w:val="00907C5F"/>
    <w:rsid w:val="00911403"/>
    <w:rsid w:val="00911B22"/>
    <w:rsid w:val="009153F0"/>
    <w:rsid w:val="0092194D"/>
    <w:rsid w:val="009222A8"/>
    <w:rsid w:val="009229B6"/>
    <w:rsid w:val="00925323"/>
    <w:rsid w:val="00925EF3"/>
    <w:rsid w:val="00926B6E"/>
    <w:rsid w:val="0093018D"/>
    <w:rsid w:val="00933724"/>
    <w:rsid w:val="00933E6A"/>
    <w:rsid w:val="0093603A"/>
    <w:rsid w:val="00937167"/>
    <w:rsid w:val="00937E45"/>
    <w:rsid w:val="009403A2"/>
    <w:rsid w:val="009416B3"/>
    <w:rsid w:val="00943EC3"/>
    <w:rsid w:val="009446A3"/>
    <w:rsid w:val="0094539A"/>
    <w:rsid w:val="009462ED"/>
    <w:rsid w:val="00946C06"/>
    <w:rsid w:val="00947AB2"/>
    <w:rsid w:val="00950D42"/>
    <w:rsid w:val="00952EC6"/>
    <w:rsid w:val="00964F6A"/>
    <w:rsid w:val="00965049"/>
    <w:rsid w:val="0096556B"/>
    <w:rsid w:val="00971997"/>
    <w:rsid w:val="009728CF"/>
    <w:rsid w:val="00975465"/>
    <w:rsid w:val="00976862"/>
    <w:rsid w:val="00977D7D"/>
    <w:rsid w:val="00981FDC"/>
    <w:rsid w:val="00983A90"/>
    <w:rsid w:val="0098585D"/>
    <w:rsid w:val="00985FD8"/>
    <w:rsid w:val="0098648B"/>
    <w:rsid w:val="009870C0"/>
    <w:rsid w:val="0099110C"/>
    <w:rsid w:val="00994600"/>
    <w:rsid w:val="00996700"/>
    <w:rsid w:val="009979C7"/>
    <w:rsid w:val="009A012D"/>
    <w:rsid w:val="009A4179"/>
    <w:rsid w:val="009A60EA"/>
    <w:rsid w:val="009A792A"/>
    <w:rsid w:val="009B0F36"/>
    <w:rsid w:val="009B10C9"/>
    <w:rsid w:val="009B35C2"/>
    <w:rsid w:val="009B3C2E"/>
    <w:rsid w:val="009B4D6E"/>
    <w:rsid w:val="009B6E30"/>
    <w:rsid w:val="009B759B"/>
    <w:rsid w:val="009C15E8"/>
    <w:rsid w:val="009C289E"/>
    <w:rsid w:val="009C63AD"/>
    <w:rsid w:val="009D0A34"/>
    <w:rsid w:val="009D1DF2"/>
    <w:rsid w:val="009D374C"/>
    <w:rsid w:val="009D43AB"/>
    <w:rsid w:val="009D720D"/>
    <w:rsid w:val="009E5195"/>
    <w:rsid w:val="009E5B9C"/>
    <w:rsid w:val="009E6108"/>
    <w:rsid w:val="009E7136"/>
    <w:rsid w:val="009F0A79"/>
    <w:rsid w:val="009F0BE7"/>
    <w:rsid w:val="009F1316"/>
    <w:rsid w:val="009F3F45"/>
    <w:rsid w:val="009F7EE7"/>
    <w:rsid w:val="00A00867"/>
    <w:rsid w:val="00A0452D"/>
    <w:rsid w:val="00A05789"/>
    <w:rsid w:val="00A067E2"/>
    <w:rsid w:val="00A11264"/>
    <w:rsid w:val="00A11A73"/>
    <w:rsid w:val="00A1356E"/>
    <w:rsid w:val="00A2263B"/>
    <w:rsid w:val="00A238C3"/>
    <w:rsid w:val="00A254AA"/>
    <w:rsid w:val="00A26A6F"/>
    <w:rsid w:val="00A26D7F"/>
    <w:rsid w:val="00A34AC0"/>
    <w:rsid w:val="00A35261"/>
    <w:rsid w:val="00A36E5F"/>
    <w:rsid w:val="00A371B6"/>
    <w:rsid w:val="00A40D45"/>
    <w:rsid w:val="00A42A41"/>
    <w:rsid w:val="00A43373"/>
    <w:rsid w:val="00A442D6"/>
    <w:rsid w:val="00A46EEC"/>
    <w:rsid w:val="00A51D43"/>
    <w:rsid w:val="00A5261B"/>
    <w:rsid w:val="00A52780"/>
    <w:rsid w:val="00A5695B"/>
    <w:rsid w:val="00A57574"/>
    <w:rsid w:val="00A57CFA"/>
    <w:rsid w:val="00A60342"/>
    <w:rsid w:val="00A66A81"/>
    <w:rsid w:val="00A66D83"/>
    <w:rsid w:val="00A6739B"/>
    <w:rsid w:val="00A70B6F"/>
    <w:rsid w:val="00A716B4"/>
    <w:rsid w:val="00A7614B"/>
    <w:rsid w:val="00A818F2"/>
    <w:rsid w:val="00A82615"/>
    <w:rsid w:val="00A83A61"/>
    <w:rsid w:val="00A83B18"/>
    <w:rsid w:val="00A86698"/>
    <w:rsid w:val="00A91F3B"/>
    <w:rsid w:val="00A92AA4"/>
    <w:rsid w:val="00A92C49"/>
    <w:rsid w:val="00A95D77"/>
    <w:rsid w:val="00A97101"/>
    <w:rsid w:val="00AA071C"/>
    <w:rsid w:val="00AA073F"/>
    <w:rsid w:val="00AA0980"/>
    <w:rsid w:val="00AA0989"/>
    <w:rsid w:val="00AA334B"/>
    <w:rsid w:val="00AA746A"/>
    <w:rsid w:val="00AB2BA4"/>
    <w:rsid w:val="00AB301B"/>
    <w:rsid w:val="00AB3D1A"/>
    <w:rsid w:val="00AB4A91"/>
    <w:rsid w:val="00AC0E74"/>
    <w:rsid w:val="00AC1332"/>
    <w:rsid w:val="00AC2087"/>
    <w:rsid w:val="00AC6B03"/>
    <w:rsid w:val="00AD138A"/>
    <w:rsid w:val="00AD181C"/>
    <w:rsid w:val="00AD1B45"/>
    <w:rsid w:val="00AD384C"/>
    <w:rsid w:val="00AD652C"/>
    <w:rsid w:val="00AD6798"/>
    <w:rsid w:val="00AD74D7"/>
    <w:rsid w:val="00AE21DE"/>
    <w:rsid w:val="00AE6BED"/>
    <w:rsid w:val="00AE72C9"/>
    <w:rsid w:val="00AF0333"/>
    <w:rsid w:val="00AF0E01"/>
    <w:rsid w:val="00AF1BDD"/>
    <w:rsid w:val="00AF7DBA"/>
    <w:rsid w:val="00AF7EA8"/>
    <w:rsid w:val="00AF7EDE"/>
    <w:rsid w:val="00B01C90"/>
    <w:rsid w:val="00B03EFA"/>
    <w:rsid w:val="00B054BC"/>
    <w:rsid w:val="00B079DA"/>
    <w:rsid w:val="00B12C8A"/>
    <w:rsid w:val="00B13516"/>
    <w:rsid w:val="00B22F22"/>
    <w:rsid w:val="00B25694"/>
    <w:rsid w:val="00B25EF4"/>
    <w:rsid w:val="00B27022"/>
    <w:rsid w:val="00B279CC"/>
    <w:rsid w:val="00B27B67"/>
    <w:rsid w:val="00B30E05"/>
    <w:rsid w:val="00B3110A"/>
    <w:rsid w:val="00B3122E"/>
    <w:rsid w:val="00B3418B"/>
    <w:rsid w:val="00B345BD"/>
    <w:rsid w:val="00B35B39"/>
    <w:rsid w:val="00B367D8"/>
    <w:rsid w:val="00B372EC"/>
    <w:rsid w:val="00B37817"/>
    <w:rsid w:val="00B4018D"/>
    <w:rsid w:val="00B4180E"/>
    <w:rsid w:val="00B41910"/>
    <w:rsid w:val="00B41AD1"/>
    <w:rsid w:val="00B43420"/>
    <w:rsid w:val="00B44A43"/>
    <w:rsid w:val="00B50668"/>
    <w:rsid w:val="00B51B29"/>
    <w:rsid w:val="00B53537"/>
    <w:rsid w:val="00B545C8"/>
    <w:rsid w:val="00B565E5"/>
    <w:rsid w:val="00B57179"/>
    <w:rsid w:val="00B5788B"/>
    <w:rsid w:val="00B57925"/>
    <w:rsid w:val="00B625F1"/>
    <w:rsid w:val="00B64192"/>
    <w:rsid w:val="00B66449"/>
    <w:rsid w:val="00B705A9"/>
    <w:rsid w:val="00B709F0"/>
    <w:rsid w:val="00B71D9D"/>
    <w:rsid w:val="00B72DDF"/>
    <w:rsid w:val="00B75875"/>
    <w:rsid w:val="00B76AD6"/>
    <w:rsid w:val="00B76D4E"/>
    <w:rsid w:val="00B772BC"/>
    <w:rsid w:val="00B77B81"/>
    <w:rsid w:val="00B81321"/>
    <w:rsid w:val="00B82A66"/>
    <w:rsid w:val="00B8626F"/>
    <w:rsid w:val="00B873FF"/>
    <w:rsid w:val="00B91AAD"/>
    <w:rsid w:val="00B91D00"/>
    <w:rsid w:val="00B925C5"/>
    <w:rsid w:val="00B9657E"/>
    <w:rsid w:val="00B96A10"/>
    <w:rsid w:val="00BA1E9D"/>
    <w:rsid w:val="00BA560E"/>
    <w:rsid w:val="00BA6661"/>
    <w:rsid w:val="00BB02DD"/>
    <w:rsid w:val="00BB750A"/>
    <w:rsid w:val="00BB7CB2"/>
    <w:rsid w:val="00BC05C6"/>
    <w:rsid w:val="00BC1F8A"/>
    <w:rsid w:val="00BC20D1"/>
    <w:rsid w:val="00BC3714"/>
    <w:rsid w:val="00BC4742"/>
    <w:rsid w:val="00BC63C0"/>
    <w:rsid w:val="00BC6E4A"/>
    <w:rsid w:val="00BD1D05"/>
    <w:rsid w:val="00BD544A"/>
    <w:rsid w:val="00BD54CB"/>
    <w:rsid w:val="00BD750B"/>
    <w:rsid w:val="00BD7D43"/>
    <w:rsid w:val="00BD7E45"/>
    <w:rsid w:val="00BE0955"/>
    <w:rsid w:val="00BE12CA"/>
    <w:rsid w:val="00BE14B8"/>
    <w:rsid w:val="00BE1AD3"/>
    <w:rsid w:val="00BE3197"/>
    <w:rsid w:val="00BE41AE"/>
    <w:rsid w:val="00BE5158"/>
    <w:rsid w:val="00BE59F4"/>
    <w:rsid w:val="00BE7269"/>
    <w:rsid w:val="00BF2290"/>
    <w:rsid w:val="00BF53BB"/>
    <w:rsid w:val="00BF5533"/>
    <w:rsid w:val="00BF7AFA"/>
    <w:rsid w:val="00BF7E1B"/>
    <w:rsid w:val="00C010A8"/>
    <w:rsid w:val="00C029CB"/>
    <w:rsid w:val="00C03149"/>
    <w:rsid w:val="00C04162"/>
    <w:rsid w:val="00C10099"/>
    <w:rsid w:val="00C12408"/>
    <w:rsid w:val="00C13723"/>
    <w:rsid w:val="00C139F3"/>
    <w:rsid w:val="00C13DAC"/>
    <w:rsid w:val="00C148C7"/>
    <w:rsid w:val="00C158EE"/>
    <w:rsid w:val="00C15B2B"/>
    <w:rsid w:val="00C16DA1"/>
    <w:rsid w:val="00C174F9"/>
    <w:rsid w:val="00C20FEA"/>
    <w:rsid w:val="00C2467E"/>
    <w:rsid w:val="00C25F51"/>
    <w:rsid w:val="00C33364"/>
    <w:rsid w:val="00C33872"/>
    <w:rsid w:val="00C3697F"/>
    <w:rsid w:val="00C369EA"/>
    <w:rsid w:val="00C37E10"/>
    <w:rsid w:val="00C401D2"/>
    <w:rsid w:val="00C4041E"/>
    <w:rsid w:val="00C42A34"/>
    <w:rsid w:val="00C45D94"/>
    <w:rsid w:val="00C5266F"/>
    <w:rsid w:val="00C55C77"/>
    <w:rsid w:val="00C60178"/>
    <w:rsid w:val="00C612A4"/>
    <w:rsid w:val="00C660E2"/>
    <w:rsid w:val="00C73F9D"/>
    <w:rsid w:val="00C7643B"/>
    <w:rsid w:val="00C80FEC"/>
    <w:rsid w:val="00C83C9F"/>
    <w:rsid w:val="00C86C1C"/>
    <w:rsid w:val="00C9008D"/>
    <w:rsid w:val="00C902C8"/>
    <w:rsid w:val="00C90DF3"/>
    <w:rsid w:val="00C9116C"/>
    <w:rsid w:val="00C94DA3"/>
    <w:rsid w:val="00C9652C"/>
    <w:rsid w:val="00C9794E"/>
    <w:rsid w:val="00CA0975"/>
    <w:rsid w:val="00CA379D"/>
    <w:rsid w:val="00CA595B"/>
    <w:rsid w:val="00CA607A"/>
    <w:rsid w:val="00CA6C61"/>
    <w:rsid w:val="00CB3C05"/>
    <w:rsid w:val="00CB4B49"/>
    <w:rsid w:val="00CB4C3C"/>
    <w:rsid w:val="00CB6328"/>
    <w:rsid w:val="00CC1947"/>
    <w:rsid w:val="00CC5C67"/>
    <w:rsid w:val="00CD1B30"/>
    <w:rsid w:val="00CD203F"/>
    <w:rsid w:val="00CD3181"/>
    <w:rsid w:val="00CD381A"/>
    <w:rsid w:val="00CD3AC6"/>
    <w:rsid w:val="00CD45AE"/>
    <w:rsid w:val="00CE0754"/>
    <w:rsid w:val="00CE2D4A"/>
    <w:rsid w:val="00CE2E22"/>
    <w:rsid w:val="00CE2E51"/>
    <w:rsid w:val="00CE411B"/>
    <w:rsid w:val="00CE6FBE"/>
    <w:rsid w:val="00CF000D"/>
    <w:rsid w:val="00CF3F93"/>
    <w:rsid w:val="00CF7028"/>
    <w:rsid w:val="00D00234"/>
    <w:rsid w:val="00D00F99"/>
    <w:rsid w:val="00D058A7"/>
    <w:rsid w:val="00D069E7"/>
    <w:rsid w:val="00D07508"/>
    <w:rsid w:val="00D1221C"/>
    <w:rsid w:val="00D233D5"/>
    <w:rsid w:val="00D246B5"/>
    <w:rsid w:val="00D24964"/>
    <w:rsid w:val="00D25B58"/>
    <w:rsid w:val="00D26986"/>
    <w:rsid w:val="00D27AC8"/>
    <w:rsid w:val="00D3068D"/>
    <w:rsid w:val="00D31802"/>
    <w:rsid w:val="00D32C5D"/>
    <w:rsid w:val="00D3411F"/>
    <w:rsid w:val="00D35D67"/>
    <w:rsid w:val="00D35E08"/>
    <w:rsid w:val="00D367D5"/>
    <w:rsid w:val="00D37144"/>
    <w:rsid w:val="00D407BE"/>
    <w:rsid w:val="00D41D17"/>
    <w:rsid w:val="00D44706"/>
    <w:rsid w:val="00D45A3C"/>
    <w:rsid w:val="00D45BBA"/>
    <w:rsid w:val="00D47B19"/>
    <w:rsid w:val="00D52C50"/>
    <w:rsid w:val="00D5438E"/>
    <w:rsid w:val="00D5524D"/>
    <w:rsid w:val="00D572B0"/>
    <w:rsid w:val="00D606BB"/>
    <w:rsid w:val="00D61117"/>
    <w:rsid w:val="00D613E9"/>
    <w:rsid w:val="00D618B7"/>
    <w:rsid w:val="00D63092"/>
    <w:rsid w:val="00D63B91"/>
    <w:rsid w:val="00D63C7B"/>
    <w:rsid w:val="00D65DB0"/>
    <w:rsid w:val="00D67011"/>
    <w:rsid w:val="00D67068"/>
    <w:rsid w:val="00D67FDC"/>
    <w:rsid w:val="00D73077"/>
    <w:rsid w:val="00D73E21"/>
    <w:rsid w:val="00D75505"/>
    <w:rsid w:val="00D75B6F"/>
    <w:rsid w:val="00D814DA"/>
    <w:rsid w:val="00D82609"/>
    <w:rsid w:val="00D8458F"/>
    <w:rsid w:val="00D8486B"/>
    <w:rsid w:val="00D84C2C"/>
    <w:rsid w:val="00D868E5"/>
    <w:rsid w:val="00D9095E"/>
    <w:rsid w:val="00D95C87"/>
    <w:rsid w:val="00D96BF1"/>
    <w:rsid w:val="00D9708E"/>
    <w:rsid w:val="00DA4FAB"/>
    <w:rsid w:val="00DA6022"/>
    <w:rsid w:val="00DA78A5"/>
    <w:rsid w:val="00DB2D6A"/>
    <w:rsid w:val="00DB7377"/>
    <w:rsid w:val="00DC03A1"/>
    <w:rsid w:val="00DC0C8D"/>
    <w:rsid w:val="00DC1722"/>
    <w:rsid w:val="00DC3396"/>
    <w:rsid w:val="00DC501E"/>
    <w:rsid w:val="00DC5B63"/>
    <w:rsid w:val="00DC71A8"/>
    <w:rsid w:val="00DD0DAB"/>
    <w:rsid w:val="00DD0DB4"/>
    <w:rsid w:val="00DD1150"/>
    <w:rsid w:val="00DD2023"/>
    <w:rsid w:val="00DD2C14"/>
    <w:rsid w:val="00DD3313"/>
    <w:rsid w:val="00DD33DD"/>
    <w:rsid w:val="00DD4131"/>
    <w:rsid w:val="00DD454A"/>
    <w:rsid w:val="00DD5BB1"/>
    <w:rsid w:val="00DE2497"/>
    <w:rsid w:val="00DE313A"/>
    <w:rsid w:val="00DE3415"/>
    <w:rsid w:val="00DE3AA2"/>
    <w:rsid w:val="00DE3E67"/>
    <w:rsid w:val="00DE45FD"/>
    <w:rsid w:val="00DE4A14"/>
    <w:rsid w:val="00DE4B34"/>
    <w:rsid w:val="00DF0EFF"/>
    <w:rsid w:val="00DF137F"/>
    <w:rsid w:val="00DF1CF1"/>
    <w:rsid w:val="00DF2485"/>
    <w:rsid w:val="00DF2C9B"/>
    <w:rsid w:val="00DF4ABD"/>
    <w:rsid w:val="00DF4BAF"/>
    <w:rsid w:val="00E01587"/>
    <w:rsid w:val="00E01A57"/>
    <w:rsid w:val="00E01D10"/>
    <w:rsid w:val="00E0428F"/>
    <w:rsid w:val="00E047BB"/>
    <w:rsid w:val="00E05898"/>
    <w:rsid w:val="00E07A6B"/>
    <w:rsid w:val="00E1099E"/>
    <w:rsid w:val="00E11970"/>
    <w:rsid w:val="00E13097"/>
    <w:rsid w:val="00E1316A"/>
    <w:rsid w:val="00E146DA"/>
    <w:rsid w:val="00E14A64"/>
    <w:rsid w:val="00E14A7A"/>
    <w:rsid w:val="00E2018F"/>
    <w:rsid w:val="00E212D7"/>
    <w:rsid w:val="00E21FAB"/>
    <w:rsid w:val="00E2447B"/>
    <w:rsid w:val="00E24BEE"/>
    <w:rsid w:val="00E26137"/>
    <w:rsid w:val="00E306E9"/>
    <w:rsid w:val="00E317EC"/>
    <w:rsid w:val="00E31C02"/>
    <w:rsid w:val="00E3276A"/>
    <w:rsid w:val="00E34BFE"/>
    <w:rsid w:val="00E36C29"/>
    <w:rsid w:val="00E41573"/>
    <w:rsid w:val="00E4249B"/>
    <w:rsid w:val="00E434A6"/>
    <w:rsid w:val="00E43BA5"/>
    <w:rsid w:val="00E44119"/>
    <w:rsid w:val="00E45DF5"/>
    <w:rsid w:val="00E50A3E"/>
    <w:rsid w:val="00E518C6"/>
    <w:rsid w:val="00E51B60"/>
    <w:rsid w:val="00E522AD"/>
    <w:rsid w:val="00E52563"/>
    <w:rsid w:val="00E549D4"/>
    <w:rsid w:val="00E55899"/>
    <w:rsid w:val="00E5589B"/>
    <w:rsid w:val="00E56471"/>
    <w:rsid w:val="00E6062B"/>
    <w:rsid w:val="00E60C23"/>
    <w:rsid w:val="00E63BED"/>
    <w:rsid w:val="00E64761"/>
    <w:rsid w:val="00E64FD1"/>
    <w:rsid w:val="00E64FFB"/>
    <w:rsid w:val="00E7047D"/>
    <w:rsid w:val="00E7101F"/>
    <w:rsid w:val="00E73FE6"/>
    <w:rsid w:val="00E770A4"/>
    <w:rsid w:val="00E77F58"/>
    <w:rsid w:val="00E815D7"/>
    <w:rsid w:val="00E8291D"/>
    <w:rsid w:val="00E843DB"/>
    <w:rsid w:val="00E85927"/>
    <w:rsid w:val="00E976F0"/>
    <w:rsid w:val="00EA232B"/>
    <w:rsid w:val="00EA3B71"/>
    <w:rsid w:val="00EA52D0"/>
    <w:rsid w:val="00EA6585"/>
    <w:rsid w:val="00EA6A12"/>
    <w:rsid w:val="00EA73D2"/>
    <w:rsid w:val="00EB0943"/>
    <w:rsid w:val="00EB0B30"/>
    <w:rsid w:val="00EB1F34"/>
    <w:rsid w:val="00EB4661"/>
    <w:rsid w:val="00EB51F4"/>
    <w:rsid w:val="00EB6306"/>
    <w:rsid w:val="00EB697B"/>
    <w:rsid w:val="00EB7F68"/>
    <w:rsid w:val="00EC13E4"/>
    <w:rsid w:val="00EC1789"/>
    <w:rsid w:val="00EC1A9A"/>
    <w:rsid w:val="00EC5159"/>
    <w:rsid w:val="00EC5BD8"/>
    <w:rsid w:val="00EC6099"/>
    <w:rsid w:val="00EC63CD"/>
    <w:rsid w:val="00ED26BA"/>
    <w:rsid w:val="00ED4E25"/>
    <w:rsid w:val="00ED6F61"/>
    <w:rsid w:val="00ED7136"/>
    <w:rsid w:val="00EE0101"/>
    <w:rsid w:val="00EE0395"/>
    <w:rsid w:val="00EE0BCD"/>
    <w:rsid w:val="00EE1040"/>
    <w:rsid w:val="00EE5007"/>
    <w:rsid w:val="00EE5520"/>
    <w:rsid w:val="00EE7315"/>
    <w:rsid w:val="00EE74CE"/>
    <w:rsid w:val="00EE75C9"/>
    <w:rsid w:val="00EF3843"/>
    <w:rsid w:val="00F003FF"/>
    <w:rsid w:val="00F01231"/>
    <w:rsid w:val="00F022FA"/>
    <w:rsid w:val="00F044B7"/>
    <w:rsid w:val="00F101D3"/>
    <w:rsid w:val="00F10FE3"/>
    <w:rsid w:val="00F11C9A"/>
    <w:rsid w:val="00F14316"/>
    <w:rsid w:val="00F14627"/>
    <w:rsid w:val="00F1496D"/>
    <w:rsid w:val="00F154AA"/>
    <w:rsid w:val="00F15B70"/>
    <w:rsid w:val="00F16495"/>
    <w:rsid w:val="00F175DF"/>
    <w:rsid w:val="00F213E0"/>
    <w:rsid w:val="00F215DF"/>
    <w:rsid w:val="00F24EA9"/>
    <w:rsid w:val="00F3016D"/>
    <w:rsid w:val="00F30271"/>
    <w:rsid w:val="00F3196F"/>
    <w:rsid w:val="00F34262"/>
    <w:rsid w:val="00F34D97"/>
    <w:rsid w:val="00F47C64"/>
    <w:rsid w:val="00F500EB"/>
    <w:rsid w:val="00F50830"/>
    <w:rsid w:val="00F531E6"/>
    <w:rsid w:val="00F54A07"/>
    <w:rsid w:val="00F54D2E"/>
    <w:rsid w:val="00F55A82"/>
    <w:rsid w:val="00F63502"/>
    <w:rsid w:val="00F64A5C"/>
    <w:rsid w:val="00F668A1"/>
    <w:rsid w:val="00F67200"/>
    <w:rsid w:val="00F7018F"/>
    <w:rsid w:val="00F72A9A"/>
    <w:rsid w:val="00F73686"/>
    <w:rsid w:val="00F741D9"/>
    <w:rsid w:val="00F750C7"/>
    <w:rsid w:val="00F77B83"/>
    <w:rsid w:val="00F83C1D"/>
    <w:rsid w:val="00F90771"/>
    <w:rsid w:val="00F915BF"/>
    <w:rsid w:val="00F92A06"/>
    <w:rsid w:val="00F93A78"/>
    <w:rsid w:val="00F949CD"/>
    <w:rsid w:val="00F94FB8"/>
    <w:rsid w:val="00F96902"/>
    <w:rsid w:val="00F96C59"/>
    <w:rsid w:val="00F96E09"/>
    <w:rsid w:val="00FA2E95"/>
    <w:rsid w:val="00FA4169"/>
    <w:rsid w:val="00FB1B8A"/>
    <w:rsid w:val="00FB39A9"/>
    <w:rsid w:val="00FC19A2"/>
    <w:rsid w:val="00FC37A5"/>
    <w:rsid w:val="00FC62B7"/>
    <w:rsid w:val="00FD2414"/>
    <w:rsid w:val="00FD2BA1"/>
    <w:rsid w:val="00FD631E"/>
    <w:rsid w:val="00FE0083"/>
    <w:rsid w:val="00FE0E8C"/>
    <w:rsid w:val="00FE13F8"/>
    <w:rsid w:val="00FE694F"/>
    <w:rsid w:val="00FE79DF"/>
    <w:rsid w:val="00FE7F85"/>
    <w:rsid w:val="00FF6A1F"/>
    <w:rsid w:val="00FF714D"/>
    <w:rsid w:val="01A272F9"/>
    <w:rsid w:val="0C0D64B0"/>
    <w:rsid w:val="28EC607D"/>
    <w:rsid w:val="3D9D50C4"/>
    <w:rsid w:val="40FF1D02"/>
    <w:rsid w:val="485830BD"/>
    <w:rsid w:val="651111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unhideWhenUsed/>
    <w:qForma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Times New Roman" w:hAnsi="Times New Roman"/>
      <w:b/>
      <w:bCs/>
      <w:kern w:val="44"/>
      <w:sz w:val="44"/>
      <w:szCs w:val="44"/>
    </w:rPr>
  </w:style>
  <w:style w:type="paragraph" w:styleId="a3">
    <w:name w:val="Document Map"/>
    <w:basedOn w:val="a"/>
    <w:link w:val="Char"/>
    <w:uiPriority w:val="99"/>
    <w:unhideWhenUsed/>
    <w:qFormat/>
    <w:rPr>
      <w:rFonts w:ascii="宋体"/>
      <w:sz w:val="18"/>
      <w:szCs w:val="18"/>
    </w:rPr>
  </w:style>
  <w:style w:type="character" w:customStyle="1" w:styleId="Char">
    <w:name w:val="文档结构图 Char"/>
    <w:basedOn w:val="a0"/>
    <w:link w:val="a3"/>
    <w:uiPriority w:val="99"/>
    <w:semiHidden/>
    <w:qFormat/>
    <w:rPr>
      <w:rFonts w:ascii="宋体" w:hAnsi="Times New Roman"/>
      <w:kern w:val="2"/>
      <w:sz w:val="18"/>
      <w:szCs w:val="18"/>
    </w:rPr>
  </w:style>
  <w:style w:type="paragraph" w:styleId="a4">
    <w:name w:val="annotation text"/>
    <w:basedOn w:val="a"/>
    <w:link w:val="Char0"/>
    <w:unhideWhenUsed/>
    <w:qFormat/>
    <w:pPr>
      <w:jc w:val="left"/>
    </w:pPr>
  </w:style>
  <w:style w:type="character" w:customStyle="1" w:styleId="Char0">
    <w:name w:val="批注文字 Char"/>
    <w:basedOn w:val="a0"/>
    <w:link w:val="a4"/>
    <w:qFormat/>
    <w:rPr>
      <w:rFonts w:ascii="Times New Roman" w:hAnsi="Times New Roman"/>
      <w:kern w:val="2"/>
      <w:sz w:val="21"/>
      <w:szCs w:val="24"/>
    </w:rPr>
  </w:style>
  <w:style w:type="paragraph" w:styleId="a5">
    <w:name w:val="Plain Text"/>
    <w:basedOn w:val="a"/>
    <w:link w:val="Char1"/>
    <w:uiPriority w:val="99"/>
    <w:qFormat/>
    <w:rPr>
      <w:rFonts w:ascii="宋体" w:hAnsi="Courier New" w:hint="eastAsia"/>
      <w:szCs w:val="20"/>
    </w:rPr>
  </w:style>
  <w:style w:type="character" w:customStyle="1" w:styleId="Char1">
    <w:name w:val="纯文本 Char"/>
    <w:basedOn w:val="a0"/>
    <w:link w:val="a5"/>
    <w:uiPriority w:val="99"/>
    <w:qFormat/>
    <w:rPr>
      <w:rFonts w:ascii="宋体" w:hAnsi="Courier New"/>
      <w:kern w:val="2"/>
      <w:sz w:val="21"/>
    </w:rPr>
  </w:style>
  <w:style w:type="paragraph" w:styleId="a6">
    <w:name w:val="Balloon Text"/>
    <w:basedOn w:val="a"/>
    <w:link w:val="Char2"/>
    <w:uiPriority w:val="99"/>
    <w:unhideWhenUsed/>
    <w:qFormat/>
    <w:rPr>
      <w:sz w:val="18"/>
      <w:szCs w:val="18"/>
    </w:rPr>
  </w:style>
  <w:style w:type="character" w:customStyle="1" w:styleId="Char2">
    <w:name w:val="批注框文本 Char"/>
    <w:basedOn w:val="a0"/>
    <w:link w:val="a6"/>
    <w:uiPriority w:val="99"/>
    <w:semiHidden/>
    <w:qFormat/>
    <w:rPr>
      <w:rFonts w:ascii="Times New Roman" w:hAnsi="Times New Roman"/>
      <w:kern w:val="2"/>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character" w:customStyle="1" w:styleId="Char3">
    <w:name w:val="页脚 Char"/>
    <w:basedOn w:val="a0"/>
    <w:link w:val="a7"/>
    <w:uiPriority w:val="99"/>
    <w:qFormat/>
    <w:rPr>
      <w:rFonts w:ascii="Times New Roman" w:hAnsi="Times New Roman"/>
      <w:kern w:val="2"/>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8"/>
    <w:uiPriority w:val="99"/>
    <w:qFormat/>
    <w:rPr>
      <w:rFonts w:ascii="Times New Roman" w:hAnsi="Times New Roman"/>
      <w:kern w:val="2"/>
      <w:sz w:val="18"/>
      <w:szCs w:val="18"/>
    </w:rPr>
  </w:style>
  <w:style w:type="paragraph" w:styleId="3">
    <w:name w:val="Body Text Indent 3"/>
    <w:basedOn w:val="a"/>
    <w:link w:val="3Char"/>
    <w:qFormat/>
    <w:pPr>
      <w:spacing w:line="400" w:lineRule="atLeast"/>
      <w:ind w:firstLine="600"/>
    </w:pPr>
    <w:rPr>
      <w:rFonts w:ascii="宋体" w:hint="eastAsia"/>
      <w:sz w:val="28"/>
      <w:szCs w:val="20"/>
    </w:rPr>
  </w:style>
  <w:style w:type="character" w:customStyle="1" w:styleId="3Char">
    <w:name w:val="正文文本缩进 3 Char"/>
    <w:basedOn w:val="a0"/>
    <w:link w:val="3"/>
    <w:qFormat/>
    <w:rPr>
      <w:rFonts w:ascii="宋体" w:eastAsia="宋体" w:hAnsi="Times New Roman" w:cs="Times New Roman"/>
      <w:sz w:val="28"/>
      <w:szCs w:val="20"/>
    </w:rPr>
  </w:style>
  <w:style w:type="paragraph" w:styleId="a9">
    <w:name w:val="Normal (Web)"/>
    <w:basedOn w:val="a"/>
    <w:uiPriority w:val="99"/>
    <w:unhideWhenUsed/>
    <w:qFormat/>
    <w:rPr>
      <w:sz w:val="24"/>
    </w:rPr>
  </w:style>
  <w:style w:type="paragraph" w:styleId="aa">
    <w:name w:val="annotation subject"/>
    <w:basedOn w:val="a4"/>
    <w:next w:val="a4"/>
    <w:link w:val="Char5"/>
    <w:uiPriority w:val="99"/>
    <w:unhideWhenUsed/>
    <w:qFormat/>
    <w:rPr>
      <w:b/>
      <w:bCs/>
    </w:rPr>
  </w:style>
  <w:style w:type="character" w:customStyle="1" w:styleId="Char5">
    <w:name w:val="批注主题 Char"/>
    <w:basedOn w:val="Char0"/>
    <w:link w:val="aa"/>
    <w:uiPriority w:val="99"/>
    <w:semiHidden/>
    <w:qFormat/>
    <w:rPr>
      <w:rFonts w:ascii="Times New Roman" w:hAnsi="Times New Roman"/>
      <w:b/>
      <w:bCs/>
      <w:kern w:val="2"/>
      <w:sz w:val="21"/>
      <w:szCs w:val="24"/>
    </w:rPr>
  </w:style>
  <w:style w:type="character" w:styleId="ab">
    <w:name w:val="Hyperlink"/>
    <w:basedOn w:val="a0"/>
    <w:uiPriority w:val="99"/>
    <w:qFormat/>
    <w:rPr>
      <w:color w:val="0000FF"/>
      <w:u w:val="single"/>
    </w:rPr>
  </w:style>
  <w:style w:type="character" w:styleId="ac">
    <w:name w:val="annotation reference"/>
    <w:basedOn w:val="a0"/>
    <w:unhideWhenUsed/>
    <w:qFormat/>
    <w:rPr>
      <w:sz w:val="21"/>
      <w:szCs w:val="21"/>
    </w:rPr>
  </w:style>
  <w:style w:type="paragraph" w:customStyle="1" w:styleId="10">
    <w:name w:val="修订1"/>
    <w:uiPriority w:val="99"/>
    <w:semiHidden/>
    <w:qFormat/>
    <w:rPr>
      <w:rFonts w:ascii="Times New Roman" w:hAnsi="Times New Roman"/>
      <w:kern w:val="2"/>
      <w:sz w:val="21"/>
      <w:szCs w:val="24"/>
    </w:rPr>
  </w:style>
  <w:style w:type="paragraph" w:customStyle="1" w:styleId="-">
    <w:name w:val="模板-正文"/>
    <w:basedOn w:val="a9"/>
    <w:link w:val="-Char"/>
    <w:qFormat/>
    <w:pPr>
      <w:widowControl/>
      <w:shd w:val="clear" w:color="auto" w:fill="FFFFFF"/>
      <w:snapToGrid w:val="0"/>
      <w:spacing w:line="360" w:lineRule="auto"/>
      <w:ind w:firstLineChars="200" w:firstLine="200"/>
    </w:pPr>
    <w:rPr>
      <w:rFonts w:ascii="宋体" w:hAnsi="宋体"/>
      <w:color w:val="222222"/>
      <w:kern w:val="0"/>
      <w:sz w:val="21"/>
      <w:szCs w:val="21"/>
    </w:rPr>
  </w:style>
  <w:style w:type="character" w:customStyle="1" w:styleId="-Char">
    <w:name w:val="模板-正文 Char"/>
    <w:link w:val="-"/>
    <w:qFormat/>
    <w:rPr>
      <w:rFonts w:ascii="宋体" w:hAnsi="宋体"/>
      <w:color w:val="222222"/>
      <w:sz w:val="21"/>
      <w:szCs w:val="21"/>
      <w:shd w:val="clear" w:color="auto" w:fill="FFFFFF"/>
    </w:rPr>
  </w:style>
  <w:style w:type="paragraph" w:customStyle="1" w:styleId="2">
    <w:name w:val="样式 首行缩进:  2 字符"/>
    <w:basedOn w:val="a"/>
    <w:uiPriority w:val="99"/>
    <w:qFormat/>
    <w:pPr>
      <w:spacing w:before="100" w:beforeAutospacing="1" w:after="100" w:afterAutospacing="1" w:line="360" w:lineRule="auto"/>
      <w:ind w:firstLineChars="200" w:firstLine="480"/>
    </w:pPr>
    <w:rPr>
      <w:szCs w:val="20"/>
    </w:rPr>
  </w:style>
  <w:style w:type="paragraph" w:customStyle="1" w:styleId="ad">
    <w:name w:val="正文所"/>
    <w:basedOn w:val="a"/>
    <w:qFormat/>
    <w:pPr>
      <w:spacing w:line="360" w:lineRule="auto"/>
      <w:ind w:firstLineChars="200" w:firstLine="420"/>
    </w:pPr>
  </w:style>
  <w:style w:type="table" w:customStyle="1" w:styleId="dxjgtable">
    <w:name w:val="dxjg_table"/>
    <w:basedOn w:val="a1"/>
    <w:uiPriority w:val="99"/>
    <w:qFormat/>
    <w:rPr>
      <w:rFonts w:ascii="Times New Roman" w:hAnsi="Times New Roman"/>
      <w:color w:val="000000"/>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rFonts w:eastAsia="Arial"/>
        <w:b/>
        <w:sz w:val="21"/>
      </w:rPr>
      <w:tblPr/>
      <w:tcPr>
        <w:shd w:val="clear" w:color="auto" w:fill="FFFFFF"/>
      </w:tcPr>
    </w:tblStylePr>
    <w:tblStylePr w:type="firstCol">
      <w:rPr>
        <w:b w:val="0"/>
      </w:rPr>
    </w:tblStyle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1451</Words>
  <Characters>8277</Characters>
  <Application>Microsoft Office Word</Application>
  <DocSecurity>4</DocSecurity>
  <Lines>68</Lines>
  <Paragraphs>19</Paragraphs>
  <ScaleCrop>false</ScaleCrop>
  <Company>vdi</Company>
  <LinksUpToDate>false</LinksUpToDate>
  <CharactersWithSpaces>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无敌໒꒱喵星人</dc:creator>
  <cp:keywords/>
  <cp:lastModifiedBy>ZHONGM</cp:lastModifiedBy>
  <cp:revision>2</cp:revision>
  <dcterms:created xsi:type="dcterms:W3CDTF">2026-03-31T16:04:00Z</dcterms:created>
  <dcterms:modified xsi:type="dcterms:W3CDTF">2026-03-31T16:04:00Z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3DFCD8EC83B6424C9AD4782A2225A289_13</vt:lpwstr>
  </property>
</Properties>
</file>