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37A" w:rsidRDefault="002E484F">
      <w:pPr>
        <w:widowControl/>
        <w:snapToGrid w:val="0"/>
        <w:spacing w:line="440" w:lineRule="exact"/>
        <w:jc w:val="center"/>
        <w:rPr>
          <w:rFonts w:ascii="宋体" w:hAnsi="宋体"/>
          <w:b/>
          <w:kern w:val="0"/>
          <w:sz w:val="30"/>
          <w:szCs w:val="30"/>
        </w:rPr>
      </w:pPr>
      <w:bookmarkStart w:id="0" w:name="_GoBack"/>
      <w:r>
        <w:rPr>
          <w:rFonts w:ascii="宋体" w:hAnsi="宋体" w:hint="eastAsia"/>
          <w:b/>
          <w:kern w:val="0"/>
          <w:sz w:val="30"/>
          <w:szCs w:val="30"/>
        </w:rPr>
        <w:t>招商基金管理有限公司</w:t>
      </w:r>
      <w:bookmarkEnd w:id="0"/>
      <w:r>
        <w:rPr>
          <w:rFonts w:ascii="宋体" w:hAnsi="宋体" w:hint="eastAsia"/>
          <w:b/>
          <w:kern w:val="0"/>
          <w:sz w:val="30"/>
          <w:szCs w:val="30"/>
        </w:rPr>
        <w:t>关于</w:t>
      </w:r>
      <w:r>
        <w:rPr>
          <w:rFonts w:ascii="宋体" w:hAnsi="宋体" w:hint="eastAsia"/>
          <w:b/>
          <w:kern w:val="0"/>
          <w:sz w:val="30"/>
          <w:szCs w:val="30"/>
        </w:rPr>
        <w:t>指定证券投资基金主</w:t>
      </w:r>
      <w:r>
        <w:rPr>
          <w:rFonts w:ascii="宋体" w:hAnsi="宋体" w:hint="eastAsia"/>
          <w:b/>
          <w:kern w:val="0"/>
          <w:sz w:val="30"/>
          <w:szCs w:val="30"/>
        </w:rPr>
        <w:t>流动性服务商的公告</w:t>
      </w:r>
    </w:p>
    <w:p w:rsidR="00F7137A" w:rsidRDefault="00F7137A">
      <w:pPr>
        <w:widowControl/>
        <w:snapToGrid w:val="0"/>
        <w:spacing w:line="440" w:lineRule="exact"/>
        <w:ind w:firstLine="600"/>
        <w:jc w:val="center"/>
        <w:rPr>
          <w:rFonts w:ascii="宋体" w:hAnsi="宋体"/>
          <w:kern w:val="0"/>
          <w:sz w:val="30"/>
          <w:szCs w:val="30"/>
        </w:rPr>
      </w:pPr>
    </w:p>
    <w:p w:rsidR="00F7137A" w:rsidRDefault="002E484F">
      <w:pPr>
        <w:spacing w:line="440" w:lineRule="exact"/>
        <w:ind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根据《深圳证券交易所证券投资基金业务指引第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号——流动性服务》等有关规定，自</w:t>
      </w:r>
      <w:r>
        <w:rPr>
          <w:rFonts w:ascii="宋体" w:hAnsi="宋体" w:hint="eastAsia"/>
          <w:szCs w:val="21"/>
        </w:rPr>
        <w:t>2026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日起，本公司</w:t>
      </w:r>
      <w:r>
        <w:rPr>
          <w:rFonts w:ascii="宋体" w:hAnsi="宋体" w:hint="eastAsia"/>
          <w:szCs w:val="21"/>
        </w:rPr>
        <w:t>指定下列流动性服务商为相关证券投资基金的主流动性服务商：</w:t>
      </w:r>
    </w:p>
    <w:p w:rsidR="00F7137A" w:rsidRDefault="002E484F">
      <w:pPr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、招商国证港股通科技交易型开放式指数证券投资基金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159125</w:t>
      </w:r>
      <w:r>
        <w:rPr>
          <w:rFonts w:ascii="宋体" w:hAnsi="宋体" w:hint="eastAsia"/>
          <w:szCs w:val="21"/>
        </w:rPr>
        <w:t>）：</w:t>
      </w:r>
    </w:p>
    <w:p w:rsidR="00F7137A" w:rsidRDefault="002E484F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</w:t>
      </w:r>
      <w:r>
        <w:rPr>
          <w:rFonts w:ascii="宋体" w:hAnsi="宋体" w:hint="eastAsia"/>
          <w:szCs w:val="21"/>
        </w:rPr>
        <w:t>广发证券股份有限公司</w:t>
      </w:r>
    </w:p>
    <w:p w:rsidR="00F7137A" w:rsidRDefault="002E484F">
      <w:pPr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、招商中证全指红利质量交易型开放式指数证券投资基金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159209</w:t>
      </w:r>
      <w:r>
        <w:rPr>
          <w:rFonts w:ascii="宋体" w:hAnsi="宋体" w:hint="eastAsia"/>
          <w:szCs w:val="21"/>
        </w:rPr>
        <w:t>）：</w:t>
      </w:r>
    </w:p>
    <w:p w:rsidR="00F7137A" w:rsidRDefault="002E484F">
      <w:pPr>
        <w:spacing w:line="44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</w:t>
      </w:r>
      <w:r>
        <w:rPr>
          <w:rFonts w:ascii="宋体" w:hAnsi="宋体" w:hint="eastAsia"/>
          <w:szCs w:val="21"/>
        </w:rPr>
        <w:t>广发证券股份有限公司</w:t>
      </w:r>
    </w:p>
    <w:p w:rsidR="00F7137A" w:rsidRDefault="002E484F">
      <w:pPr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>
        <w:rPr>
          <w:rFonts w:ascii="宋体" w:hAnsi="宋体" w:hint="eastAsia"/>
          <w:szCs w:val="21"/>
        </w:rPr>
        <w:t>、招商国证食品饮料行业交易型开放式指数证券投资基金（</w:t>
      </w:r>
      <w:r>
        <w:rPr>
          <w:rFonts w:ascii="宋体" w:hAnsi="宋体" w:hint="eastAsia"/>
          <w:szCs w:val="21"/>
        </w:rPr>
        <w:t>159843</w:t>
      </w:r>
      <w:r>
        <w:rPr>
          <w:rFonts w:ascii="宋体" w:hAnsi="宋体" w:hint="eastAsia"/>
          <w:szCs w:val="21"/>
        </w:rPr>
        <w:t>）：</w:t>
      </w:r>
    </w:p>
    <w:p w:rsidR="00F7137A" w:rsidRDefault="002E484F">
      <w:pPr>
        <w:spacing w:line="440" w:lineRule="exact"/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广发证券股份有限公司</w:t>
      </w:r>
    </w:p>
    <w:p w:rsidR="00F7137A" w:rsidRDefault="002E484F">
      <w:pPr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、招商中证生物科技主题交易型开放式指数证券投资基金（</w:t>
      </w:r>
      <w:r>
        <w:rPr>
          <w:rFonts w:ascii="宋体" w:hAnsi="宋体" w:hint="eastAsia"/>
          <w:szCs w:val="21"/>
        </w:rPr>
        <w:t>159849</w:t>
      </w:r>
      <w:r>
        <w:rPr>
          <w:rFonts w:ascii="宋体" w:hAnsi="宋体" w:hint="eastAsia"/>
          <w:szCs w:val="21"/>
        </w:rPr>
        <w:t>）：</w:t>
      </w:r>
    </w:p>
    <w:p w:rsidR="00F7137A" w:rsidRDefault="002E484F">
      <w:pPr>
        <w:spacing w:line="440" w:lineRule="exact"/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广发证券股份有限公司</w:t>
      </w:r>
    </w:p>
    <w:p w:rsidR="00F7137A" w:rsidRDefault="002E484F">
      <w:pPr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>
        <w:rPr>
          <w:rFonts w:ascii="宋体" w:hAnsi="宋体" w:hint="eastAsia"/>
          <w:szCs w:val="21"/>
        </w:rPr>
        <w:t>、招商中证云计算与大数据主题交易型开放式指数证券投资基金（</w:t>
      </w:r>
      <w:r>
        <w:rPr>
          <w:rFonts w:ascii="宋体" w:hAnsi="宋体" w:hint="eastAsia"/>
          <w:szCs w:val="21"/>
        </w:rPr>
        <w:t>159890</w:t>
      </w:r>
      <w:r>
        <w:rPr>
          <w:rFonts w:ascii="宋体" w:hAnsi="宋体" w:hint="eastAsia"/>
          <w:szCs w:val="21"/>
        </w:rPr>
        <w:t>）：</w:t>
      </w:r>
    </w:p>
    <w:p w:rsidR="00F7137A" w:rsidRDefault="002E484F">
      <w:pPr>
        <w:spacing w:line="440" w:lineRule="exact"/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广发证券股份有限公司</w:t>
      </w:r>
    </w:p>
    <w:p w:rsidR="00F7137A" w:rsidRDefault="002E484F">
      <w:pPr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>招商创业板大盘交易型开放式指数证券投资基金（</w:t>
      </w:r>
      <w:r>
        <w:rPr>
          <w:rFonts w:ascii="宋体" w:hAnsi="宋体" w:hint="eastAsia"/>
          <w:szCs w:val="21"/>
        </w:rPr>
        <w:t>159991</w:t>
      </w:r>
      <w:r>
        <w:rPr>
          <w:rFonts w:ascii="宋体" w:hAnsi="宋体" w:hint="eastAsia"/>
          <w:szCs w:val="21"/>
        </w:rPr>
        <w:t>）：</w:t>
      </w:r>
    </w:p>
    <w:p w:rsidR="00F7137A" w:rsidRDefault="002E484F">
      <w:pPr>
        <w:spacing w:line="440" w:lineRule="exact"/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广发证券股份有限公司</w:t>
      </w:r>
    </w:p>
    <w:p w:rsidR="00F7137A" w:rsidRDefault="00F7137A">
      <w:pPr>
        <w:spacing w:line="440" w:lineRule="exact"/>
        <w:ind w:firstLine="420"/>
        <w:rPr>
          <w:rFonts w:ascii="宋体" w:hAnsi="宋体"/>
          <w:szCs w:val="21"/>
        </w:rPr>
      </w:pPr>
    </w:p>
    <w:p w:rsidR="00F7137A" w:rsidRDefault="002E484F">
      <w:pPr>
        <w:spacing w:line="440" w:lineRule="exact"/>
        <w:ind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特此公告。</w:t>
      </w:r>
    </w:p>
    <w:p w:rsidR="00F7137A" w:rsidRDefault="002E484F">
      <w:pPr>
        <w:spacing w:line="440" w:lineRule="exact"/>
        <w:ind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</w:t>
      </w:r>
    </w:p>
    <w:p w:rsidR="00F7137A" w:rsidRDefault="002E484F">
      <w:pPr>
        <w:spacing w:line="440" w:lineRule="exact"/>
        <w:ind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</w:t>
      </w:r>
      <w:r>
        <w:rPr>
          <w:rFonts w:ascii="宋体" w:hAnsi="宋体" w:hint="eastAsia"/>
          <w:szCs w:val="21"/>
        </w:rPr>
        <w:t>基金管理有限公司</w:t>
      </w:r>
    </w:p>
    <w:p w:rsidR="00F7137A" w:rsidRDefault="002E484F">
      <w:pPr>
        <w:spacing w:line="440" w:lineRule="exact"/>
        <w:ind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2026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日</w:t>
      </w:r>
    </w:p>
    <w:p w:rsidR="00F7137A" w:rsidRDefault="00F7137A"/>
    <w:sectPr w:rsidR="00F7137A" w:rsidSect="00F71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9F37E"/>
    <w:multiLevelType w:val="singleLevel"/>
    <w:tmpl w:val="17E9F37E"/>
    <w:lvl w:ilvl="0">
      <w:start w:val="1"/>
      <w:numFmt w:val="decimal"/>
      <w:pStyle w:val="1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137A"/>
    <w:rsid w:val="E6FDBD28"/>
    <w:rsid w:val="FB9CDCA5"/>
    <w:rsid w:val="FD6B0E5C"/>
    <w:rsid w:val="002E484F"/>
    <w:rsid w:val="00F7137A"/>
    <w:rsid w:val="0EC15D17"/>
    <w:rsid w:val="26BA22AF"/>
    <w:rsid w:val="3E1D224B"/>
    <w:rsid w:val="547B4A8C"/>
    <w:rsid w:val="57EF2043"/>
    <w:rsid w:val="64B36465"/>
    <w:rsid w:val="7AEFF31E"/>
    <w:rsid w:val="7F9F1B1E"/>
    <w:rsid w:val="7FD867DD"/>
    <w:rsid w:val="A0DF10E8"/>
    <w:rsid w:val="BFFB1EC2"/>
    <w:rsid w:val="DD7F3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137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rsid w:val="00F7137A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4"/>
    <w:next w:val="a"/>
    <w:qFormat/>
    <w:rsid w:val="00F7137A"/>
    <w:pPr>
      <w:numPr>
        <w:numId w:val="1"/>
      </w:numPr>
    </w:pPr>
    <w:rPr>
      <w:rFonts w:asciiTheme="minorHAnsi" w:hAnsiTheme="minorHAns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4</DocSecurity>
  <Lines>3</Lines>
  <Paragraphs>1</Paragraphs>
  <ScaleCrop>false</ScaleCrop>
  <Company>CNSTOCK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yyli01.oth</dc:creator>
  <cp:lastModifiedBy>ZHONGM</cp:lastModifiedBy>
  <cp:revision>2</cp:revision>
  <dcterms:created xsi:type="dcterms:W3CDTF">2026-03-31T16:01:00Z</dcterms:created>
  <dcterms:modified xsi:type="dcterms:W3CDTF">2026-03-31T16:01:00Z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E37DE23F6A7920400C4BC3694D84DE33_43</vt:lpwstr>
  </property>
</Properties>
</file>