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7E2" w:rsidRPr="000A0267" w:rsidRDefault="009B37E2" w:rsidP="004A10A8">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关于</w:t>
      </w:r>
      <w:r w:rsidR="00D96CDC" w:rsidRPr="00D96CDC">
        <w:rPr>
          <w:rFonts w:ascii="Arial" w:eastAsia="黑体" w:hAnsi="Arial" w:cs="Arial" w:hint="eastAsia"/>
          <w:b/>
          <w:bCs/>
          <w:color w:val="FF0000"/>
          <w:kern w:val="44"/>
          <w:sz w:val="30"/>
          <w:szCs w:val="30"/>
        </w:rPr>
        <w:t>嘉实全球互联网股票型证券投资基金</w:t>
      </w:r>
      <w:r w:rsidR="004A10A8">
        <w:rPr>
          <w:rFonts w:ascii="Arial" w:eastAsia="黑体" w:hAnsi="Arial" w:cs="Arial" w:hint="eastAsia"/>
          <w:b/>
          <w:bCs/>
          <w:color w:val="FF0000"/>
          <w:kern w:val="44"/>
          <w:sz w:val="30"/>
          <w:szCs w:val="30"/>
        </w:rPr>
        <w:t>2026</w:t>
      </w:r>
      <w:r w:rsidR="004A10A8">
        <w:rPr>
          <w:rFonts w:ascii="Arial" w:eastAsia="黑体" w:hAnsi="Arial" w:cs="Arial" w:hint="eastAsia"/>
          <w:b/>
          <w:bCs/>
          <w:color w:val="FF0000"/>
          <w:kern w:val="44"/>
          <w:sz w:val="30"/>
          <w:szCs w:val="30"/>
        </w:rPr>
        <w:t>年</w:t>
      </w:r>
      <w:r w:rsidR="004A10A8">
        <w:rPr>
          <w:rFonts w:ascii="Arial" w:eastAsia="黑体" w:hAnsi="Arial" w:cs="Arial" w:hint="eastAsia"/>
          <w:b/>
          <w:bCs/>
          <w:color w:val="FF0000"/>
          <w:kern w:val="44"/>
          <w:sz w:val="30"/>
          <w:szCs w:val="30"/>
        </w:rPr>
        <w:t>4</w:t>
      </w:r>
      <w:r w:rsidR="004A10A8">
        <w:rPr>
          <w:rFonts w:ascii="Arial" w:eastAsia="黑体" w:hAnsi="Arial" w:cs="Arial" w:hint="eastAsia"/>
          <w:b/>
          <w:bCs/>
          <w:color w:val="FF0000"/>
          <w:kern w:val="44"/>
          <w:sz w:val="30"/>
          <w:szCs w:val="30"/>
        </w:rPr>
        <w:t>月</w:t>
      </w:r>
      <w:r w:rsidR="004A10A8">
        <w:rPr>
          <w:rFonts w:ascii="Arial" w:eastAsia="黑体" w:hAnsi="Arial" w:cs="Arial" w:hint="eastAsia"/>
          <w:b/>
          <w:bCs/>
          <w:color w:val="FF0000"/>
          <w:kern w:val="44"/>
          <w:sz w:val="30"/>
          <w:szCs w:val="30"/>
        </w:rPr>
        <w:t>3</w:t>
      </w:r>
      <w:r w:rsidR="004A10A8">
        <w:rPr>
          <w:rFonts w:ascii="Arial" w:eastAsia="黑体" w:hAnsi="Arial" w:cs="Arial" w:hint="eastAsia"/>
          <w:b/>
          <w:bCs/>
          <w:color w:val="FF0000"/>
          <w:kern w:val="44"/>
          <w:sz w:val="30"/>
          <w:szCs w:val="30"/>
        </w:rPr>
        <w:t>日至</w:t>
      </w:r>
      <w:r w:rsidR="004A10A8">
        <w:rPr>
          <w:rFonts w:ascii="Arial" w:eastAsia="黑体" w:hAnsi="Arial" w:cs="Arial" w:hint="eastAsia"/>
          <w:b/>
          <w:bCs/>
          <w:color w:val="FF0000"/>
          <w:kern w:val="44"/>
          <w:sz w:val="30"/>
          <w:szCs w:val="30"/>
        </w:rPr>
        <w:t>4</w:t>
      </w:r>
      <w:r w:rsidR="004A10A8">
        <w:rPr>
          <w:rFonts w:ascii="Arial" w:eastAsia="黑体" w:hAnsi="Arial" w:cs="Arial" w:hint="eastAsia"/>
          <w:b/>
          <w:bCs/>
          <w:color w:val="FF0000"/>
          <w:kern w:val="44"/>
          <w:sz w:val="30"/>
          <w:szCs w:val="30"/>
        </w:rPr>
        <w:t>月</w:t>
      </w:r>
      <w:r w:rsidR="004A10A8">
        <w:rPr>
          <w:rFonts w:ascii="Arial" w:eastAsia="黑体" w:hAnsi="Arial" w:cs="Arial" w:hint="eastAsia"/>
          <w:b/>
          <w:bCs/>
          <w:color w:val="FF0000"/>
          <w:kern w:val="44"/>
          <w:sz w:val="30"/>
          <w:szCs w:val="30"/>
        </w:rPr>
        <w:t>7</w:t>
      </w:r>
      <w:r w:rsidR="004A10A8">
        <w:rPr>
          <w:rFonts w:ascii="Arial" w:eastAsia="黑体" w:hAnsi="Arial" w:cs="Arial" w:hint="eastAsia"/>
          <w:b/>
          <w:bCs/>
          <w:color w:val="FF0000"/>
          <w:kern w:val="44"/>
          <w:sz w:val="30"/>
          <w:szCs w:val="30"/>
        </w:rPr>
        <w:t>日</w:t>
      </w:r>
      <w:r w:rsidRPr="009B37E2">
        <w:rPr>
          <w:rFonts w:ascii="Arial" w:eastAsia="黑体" w:hAnsi="Arial" w:cs="Arial"/>
          <w:b/>
          <w:bCs/>
          <w:color w:val="FF0000"/>
          <w:kern w:val="44"/>
          <w:sz w:val="30"/>
          <w:szCs w:val="30"/>
        </w:rPr>
        <w:t>暂停</w:t>
      </w:r>
      <w:r w:rsidR="00A66E0D">
        <w:rPr>
          <w:rFonts w:ascii="Arial" w:eastAsia="黑体" w:hAnsi="Arial" w:cs="Arial" w:hint="eastAsia"/>
          <w:b/>
          <w:bCs/>
          <w:color w:val="FF0000"/>
          <w:kern w:val="44"/>
          <w:sz w:val="30"/>
          <w:szCs w:val="30"/>
        </w:rPr>
        <w:t>申购</w:t>
      </w:r>
      <w:r w:rsidR="004C10FC">
        <w:rPr>
          <w:rFonts w:ascii="Arial" w:eastAsia="黑体" w:hAnsi="Arial" w:cs="Arial" w:hint="eastAsia"/>
          <w:b/>
          <w:bCs/>
          <w:color w:val="FF0000"/>
          <w:kern w:val="44"/>
          <w:sz w:val="30"/>
          <w:szCs w:val="30"/>
        </w:rPr>
        <w:t>、</w:t>
      </w:r>
      <w:r w:rsidR="00A66E0D">
        <w:rPr>
          <w:rFonts w:ascii="Arial" w:eastAsia="黑体" w:hAnsi="Arial" w:cs="Arial" w:hint="eastAsia"/>
          <w:b/>
          <w:bCs/>
          <w:color w:val="FF0000"/>
          <w:kern w:val="44"/>
          <w:sz w:val="30"/>
          <w:szCs w:val="30"/>
        </w:rPr>
        <w:t>赎回</w:t>
      </w:r>
      <w:r w:rsidR="007A56DD">
        <w:rPr>
          <w:rFonts w:ascii="Arial" w:eastAsia="黑体" w:hAnsi="Arial" w:cs="Arial" w:hint="eastAsia"/>
          <w:b/>
          <w:bCs/>
          <w:color w:val="FF0000"/>
          <w:kern w:val="44"/>
          <w:sz w:val="30"/>
          <w:szCs w:val="30"/>
        </w:rPr>
        <w:t>及</w:t>
      </w:r>
      <w:r w:rsidR="00EC62E3">
        <w:rPr>
          <w:rFonts w:ascii="Arial" w:eastAsia="黑体" w:hAnsi="Arial" w:cs="Arial" w:hint="eastAsia"/>
          <w:b/>
          <w:bCs/>
          <w:color w:val="FF0000"/>
          <w:kern w:val="44"/>
          <w:sz w:val="30"/>
          <w:szCs w:val="30"/>
        </w:rPr>
        <w:t>定期定额投资</w:t>
      </w:r>
      <w:r w:rsidRPr="009B37E2">
        <w:rPr>
          <w:rFonts w:ascii="Arial" w:eastAsia="黑体" w:hAnsi="Arial" w:cs="Arial"/>
          <w:b/>
          <w:bCs/>
          <w:color w:val="FF0000"/>
          <w:kern w:val="44"/>
          <w:sz w:val="30"/>
          <w:szCs w:val="30"/>
        </w:rPr>
        <w:t>业务的公告</w:t>
      </w:r>
    </w:p>
    <w:p w:rsidR="0009149F" w:rsidRPr="00572562" w:rsidRDefault="0009149F" w:rsidP="00EC5873">
      <w:pPr>
        <w:spacing w:line="560" w:lineRule="exact"/>
        <w:jc w:val="center"/>
        <w:rPr>
          <w:rFonts w:asciiTheme="minorEastAsia" w:eastAsiaTheme="minorEastAsia" w:hAnsiTheme="minorEastAsia"/>
          <w:color w:val="000000"/>
          <w:sz w:val="24"/>
        </w:rPr>
      </w:pPr>
      <w:r w:rsidRPr="00572562">
        <w:rPr>
          <w:rFonts w:asciiTheme="minorEastAsia" w:eastAsiaTheme="minorEastAsia" w:hAnsiTheme="minorEastAsia"/>
          <w:color w:val="000000"/>
          <w:sz w:val="24"/>
        </w:rPr>
        <w:t>公告送出日期：</w:t>
      </w:r>
      <w:r w:rsidR="00A43486" w:rsidRPr="00A43486">
        <w:rPr>
          <w:rFonts w:asciiTheme="minorEastAsia" w:eastAsiaTheme="minorEastAsia" w:hAnsiTheme="minorEastAsia" w:cs="Arial" w:hint="eastAsia"/>
          <w:color w:val="000000"/>
          <w:sz w:val="24"/>
        </w:rPr>
        <w:t>202</w:t>
      </w:r>
      <w:r w:rsidR="00675561">
        <w:rPr>
          <w:rFonts w:asciiTheme="minorEastAsia" w:eastAsiaTheme="minorEastAsia" w:hAnsiTheme="minorEastAsia" w:cs="Arial"/>
          <w:color w:val="000000"/>
          <w:sz w:val="24"/>
        </w:rPr>
        <w:t>6</w:t>
      </w:r>
      <w:r w:rsidR="00A43486" w:rsidRPr="00A43486">
        <w:rPr>
          <w:rFonts w:asciiTheme="minorEastAsia" w:eastAsiaTheme="minorEastAsia" w:hAnsiTheme="minorEastAsia" w:cs="Arial" w:hint="eastAsia"/>
          <w:color w:val="000000"/>
          <w:sz w:val="24"/>
        </w:rPr>
        <w:t>年</w:t>
      </w:r>
      <w:r w:rsidR="005E1085">
        <w:rPr>
          <w:rFonts w:asciiTheme="minorEastAsia" w:eastAsiaTheme="minorEastAsia" w:hAnsiTheme="minorEastAsia" w:cs="Arial"/>
          <w:color w:val="000000"/>
          <w:sz w:val="24"/>
        </w:rPr>
        <w:t>4</w:t>
      </w:r>
      <w:r w:rsidR="00A43486" w:rsidRPr="00A43486">
        <w:rPr>
          <w:rFonts w:asciiTheme="minorEastAsia" w:eastAsiaTheme="minorEastAsia" w:hAnsiTheme="minorEastAsia" w:cs="Arial" w:hint="eastAsia"/>
          <w:color w:val="000000"/>
          <w:sz w:val="24"/>
        </w:rPr>
        <w:t>月</w:t>
      </w:r>
      <w:r w:rsidR="005E1085">
        <w:rPr>
          <w:rFonts w:asciiTheme="minorEastAsia" w:eastAsiaTheme="minorEastAsia" w:hAnsiTheme="minorEastAsia" w:cs="Arial"/>
          <w:color w:val="000000"/>
          <w:sz w:val="24"/>
        </w:rPr>
        <w:t>1</w:t>
      </w:r>
      <w:r w:rsidR="00A43486" w:rsidRPr="00A43486">
        <w:rPr>
          <w:rFonts w:asciiTheme="minorEastAsia" w:eastAsiaTheme="minorEastAsia" w:hAnsiTheme="minorEastAsia" w:cs="Arial" w:hint="eastAsia"/>
          <w:color w:val="000000"/>
          <w:sz w:val="24"/>
        </w:rPr>
        <w:t>日</w:t>
      </w:r>
    </w:p>
    <w:p w:rsidR="0009149F" w:rsidRPr="00572562" w:rsidRDefault="0009149F" w:rsidP="0009149F">
      <w:pPr>
        <w:pStyle w:val="2"/>
        <w:spacing w:line="560" w:lineRule="exact"/>
        <w:rPr>
          <w:rFonts w:asciiTheme="minorEastAsia" w:eastAsiaTheme="minorEastAsia" w:hAnsiTheme="minorEastAsia"/>
          <w:bCs w:val="0"/>
          <w:color w:val="000000"/>
          <w:sz w:val="24"/>
          <w:szCs w:val="24"/>
        </w:rPr>
      </w:pPr>
      <w:bookmarkStart w:id="0" w:name="_Toc275961395"/>
      <w:r w:rsidRPr="00572562">
        <w:rPr>
          <w:rFonts w:asciiTheme="minorEastAsia" w:eastAsiaTheme="minorEastAsia" w:hAnsiTheme="minorEastAsia"/>
          <w:bCs w:val="0"/>
          <w:color w:val="000000"/>
          <w:sz w:val="24"/>
          <w:szCs w:val="24"/>
        </w:rPr>
        <w:t>1 公告基本信息</w:t>
      </w:r>
      <w:bookmarkEnd w:id="0"/>
    </w:p>
    <w:tbl>
      <w:tblPr>
        <w:tblW w:w="84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2563"/>
        <w:gridCol w:w="1472"/>
        <w:gridCol w:w="1559"/>
        <w:gridCol w:w="1457"/>
      </w:tblGrid>
      <w:tr w:rsidR="00F3445A" w:rsidRPr="00572562" w:rsidTr="005B183D">
        <w:trPr>
          <w:trHeight w:val="57"/>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基金名称</w:t>
            </w:r>
          </w:p>
        </w:tc>
        <w:tc>
          <w:tcPr>
            <w:tcW w:w="4488" w:type="dxa"/>
            <w:gridSpan w:val="3"/>
            <w:shd w:val="clear" w:color="auto" w:fill="auto"/>
            <w:vAlign w:val="center"/>
            <w:hideMark/>
          </w:tcPr>
          <w:p w:rsidR="00F3445A" w:rsidRPr="00572562" w:rsidRDefault="00F3445A"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嘉实全球互联网股票型证券投资基金</w:t>
            </w:r>
          </w:p>
        </w:tc>
      </w:tr>
      <w:tr w:rsidR="00F3445A" w:rsidRPr="00572562" w:rsidTr="005B183D">
        <w:trPr>
          <w:trHeight w:val="119"/>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基金简称</w:t>
            </w:r>
          </w:p>
        </w:tc>
        <w:tc>
          <w:tcPr>
            <w:tcW w:w="4488" w:type="dxa"/>
            <w:gridSpan w:val="3"/>
            <w:shd w:val="clear" w:color="auto" w:fill="auto"/>
            <w:vAlign w:val="center"/>
            <w:hideMark/>
          </w:tcPr>
          <w:p w:rsidR="00F3445A" w:rsidRPr="00572562" w:rsidRDefault="007925B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基金主代码</w:t>
            </w:r>
          </w:p>
        </w:tc>
        <w:tc>
          <w:tcPr>
            <w:tcW w:w="4488" w:type="dxa"/>
            <w:gridSpan w:val="3"/>
            <w:shd w:val="clear" w:color="auto" w:fill="auto"/>
            <w:vAlign w:val="center"/>
            <w:hideMark/>
          </w:tcPr>
          <w:p w:rsidR="00F3445A" w:rsidRPr="00572562" w:rsidRDefault="007925B6"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基金管理人名称</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嘉实基金管理有限公司</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公告依据</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基金合同》、《</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招募说明书》</w:t>
            </w:r>
            <w:r w:rsidR="009B37E2" w:rsidRPr="00572562">
              <w:rPr>
                <w:rFonts w:asciiTheme="minorEastAsia" w:eastAsiaTheme="minorEastAsia" w:hAnsiTheme="minorEastAsia" w:hint="eastAsia"/>
                <w:color w:val="000000"/>
                <w:sz w:val="24"/>
              </w:rPr>
              <w:t>的有关规定，以及纽约</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交易所、纳斯达克</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交易所、香港交易所的休市安排</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暂停相关业务的起始日及原因说明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暂停申购起始日</w:t>
            </w:r>
          </w:p>
        </w:tc>
        <w:tc>
          <w:tcPr>
            <w:tcW w:w="4488" w:type="dxa"/>
            <w:gridSpan w:val="3"/>
            <w:shd w:val="clear" w:color="auto" w:fill="auto"/>
          </w:tcPr>
          <w:p w:rsidR="00A43486" w:rsidRPr="00D37BD6" w:rsidRDefault="004A10A8" w:rsidP="004A10A8">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2026年4月3日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暂停赎回起始日</w:t>
            </w:r>
          </w:p>
        </w:tc>
        <w:tc>
          <w:tcPr>
            <w:tcW w:w="4488" w:type="dxa"/>
            <w:gridSpan w:val="3"/>
            <w:shd w:val="clear" w:color="auto" w:fill="auto"/>
          </w:tcPr>
          <w:p w:rsidR="00A43486" w:rsidRPr="00D37BD6" w:rsidRDefault="004A10A8" w:rsidP="004A10A8">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2026年4月3日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暂停定期定额投资起始日</w:t>
            </w:r>
          </w:p>
        </w:tc>
        <w:tc>
          <w:tcPr>
            <w:tcW w:w="4488" w:type="dxa"/>
            <w:gridSpan w:val="3"/>
            <w:shd w:val="clear" w:color="auto" w:fill="auto"/>
          </w:tcPr>
          <w:p w:rsidR="00A43486" w:rsidRPr="00D37BD6" w:rsidRDefault="004A10A8" w:rsidP="004A10A8">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2026年4月3日</w:t>
            </w:r>
          </w:p>
        </w:tc>
      </w:tr>
      <w:tr w:rsidR="004A10A8" w:rsidRPr="00A43486" w:rsidTr="006F7CA9">
        <w:trPr>
          <w:trHeight w:val="285"/>
        </w:trPr>
        <w:tc>
          <w:tcPr>
            <w:tcW w:w="1367" w:type="dxa"/>
            <w:vMerge/>
            <w:shd w:val="clear" w:color="auto" w:fill="auto"/>
            <w:vAlign w:val="center"/>
          </w:tcPr>
          <w:p w:rsidR="004A10A8" w:rsidRPr="00572562" w:rsidRDefault="004A10A8" w:rsidP="004A10A8">
            <w:pPr>
              <w:spacing w:line="276" w:lineRule="auto"/>
              <w:rPr>
                <w:rFonts w:asciiTheme="minorEastAsia" w:eastAsiaTheme="minorEastAsia" w:hAnsiTheme="minorEastAsia"/>
                <w:color w:val="000000"/>
                <w:sz w:val="24"/>
              </w:rPr>
            </w:pPr>
          </w:p>
        </w:tc>
        <w:tc>
          <w:tcPr>
            <w:tcW w:w="2563" w:type="dxa"/>
            <w:shd w:val="clear" w:color="auto" w:fill="auto"/>
          </w:tcPr>
          <w:p w:rsidR="004A10A8" w:rsidRPr="00572562" w:rsidRDefault="004A10A8" w:rsidP="004A10A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暂停申购（赎回、定期定额投资）的原因说明</w:t>
            </w:r>
          </w:p>
        </w:tc>
        <w:tc>
          <w:tcPr>
            <w:tcW w:w="4488" w:type="dxa"/>
            <w:gridSpan w:val="3"/>
            <w:shd w:val="clear" w:color="auto" w:fill="auto"/>
          </w:tcPr>
          <w:p w:rsidR="004A10A8" w:rsidRPr="007A1599" w:rsidRDefault="004A10A8" w:rsidP="00D06140">
            <w:pPr>
              <w:widowControl/>
              <w:wordWrap w:val="0"/>
              <w:spacing w:line="276" w:lineRule="auto"/>
              <w:jc w:val="left"/>
              <w:rPr>
                <w:rFonts w:asciiTheme="minorEastAsia" w:eastAsiaTheme="minorEastAsia" w:hAnsiTheme="minorEastAsia" w:cs="Arial"/>
                <w:b/>
                <w:color w:val="000000"/>
                <w:sz w:val="24"/>
              </w:rPr>
            </w:pPr>
            <w:r>
              <w:rPr>
                <w:rFonts w:asciiTheme="minorEastAsia" w:eastAsiaTheme="minorEastAsia" w:hAnsiTheme="minorEastAsia" w:cs="Arial" w:hint="eastAsia"/>
                <w:color w:val="000000"/>
                <w:sz w:val="24"/>
              </w:rPr>
              <w:t>2026年4月3日</w:t>
            </w:r>
            <w:r w:rsidRPr="00572562">
              <w:rPr>
                <w:rFonts w:asciiTheme="minorEastAsia" w:eastAsiaTheme="minorEastAsia" w:hAnsiTheme="minorEastAsia" w:hint="eastAsia"/>
                <w:color w:val="000000"/>
                <w:sz w:val="24"/>
              </w:rPr>
              <w:t>纽约</w:t>
            </w:r>
            <w:r w:rsidRPr="00572562">
              <w:rPr>
                <w:rFonts w:asciiTheme="minorEastAsia" w:eastAsiaTheme="minorEastAsia" w:hAnsiTheme="minorEastAsia" w:cs="Arial" w:hint="eastAsia"/>
                <w:color w:val="000000"/>
                <w:kern w:val="0"/>
                <w:sz w:val="24"/>
              </w:rPr>
              <w:t>证券</w:t>
            </w:r>
            <w:r w:rsidRPr="00572562">
              <w:rPr>
                <w:rFonts w:asciiTheme="minorEastAsia" w:eastAsiaTheme="minorEastAsia" w:hAnsiTheme="minorEastAsia" w:hint="eastAsia"/>
                <w:color w:val="000000"/>
                <w:sz w:val="24"/>
              </w:rPr>
              <w:t>交易所、纳斯达克</w:t>
            </w:r>
            <w:r w:rsidRPr="00572562">
              <w:rPr>
                <w:rFonts w:asciiTheme="minorEastAsia" w:eastAsiaTheme="minorEastAsia" w:hAnsiTheme="minorEastAsia" w:cs="Arial" w:hint="eastAsia"/>
                <w:color w:val="000000"/>
                <w:kern w:val="0"/>
                <w:sz w:val="24"/>
              </w:rPr>
              <w:t>证券</w:t>
            </w:r>
            <w:r w:rsidRPr="00572562">
              <w:rPr>
                <w:rFonts w:asciiTheme="minorEastAsia" w:eastAsiaTheme="minorEastAsia" w:hAnsiTheme="minorEastAsia" w:hint="eastAsia"/>
                <w:color w:val="000000"/>
                <w:sz w:val="24"/>
              </w:rPr>
              <w:t>交易所</w:t>
            </w:r>
            <w:r w:rsidR="008F4A8D">
              <w:rPr>
                <w:rFonts w:asciiTheme="minorEastAsia" w:eastAsiaTheme="minorEastAsia" w:hAnsiTheme="minorEastAsia" w:hint="eastAsia"/>
                <w:color w:val="000000"/>
                <w:sz w:val="24"/>
              </w:rPr>
              <w:t>及</w:t>
            </w:r>
            <w:r w:rsidRPr="00572562">
              <w:rPr>
                <w:rFonts w:asciiTheme="minorEastAsia" w:eastAsiaTheme="minorEastAsia" w:hAnsiTheme="minorEastAsia" w:hint="eastAsia"/>
                <w:color w:val="000000"/>
                <w:sz w:val="24"/>
              </w:rPr>
              <w:t>香港交易所</w:t>
            </w:r>
            <w:r w:rsidRPr="00D96CDC">
              <w:rPr>
                <w:rFonts w:asciiTheme="minorEastAsia" w:eastAsiaTheme="minorEastAsia" w:hAnsiTheme="minorEastAsia" w:cs="Arial" w:hint="eastAsia"/>
                <w:color w:val="000000"/>
                <w:sz w:val="24"/>
              </w:rPr>
              <w:t>休市</w:t>
            </w:r>
            <w:r>
              <w:rPr>
                <w:rFonts w:asciiTheme="minorEastAsia" w:eastAsiaTheme="minorEastAsia" w:hAnsiTheme="minorEastAsia" w:cs="Arial" w:hint="eastAsia"/>
                <w:color w:val="000000"/>
                <w:sz w:val="24"/>
              </w:rPr>
              <w:t>；</w:t>
            </w:r>
            <w:r w:rsidR="00233EFF" w:rsidRPr="00233EFF">
              <w:rPr>
                <w:rFonts w:asciiTheme="minorEastAsia" w:eastAsiaTheme="minorEastAsia" w:hAnsiTheme="minorEastAsia" w:cs="Arial" w:hint="eastAsia"/>
                <w:color w:val="000000"/>
                <w:sz w:val="24"/>
              </w:rPr>
              <w:t>2026年4月4日至4月6日</w:t>
            </w:r>
            <w:bookmarkStart w:id="1" w:name="_GoBack"/>
            <w:bookmarkEnd w:id="1"/>
            <w:r w:rsidR="00233EFF" w:rsidRPr="00233EFF">
              <w:rPr>
                <w:rFonts w:asciiTheme="minorEastAsia" w:eastAsiaTheme="minorEastAsia" w:hAnsiTheme="minorEastAsia" w:cs="Arial" w:hint="eastAsia"/>
                <w:color w:val="000000"/>
                <w:sz w:val="24"/>
              </w:rPr>
              <w:t>节假日休市；</w:t>
            </w:r>
            <w:r>
              <w:rPr>
                <w:rFonts w:asciiTheme="minorEastAsia" w:eastAsiaTheme="minorEastAsia" w:hAnsiTheme="minorEastAsia" w:cs="Arial" w:hint="eastAsia"/>
                <w:color w:val="000000"/>
                <w:sz w:val="24"/>
              </w:rPr>
              <w:t>2026年4月7日</w:t>
            </w:r>
            <w:r w:rsidRPr="00572562">
              <w:rPr>
                <w:rFonts w:asciiTheme="minorEastAsia" w:eastAsiaTheme="minorEastAsia" w:hAnsiTheme="minorEastAsia" w:hint="eastAsia"/>
                <w:color w:val="000000"/>
                <w:sz w:val="24"/>
              </w:rPr>
              <w:t>香港交易所</w:t>
            </w:r>
            <w:r w:rsidRPr="00D96CDC">
              <w:rPr>
                <w:rFonts w:asciiTheme="minorEastAsia" w:eastAsiaTheme="minorEastAsia" w:hAnsiTheme="minorEastAsia" w:cs="Arial" w:hint="eastAsia"/>
                <w:color w:val="000000"/>
                <w:sz w:val="24"/>
              </w:rPr>
              <w:t>休市</w:t>
            </w:r>
          </w:p>
        </w:tc>
      </w:tr>
      <w:tr w:rsidR="004A10A8" w:rsidRPr="00572562" w:rsidTr="006F7CA9">
        <w:trPr>
          <w:trHeight w:val="285"/>
        </w:trPr>
        <w:tc>
          <w:tcPr>
            <w:tcW w:w="1367" w:type="dxa"/>
            <w:vMerge w:val="restart"/>
            <w:shd w:val="clear" w:color="auto" w:fill="auto"/>
            <w:vAlign w:val="center"/>
          </w:tcPr>
          <w:p w:rsidR="004A10A8" w:rsidRPr="00572562" w:rsidRDefault="004A10A8" w:rsidP="004A10A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恢复相关业务的日期及原因说明</w:t>
            </w:r>
          </w:p>
        </w:tc>
        <w:tc>
          <w:tcPr>
            <w:tcW w:w="2563" w:type="dxa"/>
            <w:shd w:val="clear" w:color="auto" w:fill="auto"/>
          </w:tcPr>
          <w:p w:rsidR="004A10A8" w:rsidRPr="00572562" w:rsidRDefault="004A10A8" w:rsidP="004A10A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恢复申购日</w:t>
            </w:r>
          </w:p>
        </w:tc>
        <w:tc>
          <w:tcPr>
            <w:tcW w:w="4488" w:type="dxa"/>
            <w:gridSpan w:val="3"/>
            <w:shd w:val="clear" w:color="auto" w:fill="auto"/>
          </w:tcPr>
          <w:p w:rsidR="004A10A8" w:rsidRPr="00D37BD6" w:rsidRDefault="005E1085" w:rsidP="004A10A8">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2026年4月8日</w:t>
            </w:r>
          </w:p>
        </w:tc>
      </w:tr>
      <w:tr w:rsidR="004A10A8" w:rsidRPr="00572562" w:rsidTr="006F7CA9">
        <w:trPr>
          <w:trHeight w:val="285"/>
        </w:trPr>
        <w:tc>
          <w:tcPr>
            <w:tcW w:w="1367" w:type="dxa"/>
            <w:vMerge/>
            <w:shd w:val="clear" w:color="auto" w:fill="auto"/>
            <w:vAlign w:val="center"/>
          </w:tcPr>
          <w:p w:rsidR="004A10A8" w:rsidRPr="00572562" w:rsidRDefault="004A10A8" w:rsidP="004A10A8">
            <w:pPr>
              <w:spacing w:line="276" w:lineRule="auto"/>
              <w:rPr>
                <w:rFonts w:asciiTheme="minorEastAsia" w:eastAsiaTheme="minorEastAsia" w:hAnsiTheme="minorEastAsia"/>
                <w:color w:val="000000"/>
                <w:sz w:val="24"/>
              </w:rPr>
            </w:pPr>
          </w:p>
        </w:tc>
        <w:tc>
          <w:tcPr>
            <w:tcW w:w="2563" w:type="dxa"/>
            <w:shd w:val="clear" w:color="auto" w:fill="auto"/>
          </w:tcPr>
          <w:p w:rsidR="004A10A8" w:rsidRPr="00572562" w:rsidRDefault="004A10A8" w:rsidP="004A10A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恢复赎回日</w:t>
            </w:r>
          </w:p>
        </w:tc>
        <w:tc>
          <w:tcPr>
            <w:tcW w:w="4488" w:type="dxa"/>
            <w:gridSpan w:val="3"/>
            <w:shd w:val="clear" w:color="auto" w:fill="auto"/>
          </w:tcPr>
          <w:p w:rsidR="004A10A8" w:rsidRPr="00D37BD6" w:rsidRDefault="005E1085" w:rsidP="004A10A8">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2026年4月8日</w:t>
            </w:r>
          </w:p>
        </w:tc>
      </w:tr>
      <w:tr w:rsidR="004A10A8" w:rsidRPr="00572562" w:rsidTr="006F7CA9">
        <w:trPr>
          <w:trHeight w:val="285"/>
        </w:trPr>
        <w:tc>
          <w:tcPr>
            <w:tcW w:w="1367" w:type="dxa"/>
            <w:vMerge/>
            <w:shd w:val="clear" w:color="auto" w:fill="auto"/>
            <w:vAlign w:val="center"/>
          </w:tcPr>
          <w:p w:rsidR="004A10A8" w:rsidRPr="00572562" w:rsidRDefault="004A10A8" w:rsidP="004A10A8">
            <w:pPr>
              <w:spacing w:line="276" w:lineRule="auto"/>
              <w:rPr>
                <w:rFonts w:asciiTheme="minorEastAsia" w:eastAsiaTheme="minorEastAsia" w:hAnsiTheme="minorEastAsia"/>
                <w:color w:val="000000"/>
                <w:sz w:val="24"/>
              </w:rPr>
            </w:pPr>
          </w:p>
        </w:tc>
        <w:tc>
          <w:tcPr>
            <w:tcW w:w="2563" w:type="dxa"/>
            <w:shd w:val="clear" w:color="auto" w:fill="auto"/>
          </w:tcPr>
          <w:p w:rsidR="004A10A8" w:rsidRPr="00572562" w:rsidRDefault="004A10A8" w:rsidP="004A10A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恢复定期定额投资日</w:t>
            </w:r>
          </w:p>
        </w:tc>
        <w:tc>
          <w:tcPr>
            <w:tcW w:w="4488" w:type="dxa"/>
            <w:gridSpan w:val="3"/>
            <w:shd w:val="clear" w:color="auto" w:fill="auto"/>
          </w:tcPr>
          <w:p w:rsidR="004A10A8" w:rsidRPr="00D37BD6" w:rsidRDefault="005E1085" w:rsidP="004A10A8">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2026年4月8日</w:t>
            </w:r>
          </w:p>
        </w:tc>
      </w:tr>
      <w:tr w:rsidR="004A10A8" w:rsidRPr="00572562" w:rsidTr="006F7CA9">
        <w:trPr>
          <w:trHeight w:val="285"/>
        </w:trPr>
        <w:tc>
          <w:tcPr>
            <w:tcW w:w="1367" w:type="dxa"/>
            <w:vMerge/>
            <w:shd w:val="clear" w:color="auto" w:fill="auto"/>
            <w:vAlign w:val="center"/>
          </w:tcPr>
          <w:p w:rsidR="004A10A8" w:rsidRPr="00572562" w:rsidRDefault="004A10A8" w:rsidP="004A10A8">
            <w:pPr>
              <w:spacing w:line="276" w:lineRule="auto"/>
              <w:rPr>
                <w:rFonts w:asciiTheme="minorEastAsia" w:eastAsiaTheme="minorEastAsia" w:hAnsiTheme="minorEastAsia"/>
                <w:color w:val="000000"/>
                <w:sz w:val="24"/>
              </w:rPr>
            </w:pPr>
          </w:p>
        </w:tc>
        <w:tc>
          <w:tcPr>
            <w:tcW w:w="2563" w:type="dxa"/>
            <w:shd w:val="clear" w:color="auto" w:fill="auto"/>
          </w:tcPr>
          <w:p w:rsidR="004A10A8" w:rsidRPr="00572562" w:rsidRDefault="004A10A8" w:rsidP="004A10A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恢复申购（赎回、定期定额投资）的原因说明</w:t>
            </w:r>
          </w:p>
        </w:tc>
        <w:tc>
          <w:tcPr>
            <w:tcW w:w="4488" w:type="dxa"/>
            <w:gridSpan w:val="3"/>
            <w:shd w:val="clear" w:color="auto" w:fill="auto"/>
          </w:tcPr>
          <w:p w:rsidR="004A10A8" w:rsidRPr="00572562" w:rsidRDefault="005E1085" w:rsidP="004A10A8">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2026年4月8日</w:t>
            </w:r>
            <w:r w:rsidR="004A10A8">
              <w:rPr>
                <w:rFonts w:asciiTheme="minorEastAsia" w:eastAsiaTheme="minorEastAsia" w:hAnsiTheme="minorEastAsia" w:cs="Arial" w:hint="eastAsia"/>
                <w:color w:val="000000"/>
                <w:sz w:val="24"/>
              </w:rPr>
              <w:t>（星期</w:t>
            </w:r>
            <w:r>
              <w:rPr>
                <w:rFonts w:asciiTheme="minorEastAsia" w:eastAsiaTheme="minorEastAsia" w:hAnsiTheme="minorEastAsia" w:cs="Arial" w:hint="eastAsia"/>
                <w:color w:val="000000"/>
                <w:sz w:val="24"/>
              </w:rPr>
              <w:t>三</w:t>
            </w:r>
            <w:r w:rsidR="004A10A8" w:rsidRPr="007A1599">
              <w:rPr>
                <w:rFonts w:asciiTheme="minorEastAsia" w:eastAsiaTheme="minorEastAsia" w:hAnsiTheme="minorEastAsia" w:cs="Arial" w:hint="eastAsia"/>
                <w:color w:val="000000"/>
                <w:sz w:val="24"/>
              </w:rPr>
              <w:t>）</w:t>
            </w:r>
            <w:r w:rsidR="004A10A8" w:rsidRPr="00572562">
              <w:rPr>
                <w:rFonts w:asciiTheme="minorEastAsia" w:eastAsiaTheme="minorEastAsia" w:hAnsiTheme="minorEastAsia" w:cs="Arial"/>
                <w:color w:val="000000"/>
                <w:kern w:val="0"/>
                <w:sz w:val="24"/>
              </w:rPr>
              <w:t>为</w:t>
            </w:r>
            <w:r w:rsidR="004A10A8" w:rsidRPr="00572562">
              <w:rPr>
                <w:rFonts w:asciiTheme="minorEastAsia" w:eastAsiaTheme="minorEastAsia" w:hAnsiTheme="minorEastAsia" w:hint="eastAsia"/>
                <w:color w:val="000000"/>
                <w:sz w:val="24"/>
              </w:rPr>
              <w:t>纽约</w:t>
            </w:r>
            <w:r w:rsidR="004A10A8" w:rsidRPr="00572562">
              <w:rPr>
                <w:rFonts w:asciiTheme="minorEastAsia" w:eastAsiaTheme="minorEastAsia" w:hAnsiTheme="minorEastAsia" w:cs="Arial" w:hint="eastAsia"/>
                <w:color w:val="000000"/>
                <w:kern w:val="0"/>
                <w:sz w:val="24"/>
              </w:rPr>
              <w:t>证券</w:t>
            </w:r>
            <w:r w:rsidR="004A10A8" w:rsidRPr="00572562">
              <w:rPr>
                <w:rFonts w:asciiTheme="minorEastAsia" w:eastAsiaTheme="minorEastAsia" w:hAnsiTheme="minorEastAsia" w:hint="eastAsia"/>
                <w:color w:val="000000"/>
                <w:sz w:val="24"/>
              </w:rPr>
              <w:t>交易所、纳斯达克</w:t>
            </w:r>
            <w:r w:rsidR="004A10A8" w:rsidRPr="00572562">
              <w:rPr>
                <w:rFonts w:asciiTheme="minorEastAsia" w:eastAsiaTheme="minorEastAsia" w:hAnsiTheme="minorEastAsia" w:cs="Arial" w:hint="eastAsia"/>
                <w:color w:val="000000"/>
                <w:kern w:val="0"/>
                <w:sz w:val="24"/>
              </w:rPr>
              <w:t>证券</w:t>
            </w:r>
            <w:r w:rsidR="004A10A8" w:rsidRPr="00572562">
              <w:rPr>
                <w:rFonts w:asciiTheme="minorEastAsia" w:eastAsiaTheme="minorEastAsia" w:hAnsiTheme="minorEastAsia" w:hint="eastAsia"/>
                <w:color w:val="000000"/>
                <w:sz w:val="24"/>
              </w:rPr>
              <w:t>交易所、香港交易所</w:t>
            </w:r>
            <w:r w:rsidR="004A10A8" w:rsidRPr="00572562">
              <w:rPr>
                <w:rFonts w:asciiTheme="minorEastAsia" w:eastAsiaTheme="minorEastAsia" w:hAnsiTheme="minorEastAsia" w:cs="Arial"/>
                <w:color w:val="000000"/>
                <w:kern w:val="0"/>
                <w:sz w:val="24"/>
              </w:rPr>
              <w:t>交易日</w:t>
            </w:r>
          </w:p>
        </w:tc>
      </w:tr>
      <w:tr w:rsidR="004A10A8" w:rsidRPr="00572562" w:rsidTr="006F7CA9">
        <w:trPr>
          <w:trHeight w:val="540"/>
        </w:trPr>
        <w:tc>
          <w:tcPr>
            <w:tcW w:w="3930" w:type="dxa"/>
            <w:gridSpan w:val="2"/>
            <w:shd w:val="clear" w:color="auto" w:fill="auto"/>
            <w:vAlign w:val="center"/>
            <w:hideMark/>
          </w:tcPr>
          <w:p w:rsidR="004A10A8" w:rsidRPr="00572562" w:rsidRDefault="004A10A8" w:rsidP="004A10A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下属分级基金的基金简称</w:t>
            </w:r>
          </w:p>
        </w:tc>
        <w:tc>
          <w:tcPr>
            <w:tcW w:w="1472" w:type="dxa"/>
            <w:shd w:val="clear" w:color="auto" w:fill="auto"/>
            <w:vAlign w:val="center"/>
            <w:hideMark/>
          </w:tcPr>
          <w:p w:rsidR="004A10A8" w:rsidRPr="00572562" w:rsidRDefault="004A10A8" w:rsidP="004A10A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4A10A8" w:rsidRPr="00572562" w:rsidRDefault="004A10A8" w:rsidP="004A10A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人民币</w:t>
            </w:r>
          </w:p>
        </w:tc>
        <w:tc>
          <w:tcPr>
            <w:tcW w:w="1559" w:type="dxa"/>
            <w:shd w:val="clear" w:color="auto" w:fill="auto"/>
            <w:vAlign w:val="center"/>
            <w:hideMark/>
          </w:tcPr>
          <w:p w:rsidR="004A10A8" w:rsidRPr="00572562" w:rsidRDefault="004A10A8" w:rsidP="004A10A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4A10A8" w:rsidRPr="00572562" w:rsidRDefault="004A10A8" w:rsidP="004A10A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美元现钞</w:t>
            </w:r>
          </w:p>
        </w:tc>
        <w:tc>
          <w:tcPr>
            <w:tcW w:w="1457" w:type="dxa"/>
            <w:shd w:val="clear" w:color="auto" w:fill="auto"/>
            <w:vAlign w:val="center"/>
            <w:hideMark/>
          </w:tcPr>
          <w:p w:rsidR="004A10A8" w:rsidRPr="00572562" w:rsidRDefault="004A10A8" w:rsidP="004A10A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4A10A8" w:rsidRPr="00572562" w:rsidRDefault="004A10A8" w:rsidP="004A10A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美元现汇</w:t>
            </w:r>
          </w:p>
        </w:tc>
      </w:tr>
      <w:tr w:rsidR="004A10A8" w:rsidRPr="00572562" w:rsidTr="005B183D">
        <w:trPr>
          <w:trHeight w:val="56"/>
        </w:trPr>
        <w:tc>
          <w:tcPr>
            <w:tcW w:w="3930" w:type="dxa"/>
            <w:gridSpan w:val="2"/>
            <w:shd w:val="clear" w:color="auto" w:fill="auto"/>
            <w:vAlign w:val="center"/>
            <w:hideMark/>
          </w:tcPr>
          <w:p w:rsidR="004A10A8" w:rsidRPr="00572562" w:rsidRDefault="004A10A8" w:rsidP="004A10A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下属分级基金的交易代码</w:t>
            </w:r>
          </w:p>
        </w:tc>
        <w:tc>
          <w:tcPr>
            <w:tcW w:w="1472" w:type="dxa"/>
            <w:shd w:val="clear" w:color="auto" w:fill="auto"/>
            <w:vAlign w:val="center"/>
            <w:hideMark/>
          </w:tcPr>
          <w:p w:rsidR="004A10A8" w:rsidRPr="00572562" w:rsidRDefault="004A10A8" w:rsidP="004A10A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c>
          <w:tcPr>
            <w:tcW w:w="1559" w:type="dxa"/>
            <w:shd w:val="clear" w:color="auto" w:fill="auto"/>
            <w:vAlign w:val="center"/>
            <w:hideMark/>
          </w:tcPr>
          <w:p w:rsidR="004A10A8" w:rsidRPr="00572562" w:rsidRDefault="004A10A8" w:rsidP="004A10A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000990</w:t>
            </w:r>
          </w:p>
        </w:tc>
        <w:tc>
          <w:tcPr>
            <w:tcW w:w="1457" w:type="dxa"/>
            <w:shd w:val="clear" w:color="auto" w:fill="auto"/>
            <w:vAlign w:val="center"/>
            <w:hideMark/>
          </w:tcPr>
          <w:p w:rsidR="004A10A8" w:rsidRPr="00572562" w:rsidRDefault="004A10A8" w:rsidP="004A10A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000989</w:t>
            </w:r>
          </w:p>
        </w:tc>
      </w:tr>
      <w:tr w:rsidR="004A10A8" w:rsidRPr="00572562" w:rsidTr="006F7CA9">
        <w:trPr>
          <w:trHeight w:val="780"/>
        </w:trPr>
        <w:tc>
          <w:tcPr>
            <w:tcW w:w="3930" w:type="dxa"/>
            <w:gridSpan w:val="2"/>
            <w:shd w:val="clear" w:color="auto" w:fill="auto"/>
            <w:vAlign w:val="center"/>
            <w:hideMark/>
          </w:tcPr>
          <w:p w:rsidR="004A10A8" w:rsidRPr="00572562" w:rsidRDefault="004A10A8" w:rsidP="004A10A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该分级基金是否暂停/恢复申购（赎回、定期定额投资）</w:t>
            </w:r>
          </w:p>
        </w:tc>
        <w:tc>
          <w:tcPr>
            <w:tcW w:w="1472" w:type="dxa"/>
            <w:shd w:val="clear" w:color="auto" w:fill="auto"/>
            <w:vAlign w:val="center"/>
            <w:hideMark/>
          </w:tcPr>
          <w:p w:rsidR="004A10A8" w:rsidRPr="00572562" w:rsidRDefault="004A10A8" w:rsidP="004A10A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559" w:type="dxa"/>
            <w:shd w:val="clear" w:color="auto" w:fill="auto"/>
            <w:vAlign w:val="center"/>
            <w:hideMark/>
          </w:tcPr>
          <w:p w:rsidR="004A10A8" w:rsidRPr="00572562" w:rsidRDefault="004A10A8" w:rsidP="004A10A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457" w:type="dxa"/>
            <w:shd w:val="clear" w:color="auto" w:fill="auto"/>
            <w:vAlign w:val="center"/>
            <w:hideMark/>
          </w:tcPr>
          <w:p w:rsidR="004A10A8" w:rsidRPr="00572562" w:rsidRDefault="004A10A8" w:rsidP="004A10A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r>
    </w:tbl>
    <w:p w:rsidR="006A39DA" w:rsidRPr="00572562" w:rsidRDefault="006A39DA" w:rsidP="006A39DA">
      <w:pPr>
        <w:pStyle w:val="2"/>
        <w:spacing w:line="560" w:lineRule="exact"/>
        <w:rPr>
          <w:rFonts w:asciiTheme="minorEastAsia" w:eastAsiaTheme="minorEastAsia" w:hAnsiTheme="minorEastAsia"/>
          <w:bCs w:val="0"/>
          <w:color w:val="000000"/>
          <w:sz w:val="24"/>
          <w:szCs w:val="24"/>
        </w:rPr>
      </w:pPr>
      <w:bookmarkStart w:id="2" w:name="_Toc275961396"/>
      <w:r w:rsidRPr="00572562">
        <w:rPr>
          <w:rFonts w:asciiTheme="minorEastAsia" w:eastAsiaTheme="minorEastAsia" w:hAnsiTheme="minorEastAsia"/>
          <w:bCs w:val="0"/>
          <w:color w:val="000000"/>
          <w:sz w:val="24"/>
          <w:szCs w:val="24"/>
        </w:rPr>
        <w:lastRenderedPageBreak/>
        <w:t xml:space="preserve">2 </w:t>
      </w:r>
      <w:r w:rsidRPr="00572562">
        <w:rPr>
          <w:rFonts w:asciiTheme="minorEastAsia" w:eastAsiaTheme="minorEastAsia" w:hAnsiTheme="minorEastAsia" w:hint="eastAsia"/>
          <w:bCs w:val="0"/>
          <w:color w:val="000000"/>
          <w:sz w:val="24"/>
          <w:szCs w:val="24"/>
        </w:rPr>
        <w:t>其他需要提示的事项</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1）</w:t>
      </w:r>
      <w:r w:rsidR="005E1085">
        <w:rPr>
          <w:rFonts w:asciiTheme="minorEastAsia" w:eastAsiaTheme="minorEastAsia" w:hAnsiTheme="minorEastAsia" w:cs="Arial" w:hint="eastAsia"/>
          <w:color w:val="000000"/>
          <w:sz w:val="24"/>
        </w:rPr>
        <w:t>2026年4月8日</w:t>
      </w:r>
      <w:r w:rsidRPr="00F0213F">
        <w:rPr>
          <w:rFonts w:asciiTheme="minorEastAsia" w:eastAsiaTheme="minorEastAsia" w:hAnsiTheme="minorEastAsia" w:cs="Arial" w:hint="eastAsia"/>
          <w:color w:val="000000"/>
          <w:sz w:val="24"/>
        </w:rPr>
        <w:t>起（含</w:t>
      </w:r>
      <w:r w:rsidR="005E1085">
        <w:rPr>
          <w:rFonts w:asciiTheme="minorEastAsia" w:eastAsiaTheme="minorEastAsia" w:hAnsiTheme="minorEastAsia" w:cs="Arial" w:hint="eastAsia"/>
          <w:color w:val="000000"/>
          <w:sz w:val="24"/>
        </w:rPr>
        <w:t>2026年4月8日</w:t>
      </w:r>
      <w:r w:rsidRPr="00F0213F">
        <w:rPr>
          <w:rFonts w:asciiTheme="minorEastAsia" w:eastAsiaTheme="minorEastAsia" w:hAnsiTheme="minorEastAsia" w:cs="Arial" w:hint="eastAsia"/>
          <w:color w:val="000000"/>
          <w:sz w:val="24"/>
        </w:rPr>
        <w:t>）恢复本基金的日常申购（含定期定额投资）、赎回业务，届时将不再另行公告。</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2）本基金恢复申购（含定期定额投资）、赎回业务后，将仍然对本基金的大额申购（含定期定额投资）业务进行限制：</w:t>
      </w:r>
    </w:p>
    <w:p w:rsidR="00FF724F" w:rsidRPr="00FF724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单个开放日每个基金账户累计申购（含定期定额投资）申请嘉实全球互联网股票人民币的金额不得超过100元人民币，如超过100元人民币，本基金管理人将有权拒绝；</w:t>
      </w:r>
    </w:p>
    <w:p w:rsidR="00F0213F" w:rsidRPr="00F0213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单个开放日每个基金账户累计申购（含定期定额投资）申请嘉实全球互联网股票美元现钞或嘉实全球互联网股票美元现汇的金额各类别均不得超过15美元，如超过15美元，本基金管理人将有权拒绝。</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投资者在基金合同约定之外的日期和时间提出申购（含定期定额投资）申请的，视为下一个开放日的申请。具体见本公司发布的相关公告。</w:t>
      </w:r>
    </w:p>
    <w:p w:rsidR="00453B0F" w:rsidRPr="00572562" w:rsidRDefault="00F0213F" w:rsidP="00F0213F">
      <w:pPr>
        <w:spacing w:line="360" w:lineRule="auto"/>
        <w:ind w:firstLineChars="250" w:firstLine="600"/>
        <w:rPr>
          <w:rFonts w:asciiTheme="minorEastAsia" w:eastAsiaTheme="minorEastAsia" w:hAnsiTheme="minorEastAsia" w:cs="Arial"/>
          <w:color w:val="000000"/>
          <w:kern w:val="0"/>
          <w:sz w:val="24"/>
        </w:rPr>
      </w:pPr>
      <w:r w:rsidRPr="00F0213F">
        <w:rPr>
          <w:rFonts w:asciiTheme="minorEastAsia" w:eastAsiaTheme="minorEastAsia" w:hAnsiTheme="minorEastAsia" w:cs="Arial" w:hint="eastAsia"/>
          <w:color w:val="000000"/>
          <w:sz w:val="24"/>
        </w:rPr>
        <w:t>3）投资者可拨打嘉实基金管理有限公司客户服务电话400-600-8800或登录网站www.jsfund.cn咨询、了解相关情况。</w:t>
      </w:r>
    </w:p>
    <w:bookmarkEnd w:id="2"/>
    <w:p w:rsidR="00F04919" w:rsidRPr="00572562" w:rsidRDefault="00F04919" w:rsidP="00EC5873">
      <w:pPr>
        <w:spacing w:line="360" w:lineRule="auto"/>
        <w:ind w:firstLineChars="250" w:firstLine="600"/>
        <w:rPr>
          <w:rFonts w:asciiTheme="minorEastAsia" w:eastAsiaTheme="minorEastAsia" w:hAnsiTheme="minorEastAsia" w:cs="Arial"/>
          <w:color w:val="000000"/>
          <w:kern w:val="0"/>
          <w:sz w:val="24"/>
        </w:rPr>
      </w:pPr>
    </w:p>
    <w:sectPr w:rsidR="00F04919" w:rsidRPr="00572562"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220" w:rsidRDefault="00857220" w:rsidP="0009149F">
      <w:r>
        <w:separator/>
      </w:r>
    </w:p>
  </w:endnote>
  <w:endnote w:type="continuationSeparator" w:id="0">
    <w:p w:rsidR="00857220" w:rsidRDefault="00857220"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220" w:rsidRDefault="00857220" w:rsidP="0009149F">
      <w:r>
        <w:separator/>
      </w:r>
    </w:p>
  </w:footnote>
  <w:footnote w:type="continuationSeparator" w:id="0">
    <w:p w:rsidR="00857220" w:rsidRDefault="00857220"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F2C57"/>
    <w:multiLevelType w:val="multilevel"/>
    <w:tmpl w:val="3898A39A"/>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2">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1AF9"/>
    <w:rsid w:val="00001C9F"/>
    <w:rsid w:val="0000677F"/>
    <w:rsid w:val="000206F1"/>
    <w:rsid w:val="00021651"/>
    <w:rsid w:val="00044031"/>
    <w:rsid w:val="000440BF"/>
    <w:rsid w:val="00044731"/>
    <w:rsid w:val="00050B02"/>
    <w:rsid w:val="0005626E"/>
    <w:rsid w:val="0006075D"/>
    <w:rsid w:val="00064057"/>
    <w:rsid w:val="0009149F"/>
    <w:rsid w:val="00092538"/>
    <w:rsid w:val="00095866"/>
    <w:rsid w:val="000A0267"/>
    <w:rsid w:val="000A06B7"/>
    <w:rsid w:val="000A5B22"/>
    <w:rsid w:val="000A5EB5"/>
    <w:rsid w:val="000B09CE"/>
    <w:rsid w:val="000B3FF6"/>
    <w:rsid w:val="000C0F03"/>
    <w:rsid w:val="000C2634"/>
    <w:rsid w:val="000C76E1"/>
    <w:rsid w:val="000D4938"/>
    <w:rsid w:val="00105FA7"/>
    <w:rsid w:val="00114099"/>
    <w:rsid w:val="00125D67"/>
    <w:rsid w:val="0012722E"/>
    <w:rsid w:val="00134817"/>
    <w:rsid w:val="001352AD"/>
    <w:rsid w:val="001421E9"/>
    <w:rsid w:val="00143C99"/>
    <w:rsid w:val="00144E1C"/>
    <w:rsid w:val="00153D92"/>
    <w:rsid w:val="00162327"/>
    <w:rsid w:val="001709EC"/>
    <w:rsid w:val="001715FD"/>
    <w:rsid w:val="0018189C"/>
    <w:rsid w:val="001829F8"/>
    <w:rsid w:val="00183CB5"/>
    <w:rsid w:val="001902B5"/>
    <w:rsid w:val="00191161"/>
    <w:rsid w:val="001A004A"/>
    <w:rsid w:val="001A4BCB"/>
    <w:rsid w:val="001A690D"/>
    <w:rsid w:val="001B2D62"/>
    <w:rsid w:val="001B364D"/>
    <w:rsid w:val="001D2946"/>
    <w:rsid w:val="001E18C6"/>
    <w:rsid w:val="001E5E7E"/>
    <w:rsid w:val="001F413C"/>
    <w:rsid w:val="00200A16"/>
    <w:rsid w:val="00217BB3"/>
    <w:rsid w:val="00223864"/>
    <w:rsid w:val="00225B75"/>
    <w:rsid w:val="00226D95"/>
    <w:rsid w:val="00233EFF"/>
    <w:rsid w:val="00234B9D"/>
    <w:rsid w:val="00241177"/>
    <w:rsid w:val="00256E3F"/>
    <w:rsid w:val="002662DB"/>
    <w:rsid w:val="002718CB"/>
    <w:rsid w:val="0027255C"/>
    <w:rsid w:val="00291699"/>
    <w:rsid w:val="0029526A"/>
    <w:rsid w:val="002A1C54"/>
    <w:rsid w:val="002A2DE5"/>
    <w:rsid w:val="002A4C33"/>
    <w:rsid w:val="002B2C07"/>
    <w:rsid w:val="002B74CD"/>
    <w:rsid w:val="002C40D8"/>
    <w:rsid w:val="002D1FE1"/>
    <w:rsid w:val="002E0176"/>
    <w:rsid w:val="002E2F55"/>
    <w:rsid w:val="002E6A03"/>
    <w:rsid w:val="002E71BF"/>
    <w:rsid w:val="002F094C"/>
    <w:rsid w:val="00302776"/>
    <w:rsid w:val="00302B59"/>
    <w:rsid w:val="00304C0F"/>
    <w:rsid w:val="00313F81"/>
    <w:rsid w:val="003229A9"/>
    <w:rsid w:val="0032350A"/>
    <w:rsid w:val="0032680E"/>
    <w:rsid w:val="00332E6D"/>
    <w:rsid w:val="003365D1"/>
    <w:rsid w:val="00347E0F"/>
    <w:rsid w:val="00352226"/>
    <w:rsid w:val="003532AB"/>
    <w:rsid w:val="0035333C"/>
    <w:rsid w:val="00353643"/>
    <w:rsid w:val="00363B1E"/>
    <w:rsid w:val="00367149"/>
    <w:rsid w:val="003729A0"/>
    <w:rsid w:val="00381D11"/>
    <w:rsid w:val="00382BA6"/>
    <w:rsid w:val="003843E2"/>
    <w:rsid w:val="0038669D"/>
    <w:rsid w:val="00387803"/>
    <w:rsid w:val="003953EE"/>
    <w:rsid w:val="003A16F0"/>
    <w:rsid w:val="003A2A0A"/>
    <w:rsid w:val="003A3E19"/>
    <w:rsid w:val="003B3766"/>
    <w:rsid w:val="003B48E9"/>
    <w:rsid w:val="003B4E08"/>
    <w:rsid w:val="003B68D2"/>
    <w:rsid w:val="003C13A2"/>
    <w:rsid w:val="003C4686"/>
    <w:rsid w:val="003D2F07"/>
    <w:rsid w:val="003D7421"/>
    <w:rsid w:val="003E7457"/>
    <w:rsid w:val="003F0254"/>
    <w:rsid w:val="003F707B"/>
    <w:rsid w:val="00402CA5"/>
    <w:rsid w:val="00404929"/>
    <w:rsid w:val="00412FE7"/>
    <w:rsid w:val="00416A8B"/>
    <w:rsid w:val="00432DDF"/>
    <w:rsid w:val="00433057"/>
    <w:rsid w:val="004379D4"/>
    <w:rsid w:val="00450000"/>
    <w:rsid w:val="00453B0F"/>
    <w:rsid w:val="004672C3"/>
    <w:rsid w:val="00471083"/>
    <w:rsid w:val="00487542"/>
    <w:rsid w:val="004932CC"/>
    <w:rsid w:val="00494ECA"/>
    <w:rsid w:val="00495B2C"/>
    <w:rsid w:val="004967BF"/>
    <w:rsid w:val="004A10A8"/>
    <w:rsid w:val="004B3E61"/>
    <w:rsid w:val="004B525F"/>
    <w:rsid w:val="004C10FC"/>
    <w:rsid w:val="004C2566"/>
    <w:rsid w:val="004C7C4D"/>
    <w:rsid w:val="004D4811"/>
    <w:rsid w:val="004E3BA7"/>
    <w:rsid w:val="004E3F0F"/>
    <w:rsid w:val="004F1E3C"/>
    <w:rsid w:val="004F2FB6"/>
    <w:rsid w:val="004F39E7"/>
    <w:rsid w:val="0050739B"/>
    <w:rsid w:val="005200F8"/>
    <w:rsid w:val="00525187"/>
    <w:rsid w:val="00532E7D"/>
    <w:rsid w:val="00545EA0"/>
    <w:rsid w:val="00564E44"/>
    <w:rsid w:val="00566DEA"/>
    <w:rsid w:val="00572377"/>
    <w:rsid w:val="00572562"/>
    <w:rsid w:val="0059545C"/>
    <w:rsid w:val="0059680F"/>
    <w:rsid w:val="005A6BD7"/>
    <w:rsid w:val="005B183D"/>
    <w:rsid w:val="005C22A0"/>
    <w:rsid w:val="005C7CE9"/>
    <w:rsid w:val="005D0CB6"/>
    <w:rsid w:val="005D2D19"/>
    <w:rsid w:val="005E1085"/>
    <w:rsid w:val="005E4D4C"/>
    <w:rsid w:val="005E5B2F"/>
    <w:rsid w:val="005F15A1"/>
    <w:rsid w:val="005F2617"/>
    <w:rsid w:val="005F43FE"/>
    <w:rsid w:val="00605129"/>
    <w:rsid w:val="00611DAC"/>
    <w:rsid w:val="00611F39"/>
    <w:rsid w:val="006237BF"/>
    <w:rsid w:val="0062773D"/>
    <w:rsid w:val="00632023"/>
    <w:rsid w:val="00634826"/>
    <w:rsid w:val="00644AC6"/>
    <w:rsid w:val="00645B09"/>
    <w:rsid w:val="006543C3"/>
    <w:rsid w:val="006547D6"/>
    <w:rsid w:val="006554DA"/>
    <w:rsid w:val="00655B37"/>
    <w:rsid w:val="00657562"/>
    <w:rsid w:val="00657575"/>
    <w:rsid w:val="0066696B"/>
    <w:rsid w:val="00673604"/>
    <w:rsid w:val="00675561"/>
    <w:rsid w:val="006851DE"/>
    <w:rsid w:val="00686E3A"/>
    <w:rsid w:val="00687009"/>
    <w:rsid w:val="006A39DA"/>
    <w:rsid w:val="006A70CA"/>
    <w:rsid w:val="006B4AEC"/>
    <w:rsid w:val="006C41C7"/>
    <w:rsid w:val="006C5E7E"/>
    <w:rsid w:val="006C7AE0"/>
    <w:rsid w:val="006C7FCD"/>
    <w:rsid w:val="006E1652"/>
    <w:rsid w:val="006E49AC"/>
    <w:rsid w:val="006F30DC"/>
    <w:rsid w:val="006F7CA9"/>
    <w:rsid w:val="00715959"/>
    <w:rsid w:val="007172FB"/>
    <w:rsid w:val="007173AB"/>
    <w:rsid w:val="0072429E"/>
    <w:rsid w:val="00736396"/>
    <w:rsid w:val="00736F7D"/>
    <w:rsid w:val="0075042C"/>
    <w:rsid w:val="00755506"/>
    <w:rsid w:val="00756DA6"/>
    <w:rsid w:val="0075782B"/>
    <w:rsid w:val="007728F0"/>
    <w:rsid w:val="00782C1E"/>
    <w:rsid w:val="00783FFD"/>
    <w:rsid w:val="00792104"/>
    <w:rsid w:val="007925B6"/>
    <w:rsid w:val="00793170"/>
    <w:rsid w:val="007933BF"/>
    <w:rsid w:val="007947AD"/>
    <w:rsid w:val="00795330"/>
    <w:rsid w:val="00795822"/>
    <w:rsid w:val="007A1599"/>
    <w:rsid w:val="007A26A7"/>
    <w:rsid w:val="007A3DAA"/>
    <w:rsid w:val="007A56DD"/>
    <w:rsid w:val="007A5A10"/>
    <w:rsid w:val="007B14FF"/>
    <w:rsid w:val="007B4274"/>
    <w:rsid w:val="007B5E8B"/>
    <w:rsid w:val="007C3D5E"/>
    <w:rsid w:val="007D31BD"/>
    <w:rsid w:val="007F0099"/>
    <w:rsid w:val="007F3978"/>
    <w:rsid w:val="008005F2"/>
    <w:rsid w:val="00806D9C"/>
    <w:rsid w:val="00807112"/>
    <w:rsid w:val="00812C75"/>
    <w:rsid w:val="008171E1"/>
    <w:rsid w:val="00831DD3"/>
    <w:rsid w:val="00840133"/>
    <w:rsid w:val="00841F4B"/>
    <w:rsid w:val="008513F5"/>
    <w:rsid w:val="00851ED8"/>
    <w:rsid w:val="00854145"/>
    <w:rsid w:val="008544B6"/>
    <w:rsid w:val="0085454D"/>
    <w:rsid w:val="00854570"/>
    <w:rsid w:val="00857220"/>
    <w:rsid w:val="00857E8C"/>
    <w:rsid w:val="0087135C"/>
    <w:rsid w:val="008866D2"/>
    <w:rsid w:val="008A5033"/>
    <w:rsid w:val="008A5BBD"/>
    <w:rsid w:val="008A624B"/>
    <w:rsid w:val="008A719E"/>
    <w:rsid w:val="008C26F8"/>
    <w:rsid w:val="008C4A17"/>
    <w:rsid w:val="008E3B41"/>
    <w:rsid w:val="008E6794"/>
    <w:rsid w:val="008F1A4E"/>
    <w:rsid w:val="008F4A8D"/>
    <w:rsid w:val="009029F0"/>
    <w:rsid w:val="0090416D"/>
    <w:rsid w:val="00905007"/>
    <w:rsid w:val="00906A4D"/>
    <w:rsid w:val="00917C31"/>
    <w:rsid w:val="009269AA"/>
    <w:rsid w:val="009410FC"/>
    <w:rsid w:val="00941AD1"/>
    <w:rsid w:val="00942C25"/>
    <w:rsid w:val="00952C6F"/>
    <w:rsid w:val="00961A4B"/>
    <w:rsid w:val="00961AE9"/>
    <w:rsid w:val="009632DD"/>
    <w:rsid w:val="00966B93"/>
    <w:rsid w:val="00967AC8"/>
    <w:rsid w:val="009744F6"/>
    <w:rsid w:val="009753B5"/>
    <w:rsid w:val="00985279"/>
    <w:rsid w:val="0099390E"/>
    <w:rsid w:val="0099595C"/>
    <w:rsid w:val="009970A5"/>
    <w:rsid w:val="009A1827"/>
    <w:rsid w:val="009A5481"/>
    <w:rsid w:val="009B37E2"/>
    <w:rsid w:val="009C252F"/>
    <w:rsid w:val="009C760E"/>
    <w:rsid w:val="009F007E"/>
    <w:rsid w:val="009F12EB"/>
    <w:rsid w:val="009F20D2"/>
    <w:rsid w:val="009F27D6"/>
    <w:rsid w:val="009F6920"/>
    <w:rsid w:val="00A015FB"/>
    <w:rsid w:val="00A11969"/>
    <w:rsid w:val="00A249B4"/>
    <w:rsid w:val="00A27550"/>
    <w:rsid w:val="00A4123C"/>
    <w:rsid w:val="00A414E4"/>
    <w:rsid w:val="00A42714"/>
    <w:rsid w:val="00A43486"/>
    <w:rsid w:val="00A45A0E"/>
    <w:rsid w:val="00A66E0D"/>
    <w:rsid w:val="00A803A5"/>
    <w:rsid w:val="00A80DFA"/>
    <w:rsid w:val="00A93736"/>
    <w:rsid w:val="00A95F69"/>
    <w:rsid w:val="00A96DD1"/>
    <w:rsid w:val="00AA79C5"/>
    <w:rsid w:val="00AC1F23"/>
    <w:rsid w:val="00AC5AF8"/>
    <w:rsid w:val="00AC73DC"/>
    <w:rsid w:val="00AD1808"/>
    <w:rsid w:val="00AD65A6"/>
    <w:rsid w:val="00AD6F07"/>
    <w:rsid w:val="00AE56E3"/>
    <w:rsid w:val="00AF201A"/>
    <w:rsid w:val="00AF274D"/>
    <w:rsid w:val="00AF3A81"/>
    <w:rsid w:val="00B0434C"/>
    <w:rsid w:val="00B14C3C"/>
    <w:rsid w:val="00B16BAD"/>
    <w:rsid w:val="00B21833"/>
    <w:rsid w:val="00B25039"/>
    <w:rsid w:val="00B44105"/>
    <w:rsid w:val="00B475EF"/>
    <w:rsid w:val="00B51251"/>
    <w:rsid w:val="00B545BC"/>
    <w:rsid w:val="00B55C32"/>
    <w:rsid w:val="00B601FF"/>
    <w:rsid w:val="00B60733"/>
    <w:rsid w:val="00B7143F"/>
    <w:rsid w:val="00B71E70"/>
    <w:rsid w:val="00B740C7"/>
    <w:rsid w:val="00B81586"/>
    <w:rsid w:val="00BA1A8C"/>
    <w:rsid w:val="00BA31BA"/>
    <w:rsid w:val="00BA39DB"/>
    <w:rsid w:val="00BA5D33"/>
    <w:rsid w:val="00BC29BE"/>
    <w:rsid w:val="00BC3A1F"/>
    <w:rsid w:val="00BC3BA8"/>
    <w:rsid w:val="00BD3FF6"/>
    <w:rsid w:val="00BE1599"/>
    <w:rsid w:val="00BF7B44"/>
    <w:rsid w:val="00C01FF5"/>
    <w:rsid w:val="00C03178"/>
    <w:rsid w:val="00C17834"/>
    <w:rsid w:val="00C44675"/>
    <w:rsid w:val="00C46727"/>
    <w:rsid w:val="00C548A3"/>
    <w:rsid w:val="00C576E5"/>
    <w:rsid w:val="00C644F7"/>
    <w:rsid w:val="00C645D9"/>
    <w:rsid w:val="00C72419"/>
    <w:rsid w:val="00C7262D"/>
    <w:rsid w:val="00C81F43"/>
    <w:rsid w:val="00C83FB9"/>
    <w:rsid w:val="00C93ACA"/>
    <w:rsid w:val="00C97366"/>
    <w:rsid w:val="00CA0590"/>
    <w:rsid w:val="00CA6149"/>
    <w:rsid w:val="00CB2CE4"/>
    <w:rsid w:val="00CB3C95"/>
    <w:rsid w:val="00CB4020"/>
    <w:rsid w:val="00CC1F22"/>
    <w:rsid w:val="00CC35BC"/>
    <w:rsid w:val="00CC677F"/>
    <w:rsid w:val="00CC7359"/>
    <w:rsid w:val="00CD00E6"/>
    <w:rsid w:val="00CD0666"/>
    <w:rsid w:val="00CD1871"/>
    <w:rsid w:val="00CD239A"/>
    <w:rsid w:val="00CD61CC"/>
    <w:rsid w:val="00CE1ABD"/>
    <w:rsid w:val="00D06140"/>
    <w:rsid w:val="00D06CC8"/>
    <w:rsid w:val="00D06EFB"/>
    <w:rsid w:val="00D12472"/>
    <w:rsid w:val="00D12D14"/>
    <w:rsid w:val="00D15467"/>
    <w:rsid w:val="00D15B44"/>
    <w:rsid w:val="00D26DFE"/>
    <w:rsid w:val="00D270FF"/>
    <w:rsid w:val="00D31FC6"/>
    <w:rsid w:val="00D3233B"/>
    <w:rsid w:val="00D56DB8"/>
    <w:rsid w:val="00D61C9F"/>
    <w:rsid w:val="00D64FAA"/>
    <w:rsid w:val="00D7269F"/>
    <w:rsid w:val="00D73467"/>
    <w:rsid w:val="00D74CB1"/>
    <w:rsid w:val="00D833DD"/>
    <w:rsid w:val="00D8723E"/>
    <w:rsid w:val="00D96CDC"/>
    <w:rsid w:val="00DB1420"/>
    <w:rsid w:val="00DB1D4A"/>
    <w:rsid w:val="00DB308C"/>
    <w:rsid w:val="00DB79B2"/>
    <w:rsid w:val="00DC2CA1"/>
    <w:rsid w:val="00DC78ED"/>
    <w:rsid w:val="00DD41DA"/>
    <w:rsid w:val="00DE3764"/>
    <w:rsid w:val="00DE3B1A"/>
    <w:rsid w:val="00DF0527"/>
    <w:rsid w:val="00DF2B21"/>
    <w:rsid w:val="00DF2BD1"/>
    <w:rsid w:val="00DF67E2"/>
    <w:rsid w:val="00E06211"/>
    <w:rsid w:val="00E07623"/>
    <w:rsid w:val="00E10D7E"/>
    <w:rsid w:val="00E1610C"/>
    <w:rsid w:val="00E23529"/>
    <w:rsid w:val="00E40070"/>
    <w:rsid w:val="00E4469D"/>
    <w:rsid w:val="00E511D7"/>
    <w:rsid w:val="00E8011A"/>
    <w:rsid w:val="00E9771A"/>
    <w:rsid w:val="00EA1435"/>
    <w:rsid w:val="00EA6B91"/>
    <w:rsid w:val="00EA6C7F"/>
    <w:rsid w:val="00EB51CA"/>
    <w:rsid w:val="00EB6FE7"/>
    <w:rsid w:val="00EC46EB"/>
    <w:rsid w:val="00EC5873"/>
    <w:rsid w:val="00EC62E3"/>
    <w:rsid w:val="00ED1840"/>
    <w:rsid w:val="00ED2F10"/>
    <w:rsid w:val="00EE18C8"/>
    <w:rsid w:val="00EE2514"/>
    <w:rsid w:val="00EF1D86"/>
    <w:rsid w:val="00EF475B"/>
    <w:rsid w:val="00EF6163"/>
    <w:rsid w:val="00EF7859"/>
    <w:rsid w:val="00F0213F"/>
    <w:rsid w:val="00F04919"/>
    <w:rsid w:val="00F10DD1"/>
    <w:rsid w:val="00F1453E"/>
    <w:rsid w:val="00F163A7"/>
    <w:rsid w:val="00F16F08"/>
    <w:rsid w:val="00F212B3"/>
    <w:rsid w:val="00F261A1"/>
    <w:rsid w:val="00F315AA"/>
    <w:rsid w:val="00F3445A"/>
    <w:rsid w:val="00F36DD9"/>
    <w:rsid w:val="00F44596"/>
    <w:rsid w:val="00F53806"/>
    <w:rsid w:val="00F63686"/>
    <w:rsid w:val="00F6478D"/>
    <w:rsid w:val="00F72B8A"/>
    <w:rsid w:val="00F82E5B"/>
    <w:rsid w:val="00FA1238"/>
    <w:rsid w:val="00FA6372"/>
    <w:rsid w:val="00FA6A68"/>
    <w:rsid w:val="00FB160C"/>
    <w:rsid w:val="00FB3636"/>
    <w:rsid w:val="00FB4397"/>
    <w:rsid w:val="00FB4AB9"/>
    <w:rsid w:val="00FB56E2"/>
    <w:rsid w:val="00FB6856"/>
    <w:rsid w:val="00FC057D"/>
    <w:rsid w:val="00FD1468"/>
    <w:rsid w:val="00FE2342"/>
    <w:rsid w:val="00FF0DA0"/>
    <w:rsid w:val="00FF6BA7"/>
    <w:rsid w:val="00FF7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uiPriority w:val="9"/>
    <w:qFormat/>
    <w:rsid w:val="009B37E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paragraph" w:styleId="ac">
    <w:name w:val="Revision"/>
    <w:hidden/>
    <w:uiPriority w:val="99"/>
    <w:semiHidden/>
    <w:rsid w:val="00736396"/>
    <w:rPr>
      <w:rFonts w:ascii="Times New Roman" w:eastAsia="方正仿宋简体" w:hAnsi="Times New Roman" w:cs="Times New Roman"/>
      <w:sz w:val="32"/>
      <w:szCs w:val="20"/>
    </w:rPr>
  </w:style>
  <w:style w:type="character" w:customStyle="1" w:styleId="1Char">
    <w:name w:val="标题 1 Char"/>
    <w:basedOn w:val="a0"/>
    <w:link w:val="1"/>
    <w:uiPriority w:val="9"/>
    <w:rsid w:val="009B37E2"/>
    <w:rPr>
      <w:rFonts w:ascii="Times New Roman" w:eastAsia="方正仿宋简体" w:hAnsi="Times New Roman" w:cs="Times New Roman"/>
      <w:b/>
      <w:bCs/>
      <w:kern w:val="44"/>
      <w:sz w:val="44"/>
      <w:szCs w:val="44"/>
    </w:rPr>
  </w:style>
  <w:style w:type="character" w:styleId="ad">
    <w:name w:val="Hyperlink"/>
    <w:basedOn w:val="a0"/>
    <w:rsid w:val="006A39DA"/>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19345656">
      <w:bodyDiv w:val="1"/>
      <w:marLeft w:val="0"/>
      <w:marRight w:val="0"/>
      <w:marTop w:val="0"/>
      <w:marBottom w:val="0"/>
      <w:divBdr>
        <w:top w:val="none" w:sz="0" w:space="0" w:color="auto"/>
        <w:left w:val="none" w:sz="0" w:space="0" w:color="auto"/>
        <w:bottom w:val="none" w:sz="0" w:space="0" w:color="auto"/>
        <w:right w:val="none" w:sz="0" w:space="0" w:color="auto"/>
      </w:divBdr>
      <w:divsChild>
        <w:div w:id="1863670416">
          <w:marLeft w:val="0"/>
          <w:marRight w:val="0"/>
          <w:marTop w:val="0"/>
          <w:marBottom w:val="0"/>
          <w:divBdr>
            <w:top w:val="none" w:sz="0" w:space="0" w:color="auto"/>
            <w:left w:val="none" w:sz="0" w:space="0" w:color="auto"/>
            <w:bottom w:val="none" w:sz="0" w:space="0" w:color="auto"/>
            <w:right w:val="none" w:sz="0" w:space="0" w:color="auto"/>
          </w:divBdr>
        </w:div>
        <w:div w:id="1541212552">
          <w:marLeft w:val="0"/>
          <w:marRight w:val="0"/>
          <w:marTop w:val="0"/>
          <w:marBottom w:val="0"/>
          <w:divBdr>
            <w:top w:val="none" w:sz="0" w:space="0" w:color="auto"/>
            <w:left w:val="none" w:sz="0" w:space="0" w:color="auto"/>
            <w:bottom w:val="none" w:sz="0" w:space="0" w:color="auto"/>
            <w:right w:val="none" w:sz="0" w:space="0" w:color="auto"/>
          </w:divBdr>
        </w:div>
        <w:div w:id="538980827">
          <w:marLeft w:val="0"/>
          <w:marRight w:val="0"/>
          <w:marTop w:val="0"/>
          <w:marBottom w:val="0"/>
          <w:divBdr>
            <w:top w:val="none" w:sz="0" w:space="0" w:color="auto"/>
            <w:left w:val="none" w:sz="0" w:space="0" w:color="auto"/>
            <w:bottom w:val="none" w:sz="0" w:space="0" w:color="auto"/>
            <w:right w:val="none" w:sz="0" w:space="0" w:color="auto"/>
          </w:divBdr>
        </w:div>
        <w:div w:id="701516329">
          <w:marLeft w:val="0"/>
          <w:marRight w:val="0"/>
          <w:marTop w:val="0"/>
          <w:marBottom w:val="0"/>
          <w:divBdr>
            <w:top w:val="none" w:sz="0" w:space="0" w:color="auto"/>
            <w:left w:val="none" w:sz="0" w:space="0" w:color="auto"/>
            <w:bottom w:val="none" w:sz="0" w:space="0" w:color="auto"/>
            <w:right w:val="none" w:sz="0" w:space="0" w:color="auto"/>
          </w:divBdr>
        </w:div>
        <w:div w:id="513884745">
          <w:marLeft w:val="0"/>
          <w:marRight w:val="0"/>
          <w:marTop w:val="0"/>
          <w:marBottom w:val="0"/>
          <w:divBdr>
            <w:top w:val="none" w:sz="0" w:space="0" w:color="auto"/>
            <w:left w:val="none" w:sz="0" w:space="0" w:color="auto"/>
            <w:bottom w:val="none" w:sz="0" w:space="0" w:color="auto"/>
            <w:right w:val="none" w:sz="0" w:space="0" w:color="auto"/>
          </w:divBdr>
        </w:div>
        <w:div w:id="99647024">
          <w:marLeft w:val="0"/>
          <w:marRight w:val="0"/>
          <w:marTop w:val="0"/>
          <w:marBottom w:val="0"/>
          <w:divBdr>
            <w:top w:val="none" w:sz="0" w:space="0" w:color="auto"/>
            <w:left w:val="none" w:sz="0" w:space="0" w:color="auto"/>
            <w:bottom w:val="none" w:sz="0" w:space="0" w:color="auto"/>
            <w:right w:val="none" w:sz="0" w:space="0" w:color="auto"/>
          </w:divBdr>
        </w:div>
        <w:div w:id="571937612">
          <w:marLeft w:val="0"/>
          <w:marRight w:val="0"/>
          <w:marTop w:val="0"/>
          <w:marBottom w:val="0"/>
          <w:divBdr>
            <w:top w:val="none" w:sz="0" w:space="0" w:color="auto"/>
            <w:left w:val="none" w:sz="0" w:space="0" w:color="auto"/>
            <w:bottom w:val="none" w:sz="0" w:space="0" w:color="auto"/>
            <w:right w:val="none" w:sz="0" w:space="0" w:color="auto"/>
          </w:divBdr>
        </w:div>
        <w:div w:id="1714033474">
          <w:marLeft w:val="0"/>
          <w:marRight w:val="0"/>
          <w:marTop w:val="0"/>
          <w:marBottom w:val="0"/>
          <w:divBdr>
            <w:top w:val="none" w:sz="0" w:space="0" w:color="auto"/>
            <w:left w:val="none" w:sz="0" w:space="0" w:color="auto"/>
            <w:bottom w:val="none" w:sz="0" w:space="0" w:color="auto"/>
            <w:right w:val="none" w:sz="0" w:space="0" w:color="auto"/>
          </w:divBdr>
        </w:div>
        <w:div w:id="1513494483">
          <w:marLeft w:val="0"/>
          <w:marRight w:val="0"/>
          <w:marTop w:val="0"/>
          <w:marBottom w:val="0"/>
          <w:divBdr>
            <w:top w:val="none" w:sz="0" w:space="0" w:color="auto"/>
            <w:left w:val="none" w:sz="0" w:space="0" w:color="auto"/>
            <w:bottom w:val="none" w:sz="0" w:space="0" w:color="auto"/>
            <w:right w:val="none" w:sz="0" w:space="0" w:color="auto"/>
          </w:divBdr>
        </w:div>
      </w:divsChild>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60224566">
      <w:bodyDiv w:val="1"/>
      <w:marLeft w:val="0"/>
      <w:marRight w:val="0"/>
      <w:marTop w:val="0"/>
      <w:marBottom w:val="0"/>
      <w:divBdr>
        <w:top w:val="none" w:sz="0" w:space="0" w:color="auto"/>
        <w:left w:val="none" w:sz="0" w:space="0" w:color="auto"/>
        <w:bottom w:val="none" w:sz="0" w:space="0" w:color="auto"/>
        <w:right w:val="none" w:sz="0" w:space="0" w:color="auto"/>
      </w:divBdr>
      <w:divsChild>
        <w:div w:id="1352992973">
          <w:marLeft w:val="0"/>
          <w:marRight w:val="0"/>
          <w:marTop w:val="0"/>
          <w:marBottom w:val="0"/>
          <w:divBdr>
            <w:top w:val="none" w:sz="0" w:space="0" w:color="auto"/>
            <w:left w:val="none" w:sz="0" w:space="0" w:color="auto"/>
            <w:bottom w:val="none" w:sz="0" w:space="0" w:color="auto"/>
            <w:right w:val="none" w:sz="0" w:space="0" w:color="auto"/>
          </w:divBdr>
        </w:div>
        <w:div w:id="628509314">
          <w:marLeft w:val="0"/>
          <w:marRight w:val="0"/>
          <w:marTop w:val="0"/>
          <w:marBottom w:val="0"/>
          <w:divBdr>
            <w:top w:val="none" w:sz="0" w:space="0" w:color="auto"/>
            <w:left w:val="none" w:sz="0" w:space="0" w:color="auto"/>
            <w:bottom w:val="none" w:sz="0" w:space="0" w:color="auto"/>
            <w:right w:val="none" w:sz="0" w:space="0" w:color="auto"/>
          </w:divBdr>
        </w:div>
        <w:div w:id="1990858934">
          <w:marLeft w:val="0"/>
          <w:marRight w:val="0"/>
          <w:marTop w:val="0"/>
          <w:marBottom w:val="0"/>
          <w:divBdr>
            <w:top w:val="none" w:sz="0" w:space="0" w:color="auto"/>
            <w:left w:val="none" w:sz="0" w:space="0" w:color="auto"/>
            <w:bottom w:val="none" w:sz="0" w:space="0" w:color="auto"/>
            <w:right w:val="none" w:sz="0" w:space="0" w:color="auto"/>
          </w:divBdr>
        </w:div>
        <w:div w:id="498617596">
          <w:marLeft w:val="0"/>
          <w:marRight w:val="0"/>
          <w:marTop w:val="0"/>
          <w:marBottom w:val="0"/>
          <w:divBdr>
            <w:top w:val="none" w:sz="0" w:space="0" w:color="auto"/>
            <w:left w:val="none" w:sz="0" w:space="0" w:color="auto"/>
            <w:bottom w:val="none" w:sz="0" w:space="0" w:color="auto"/>
            <w:right w:val="none" w:sz="0" w:space="0" w:color="auto"/>
          </w:divBdr>
        </w:div>
        <w:div w:id="1950308113">
          <w:marLeft w:val="0"/>
          <w:marRight w:val="0"/>
          <w:marTop w:val="0"/>
          <w:marBottom w:val="0"/>
          <w:divBdr>
            <w:top w:val="none" w:sz="0" w:space="0" w:color="auto"/>
            <w:left w:val="none" w:sz="0" w:space="0" w:color="auto"/>
            <w:bottom w:val="none" w:sz="0" w:space="0" w:color="auto"/>
            <w:right w:val="none" w:sz="0" w:space="0" w:color="auto"/>
          </w:divBdr>
        </w:div>
        <w:div w:id="1156645502">
          <w:marLeft w:val="0"/>
          <w:marRight w:val="0"/>
          <w:marTop w:val="0"/>
          <w:marBottom w:val="0"/>
          <w:divBdr>
            <w:top w:val="none" w:sz="0" w:space="0" w:color="auto"/>
            <w:left w:val="none" w:sz="0" w:space="0" w:color="auto"/>
            <w:bottom w:val="none" w:sz="0" w:space="0" w:color="auto"/>
            <w:right w:val="none" w:sz="0" w:space="0" w:color="auto"/>
          </w:divBdr>
        </w:div>
        <w:div w:id="637420377">
          <w:marLeft w:val="0"/>
          <w:marRight w:val="0"/>
          <w:marTop w:val="0"/>
          <w:marBottom w:val="0"/>
          <w:divBdr>
            <w:top w:val="none" w:sz="0" w:space="0" w:color="auto"/>
            <w:left w:val="none" w:sz="0" w:space="0" w:color="auto"/>
            <w:bottom w:val="none" w:sz="0" w:space="0" w:color="auto"/>
            <w:right w:val="none" w:sz="0" w:space="0" w:color="auto"/>
          </w:divBdr>
        </w:div>
        <w:div w:id="1485273732">
          <w:marLeft w:val="0"/>
          <w:marRight w:val="0"/>
          <w:marTop w:val="0"/>
          <w:marBottom w:val="0"/>
          <w:divBdr>
            <w:top w:val="none" w:sz="0" w:space="0" w:color="auto"/>
            <w:left w:val="none" w:sz="0" w:space="0" w:color="auto"/>
            <w:bottom w:val="none" w:sz="0" w:space="0" w:color="auto"/>
            <w:right w:val="none" w:sz="0" w:space="0" w:color="auto"/>
          </w:divBdr>
        </w:div>
        <w:div w:id="1340082936">
          <w:marLeft w:val="0"/>
          <w:marRight w:val="0"/>
          <w:marTop w:val="0"/>
          <w:marBottom w:val="0"/>
          <w:divBdr>
            <w:top w:val="none" w:sz="0" w:space="0" w:color="auto"/>
            <w:left w:val="none" w:sz="0" w:space="0" w:color="auto"/>
            <w:bottom w:val="none" w:sz="0" w:space="0" w:color="auto"/>
            <w:right w:val="none" w:sz="0" w:space="0" w:color="auto"/>
          </w:divBdr>
        </w:div>
      </w:divsChild>
    </w:div>
    <w:div w:id="585847574">
      <w:bodyDiv w:val="1"/>
      <w:marLeft w:val="0"/>
      <w:marRight w:val="0"/>
      <w:marTop w:val="0"/>
      <w:marBottom w:val="0"/>
      <w:divBdr>
        <w:top w:val="none" w:sz="0" w:space="0" w:color="auto"/>
        <w:left w:val="none" w:sz="0" w:space="0" w:color="auto"/>
        <w:bottom w:val="none" w:sz="0" w:space="0" w:color="auto"/>
        <w:right w:val="none" w:sz="0" w:space="0" w:color="auto"/>
      </w:divBdr>
      <w:divsChild>
        <w:div w:id="1194078095">
          <w:marLeft w:val="0"/>
          <w:marRight w:val="0"/>
          <w:marTop w:val="0"/>
          <w:marBottom w:val="0"/>
          <w:divBdr>
            <w:top w:val="none" w:sz="0" w:space="0" w:color="auto"/>
            <w:left w:val="none" w:sz="0" w:space="0" w:color="auto"/>
            <w:bottom w:val="none" w:sz="0" w:space="0" w:color="auto"/>
            <w:right w:val="none" w:sz="0" w:space="0" w:color="auto"/>
          </w:divBdr>
        </w:div>
      </w:divsChild>
    </w:div>
    <w:div w:id="1403337192">
      <w:bodyDiv w:val="1"/>
      <w:marLeft w:val="0"/>
      <w:marRight w:val="0"/>
      <w:marTop w:val="0"/>
      <w:marBottom w:val="0"/>
      <w:divBdr>
        <w:top w:val="none" w:sz="0" w:space="0" w:color="auto"/>
        <w:left w:val="none" w:sz="0" w:space="0" w:color="auto"/>
        <w:bottom w:val="none" w:sz="0" w:space="0" w:color="auto"/>
        <w:right w:val="none" w:sz="0" w:space="0" w:color="auto"/>
      </w:divBdr>
    </w:div>
    <w:div w:id="14944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73851-AFD6-4B6F-839B-C3A9067B8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933</Characters>
  <Application>Microsoft Office Word</Application>
  <DocSecurity>4</DocSecurity>
  <Lines>7</Lines>
  <Paragraphs>2</Paragraphs>
  <ScaleCrop>false</ScaleCrop>
  <Company>Microsoft</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2011-09-06T06:39:00Z</cp:lastPrinted>
  <dcterms:created xsi:type="dcterms:W3CDTF">2026-03-31T16:01:00Z</dcterms:created>
  <dcterms:modified xsi:type="dcterms:W3CDTF">2026-03-31T16:01:00Z</dcterms:modified>
</cp:coreProperties>
</file>