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4E1B">
      <w:pPr>
        <w:spacing w:line="540" w:lineRule="exact"/>
        <w:ind w:firstLineChars="50" w:firstLine="180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上海国泰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海通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证券资产管理有限公司</w:t>
      </w:r>
    </w:p>
    <w:p w:rsidR="00000000" w:rsidRDefault="00894E1B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旗下基金</w:t>
      </w:r>
      <w:r>
        <w:rPr>
          <w:rFonts w:ascii="仿宋" w:eastAsia="仿宋" w:hAnsi="仿宋"/>
          <w:b/>
          <w:color w:val="000000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年年度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报告提示性公告</w:t>
      </w:r>
    </w:p>
    <w:p w:rsidR="00000000" w:rsidRDefault="00894E1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894E1B">
      <w:pPr>
        <w:spacing w:line="540" w:lineRule="exact"/>
        <w:ind w:firstLine="645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本公司董事会及董事保证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年年度</w:t>
      </w:r>
      <w:r>
        <w:rPr>
          <w:rFonts w:ascii="仿宋" w:eastAsia="仿宋" w:hAnsi="仿宋"/>
          <w:color w:val="000000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000000" w:rsidRDefault="00894E1B">
      <w:pPr>
        <w:spacing w:line="54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上海国泰</w:t>
      </w:r>
      <w:r>
        <w:rPr>
          <w:rFonts w:ascii="仿宋" w:eastAsia="仿宋" w:hAnsi="仿宋" w:hint="eastAsia"/>
          <w:color w:val="000000"/>
          <w:sz w:val="28"/>
          <w:szCs w:val="28"/>
        </w:rPr>
        <w:t>海通</w:t>
      </w:r>
      <w:r>
        <w:rPr>
          <w:rFonts w:ascii="仿宋" w:eastAsia="仿宋" w:hAnsi="仿宋" w:hint="eastAsia"/>
          <w:color w:val="000000"/>
          <w:sz w:val="28"/>
          <w:szCs w:val="28"/>
        </w:rPr>
        <w:t>证券资产管理有限公司旗下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</w:rPr>
        <w:t>70</w:t>
      </w:r>
      <w:r>
        <w:rPr>
          <w:rFonts w:ascii="仿宋" w:eastAsia="仿宋" w:hAnsi="仿宋" w:hint="eastAsia"/>
          <w:color w:val="000000"/>
          <w:sz w:val="28"/>
          <w:szCs w:val="28"/>
        </w:rPr>
        <w:t>只基金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年度</w:t>
      </w:r>
      <w:r>
        <w:rPr>
          <w:rFonts w:ascii="仿宋" w:eastAsia="仿宋" w:hAnsi="仿宋" w:hint="eastAsia"/>
          <w:color w:val="000000"/>
          <w:sz w:val="28"/>
          <w:szCs w:val="28"/>
        </w:rPr>
        <w:t>报告全文于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31</w:t>
      </w:r>
      <w:r>
        <w:rPr>
          <w:rFonts w:ascii="仿宋" w:eastAsia="仿宋" w:hAnsi="仿宋" w:hint="eastAsia"/>
          <w:color w:val="000000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/>
          <w:sz w:val="28"/>
          <w:szCs w:val="28"/>
        </w:rPr>
        <w:t>http://w</w:t>
      </w:r>
      <w:r>
        <w:rPr>
          <w:rFonts w:ascii="仿宋" w:eastAsia="仿宋" w:hAnsi="仿宋"/>
          <w:color w:val="000000"/>
          <w:sz w:val="28"/>
          <w:szCs w:val="28"/>
        </w:rPr>
        <w:t>ww.gt</w:t>
      </w:r>
      <w:r>
        <w:rPr>
          <w:rFonts w:ascii="仿宋" w:eastAsia="仿宋" w:hAnsi="仿宋" w:hint="eastAsia"/>
          <w:color w:val="000000"/>
          <w:sz w:val="28"/>
          <w:szCs w:val="28"/>
        </w:rPr>
        <w:t>ht</w:t>
      </w:r>
      <w:r>
        <w:rPr>
          <w:rFonts w:ascii="仿宋" w:eastAsia="仿宋" w:hAnsi="仿宋"/>
          <w:color w:val="000000"/>
          <w:sz w:val="28"/>
          <w:szCs w:val="28"/>
        </w:rPr>
        <w:t>zg.com</w:t>
      </w:r>
      <w:r>
        <w:rPr>
          <w:rFonts w:ascii="仿宋" w:eastAsia="仿宋" w:hAnsi="仿宋" w:hint="eastAsia"/>
          <w:color w:val="000000"/>
          <w:sz w:val="28"/>
          <w:szCs w:val="28"/>
        </w:rPr>
        <w:t>）和中国证监会基金电子</w:t>
      </w:r>
      <w:r>
        <w:rPr>
          <w:rFonts w:ascii="仿宋" w:eastAsia="仿宋" w:hAnsi="仿宋"/>
          <w:color w:val="000000"/>
          <w:sz w:val="28"/>
          <w:szCs w:val="28"/>
        </w:rPr>
        <w:t>披露网站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7" w:history="1">
        <w:r>
          <w:rPr>
            <w:rFonts w:ascii="仿宋" w:eastAsia="仿宋" w:hAnsi="仿宋" w:hint="eastAsia"/>
            <w:color w:val="000000"/>
            <w:sz w:val="28"/>
            <w:szCs w:val="28"/>
          </w:rPr>
          <w:t>http://eid.csr</w:t>
        </w:r>
        <w:r>
          <w:rPr>
            <w:rFonts w:ascii="仿宋" w:eastAsia="仿宋" w:hAnsi="仿宋" w:hint="eastAsia"/>
            <w:color w:val="000000"/>
            <w:sz w:val="28"/>
            <w:szCs w:val="28"/>
          </w:rPr>
          <w:t>c.gov.cn/fund</w:t>
        </w:r>
      </w:hyperlink>
      <w:r>
        <w:rPr>
          <w:rFonts w:ascii="仿宋" w:eastAsia="仿宋" w:hAnsi="仿宋" w:hint="eastAsia"/>
          <w:color w:val="000000"/>
          <w:sz w:val="28"/>
          <w:szCs w:val="28"/>
        </w:rPr>
        <w:t>）披露</w:t>
      </w:r>
      <w:r>
        <w:rPr>
          <w:rFonts w:ascii="仿宋" w:eastAsia="仿宋" w:hAnsi="仿宋"/>
          <w:color w:val="000000"/>
          <w:sz w:val="28"/>
          <w:szCs w:val="28"/>
        </w:rPr>
        <w:t>，供投资者查阅。</w:t>
      </w:r>
      <w:r>
        <w:rPr>
          <w:rFonts w:ascii="仿宋" w:eastAsia="仿宋" w:hAnsi="仿宋" w:hint="eastAsia"/>
          <w:color w:val="000000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/>
          <w:color w:val="000000"/>
          <w:sz w:val="28"/>
          <w:szCs w:val="28"/>
        </w:rPr>
        <w:t>5521</w:t>
      </w:r>
      <w:r>
        <w:rPr>
          <w:rFonts w:ascii="仿宋" w:eastAsia="仿宋" w:hAnsi="仿宋" w:hint="eastAsia"/>
          <w:color w:val="000000"/>
          <w:sz w:val="28"/>
          <w:szCs w:val="28"/>
        </w:rPr>
        <w:t>）咨询</w:t>
      </w:r>
      <w:r>
        <w:rPr>
          <w:rFonts w:ascii="仿宋" w:eastAsia="仿宋" w:hAnsi="仿宋"/>
          <w:color w:val="000000"/>
          <w:sz w:val="28"/>
          <w:szCs w:val="28"/>
        </w:rPr>
        <w:t>。</w:t>
      </w:r>
      <w:r>
        <w:rPr>
          <w:rFonts w:ascii="仿宋" w:eastAsia="仿宋" w:hAnsi="仿宋" w:hint="eastAsia"/>
          <w:color w:val="000000"/>
          <w:sz w:val="28"/>
          <w:szCs w:val="28"/>
        </w:rPr>
        <w:t>具体基金明细如下：</w:t>
      </w:r>
    </w:p>
    <w:tbl>
      <w:tblPr>
        <w:tblStyle w:val="a9"/>
        <w:tblW w:w="0" w:type="auto"/>
        <w:tblInd w:w="0" w:type="dxa"/>
        <w:tblLook w:val="0000"/>
      </w:tblPr>
      <w:tblGrid>
        <w:gridCol w:w="929"/>
        <w:gridCol w:w="7593"/>
      </w:tblGrid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593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基金名称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中债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1-3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年政策性金融债指数证券投资基金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国泰海通君得明混合型证券投资基金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君得鑫两年持有期混合型证券投资基金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国泰海通君得益三个月持有期混合型基金中基金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FOF)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君得盈债券型证券投资基金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君得盛债券型证券投资基金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现金管家货币市场基金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君得诚混合型证券投资基金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天滚动持有中短债债券型证券投资基金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60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天滚动持有中短债债券型证券投资基金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创新医药混合型发起式证券投资基金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年定期开放债券型发起式证券投资基金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中证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善融稳健一年持有期混合型基金中基金（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国泰海通君得利短债债券型证券投资基金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国泰海通君添利中短债债券型发起式证券投资基金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国泰海通稳健悦享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天持有期债券型发起式证券投资基金</w:t>
            </w:r>
          </w:p>
        </w:tc>
      </w:tr>
      <w:tr w:rsidR="00000000">
        <w:trPr>
          <w:trHeight w:val="90"/>
        </w:trPr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国泰海通品质生活混合型发起式证券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国泰海通上证科创板综合价格指数增强型证券投资基金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国泰海通量化选股混合型发起式证券投资基金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国泰海通善吾养老目标日期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2045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五年持有期混合型发起式基金中基金（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国泰海通善元稳健养老目标一年持有期混合型发起式基金中基金（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天滚动持有中短债债券型发起式证券投资基金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国泰海通安弘六个月定期开放债券型证券投资基金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国泰海通高端装备混合型发起式证券投资基金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远见价值混合型发起式证券投资基金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国泰海通安平一年定期开放债券型发起式证券投资基金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国泰海通沪深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指数增强型发起式证券投资基金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国泰海通领航成长一年持有期混合型发起式证券投资基金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国泰海通周期精选混合型发起式证券投资基金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国泰海通善兴平衡养老目标三年持有期混合型发起式基金中基金（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国泰海通君增利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天滚动持有债券型发起式证券投资基金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国泰海通创新成长混合型发起式证券投资基金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国泰海通东久新经济产业园封闭式基础设施证券投资基金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国泰海通临港创新智造产业园封闭式基础设施证券投资基金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国泰海通中证同业存单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国泰海通新材料混合型发起式证券投资基金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国泰海通消费机遇混合型发起式证券投资基金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国泰海通安裕纯债一年定期开放债券型证券投资基金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国泰海通安睿纯债债券型证券投资基金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国泰海通君享利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天滚动持有债券型发起式证券投资基金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国泰海通善怡稳健六个月持有期债券型发起式基金中基金（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优选股票型发起式证券投资基金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国泰海通城投宽庭保障性租赁住房封闭式基础设施证券投资基金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0-3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年政策性金融债指数证券投资基金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国泰海通稳债增利债券型发起式证券投资基金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国泰海通科创板量化选股股票型发起式证券投资基金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国泰海通安宜纯债债券型证券投资基金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国泰海通中证香港科技指数型发起式证券投资基金（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国泰海通红利量化选股混合型证券投资基金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A500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国泰海通稳健添利债券型证券投资基金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国泰海通中证港股通高股息投资指数型发起式证券投资基金（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国泰海通中证全指指数增强型证券投资基金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8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国泰海通安润</w:t>
              </w:r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90</w:t>
              </w:r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天持有期中短债债券型证券投资基金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9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国泰海通安裕中短债债券型证券投资基金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0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国泰海通鑫逸债券型证券投资基金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1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国泰海通鑫悦债券型证券投资基金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2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国泰海通安泰三个月持有期债券型证券投资基金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3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国泰海通鑫选三个月持有期债券型证券投资基金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4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国泰海通新锐</w:t>
              </w:r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量化选股混合型证券投资基金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5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国泰海通安悦债券型证券投资基金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6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国泰海通海升六个月持有期债券型证券投资基金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hyperlink r:id="rId17" w:history="1">
              <w:r>
                <w:rPr>
                  <w:rFonts w:ascii="仿宋" w:eastAsia="仿宋" w:hAnsi="仿宋" w:hint="eastAsia"/>
                  <w:color w:val="000000"/>
                  <w:sz w:val="28"/>
                  <w:szCs w:val="28"/>
                </w:rPr>
                <w:t>国泰海通鑫诚六个月持有期债券型证券投资基金</w:t>
              </w:r>
            </w:hyperlink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国泰海通稳健泰裕债券型发起式证券投资基金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国泰海通招阳混合型发起式证券投资基金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894E1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593" w:type="dxa"/>
          </w:tcPr>
          <w:p w:rsidR="00000000" w:rsidRDefault="00894E1B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国泰海通创业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板综指增强型证券投资基金</w:t>
            </w:r>
          </w:p>
        </w:tc>
      </w:tr>
    </w:tbl>
    <w:p w:rsidR="00000000" w:rsidRDefault="00894E1B">
      <w:pPr>
        <w:spacing w:line="54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:rsidR="00000000" w:rsidRDefault="00894E1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本基金管理人承诺以诚实信</w:t>
      </w:r>
      <w:r>
        <w:rPr>
          <w:rFonts w:ascii="仿宋" w:eastAsia="仿宋" w:hAnsi="仿宋"/>
          <w:color w:val="000000"/>
          <w:sz w:val="28"/>
          <w:szCs w:val="28"/>
        </w:rPr>
        <w:t>用、勤勉尽责的原则管理和运</w:t>
      </w:r>
      <w:r>
        <w:rPr>
          <w:rFonts w:ascii="仿宋" w:eastAsia="仿宋" w:hAnsi="仿宋" w:hint="eastAsia"/>
          <w:color w:val="000000"/>
          <w:sz w:val="28"/>
          <w:szCs w:val="28"/>
        </w:rPr>
        <w:t>用基金</w:t>
      </w:r>
      <w:r>
        <w:rPr>
          <w:rFonts w:ascii="仿宋" w:eastAsia="仿宋" w:hAnsi="仿宋"/>
          <w:color w:val="000000"/>
          <w:sz w:val="28"/>
          <w:szCs w:val="28"/>
        </w:rPr>
        <w:t>资产，但不保证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一定盈利，也不保证最低收益。</w:t>
      </w:r>
      <w:r>
        <w:rPr>
          <w:rFonts w:ascii="仿宋" w:eastAsia="仿宋" w:hAnsi="仿宋" w:hint="eastAsia"/>
          <w:color w:val="000000"/>
          <w:sz w:val="28"/>
          <w:szCs w:val="28"/>
        </w:rPr>
        <w:t>请充分了解基金的风险收益</w:t>
      </w:r>
      <w:r>
        <w:rPr>
          <w:rFonts w:ascii="仿宋" w:eastAsia="仿宋" w:hAnsi="仿宋"/>
          <w:color w:val="000000"/>
          <w:sz w:val="28"/>
          <w:szCs w:val="28"/>
        </w:rPr>
        <w:t>特征</w:t>
      </w:r>
      <w:r>
        <w:rPr>
          <w:rFonts w:ascii="仿宋" w:eastAsia="仿宋" w:hAnsi="仿宋" w:hint="eastAsia"/>
          <w:color w:val="000000"/>
          <w:sz w:val="28"/>
          <w:szCs w:val="28"/>
        </w:rPr>
        <w:t>，审慎做出投资决定。</w:t>
      </w:r>
    </w:p>
    <w:p w:rsidR="00000000" w:rsidRDefault="00894E1B">
      <w:pPr>
        <w:spacing w:line="540" w:lineRule="exact"/>
        <w:ind w:firstLineChars="250" w:firstLine="70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特此公告。</w:t>
      </w:r>
    </w:p>
    <w:p w:rsidR="00000000" w:rsidRDefault="00894E1B">
      <w:pPr>
        <w:spacing w:line="540" w:lineRule="exact"/>
        <w:rPr>
          <w:rFonts w:ascii="仿宋" w:eastAsia="仿宋" w:hAnsi="仿宋"/>
          <w:color w:val="000000"/>
          <w:sz w:val="28"/>
          <w:szCs w:val="28"/>
        </w:rPr>
      </w:pPr>
    </w:p>
    <w:p w:rsidR="00000000" w:rsidRDefault="00894E1B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上海国泰</w:t>
      </w:r>
      <w:r>
        <w:rPr>
          <w:rFonts w:ascii="仿宋" w:eastAsia="仿宋" w:hAnsi="仿宋" w:hint="eastAsia"/>
          <w:color w:val="000000"/>
          <w:sz w:val="28"/>
          <w:szCs w:val="28"/>
        </w:rPr>
        <w:t>海通</w:t>
      </w:r>
      <w:r>
        <w:rPr>
          <w:rFonts w:ascii="仿宋" w:eastAsia="仿宋" w:hAnsi="仿宋"/>
          <w:color w:val="000000"/>
          <w:sz w:val="28"/>
          <w:szCs w:val="28"/>
        </w:rPr>
        <w:t>证券资产管理有限公司</w:t>
      </w:r>
    </w:p>
    <w:p w:rsidR="00000000" w:rsidRDefault="00894E1B">
      <w:pPr>
        <w:spacing w:line="540" w:lineRule="exact"/>
        <w:ind w:firstLineChars="250" w:firstLine="7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31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94E1B">
      <w:r>
        <w:separator/>
      </w:r>
    </w:p>
  </w:endnote>
  <w:endnote w:type="continuationSeparator" w:id="0">
    <w:p w:rsidR="00000000" w:rsidRDefault="0089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4E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4E1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:rsidR="00000000" w:rsidRDefault="00894E1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4E1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94E1B">
      <w:rPr>
        <w:noProof/>
        <w:lang w:val="zh-CN" w:eastAsia="zh-CN"/>
      </w:rPr>
      <w:t>1</w:t>
    </w:r>
    <w:r>
      <w:fldChar w:fldCharType="end"/>
    </w:r>
  </w:p>
  <w:p w:rsidR="00000000" w:rsidRDefault="00894E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94E1B">
      <w:r>
        <w:separator/>
      </w:r>
    </w:p>
  </w:footnote>
  <w:footnote w:type="continuationSeparator" w:id="0">
    <w:p w:rsidR="00000000" w:rsidRDefault="00894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4E1B">
    <w:pPr>
      <w:pStyle w:val="a6"/>
    </w:pPr>
  </w:p>
  <w:p w:rsidR="00000000" w:rsidRDefault="00894E1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375pt;height:450pt;z-index:25165670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4E1B">
    <w:pPr>
      <w:pStyle w:val="a6"/>
    </w:pPr>
  </w:p>
  <w:p w:rsidR="00000000" w:rsidRDefault="00894E1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375pt;height:450pt;z-index:25165772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4E1B">
    <w:pPr>
      <w:pStyle w:val="a6"/>
    </w:pPr>
  </w:p>
  <w:p w:rsidR="00000000" w:rsidRDefault="00894E1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375pt;height:450pt;z-index:251658752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89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eid.csrc.gov.cn/fund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footer" Target="footer3.xml"/><Relationship Id="rId10" Type="http://schemas.openxmlformats.org/officeDocument/2006/relationships/hyperlink" Target="javascript:void(0);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4</DocSecurity>
  <Lines>19</Lines>
  <Paragraphs>5</Paragraphs>
  <ScaleCrop>false</ScaleCrop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TJA">
    <vt:lpwstr>国泰君安证券股份有限公司*国泰海通证券资产管理公司：上海国泰海通证券资产管理有限公司旗下基金年度报告提示性公告，烦请于明日2026年3月31日发布，谢谢*zhanghaowen@gtht.com*lkl@ssnews.com.cn,zqrb9@zqrb.sina.net * *chengang5@gtht.com,yujia2@gtht.com *2026-03-30 17:14:39;</vt:lpwstr>
  </property>
  <property fmtid="{D5CDD505-2E9C-101B-9397-08002B2CF9AE}" pid="3" name="ICV">
    <vt:lpwstr>A615532A9285405287FBAFAF5E19EF25</vt:lpwstr>
  </property>
  <property fmtid="{D5CDD505-2E9C-101B-9397-08002B2CF9AE}" pid="4" name="KSOProductBuildVer">
    <vt:lpwstr>2052-11.8.2.12085</vt:lpwstr>
  </property>
</Properties>
</file>