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C87" w:rsidRDefault="00CD5B70">
      <w:pPr>
        <w:overflowPunct w:val="0"/>
        <w:autoSpaceDE w:val="0"/>
        <w:autoSpaceDN w:val="0"/>
        <w:adjustRightInd w:val="0"/>
        <w:snapToGrid w:val="0"/>
        <w:spacing w:line="530" w:lineRule="exact"/>
        <w:jc w:val="center"/>
        <w:rPr>
          <w:rFonts w:ascii="Times New Roman" w:eastAsia="黑体" w:hAnsi="Times New Roman"/>
          <w:bCs/>
          <w:sz w:val="44"/>
          <w:szCs w:val="44"/>
        </w:rPr>
      </w:pPr>
      <w:bookmarkStart w:id="0" w:name="OLE_LINK14"/>
      <w:bookmarkStart w:id="1" w:name="OLE_LINK13"/>
      <w:r>
        <w:rPr>
          <w:rFonts w:ascii="Times New Roman" w:eastAsia="黑体" w:hAnsi="Times New Roman"/>
          <w:bCs/>
          <w:sz w:val="44"/>
          <w:szCs w:val="44"/>
        </w:rPr>
        <w:t>先锋基金管理有限公司关于旗下部分基金</w:t>
      </w:r>
    </w:p>
    <w:p w:rsidR="004D7C87" w:rsidRDefault="00CD5B70">
      <w:pPr>
        <w:overflowPunct w:val="0"/>
        <w:autoSpaceDE w:val="0"/>
        <w:autoSpaceDN w:val="0"/>
        <w:adjustRightInd w:val="0"/>
        <w:snapToGrid w:val="0"/>
        <w:spacing w:line="530" w:lineRule="exact"/>
        <w:jc w:val="center"/>
        <w:rPr>
          <w:rFonts w:ascii="Times New Roman" w:eastAsia="黑体" w:hAnsi="Times New Roman"/>
          <w:bCs/>
          <w:sz w:val="44"/>
          <w:szCs w:val="44"/>
        </w:rPr>
      </w:pPr>
      <w:r>
        <w:rPr>
          <w:rFonts w:ascii="Times New Roman" w:eastAsia="黑体" w:hAnsi="Times New Roman"/>
          <w:bCs/>
          <w:sz w:val="44"/>
          <w:szCs w:val="44"/>
        </w:rPr>
        <w:t>增加易方达财富管理基金销售（广州）</w:t>
      </w:r>
    </w:p>
    <w:p w:rsidR="004D7C87" w:rsidRDefault="00CD5B70">
      <w:pPr>
        <w:overflowPunct w:val="0"/>
        <w:autoSpaceDE w:val="0"/>
        <w:autoSpaceDN w:val="0"/>
        <w:adjustRightInd w:val="0"/>
        <w:snapToGrid w:val="0"/>
        <w:spacing w:line="530" w:lineRule="exact"/>
        <w:jc w:val="center"/>
        <w:rPr>
          <w:rFonts w:ascii="Times New Roman" w:eastAsia="黑体" w:hAnsi="Times New Roman"/>
          <w:bCs/>
          <w:sz w:val="44"/>
          <w:szCs w:val="44"/>
        </w:rPr>
      </w:pPr>
      <w:r>
        <w:rPr>
          <w:rFonts w:ascii="Times New Roman" w:eastAsia="黑体" w:hAnsi="Times New Roman"/>
          <w:bCs/>
          <w:sz w:val="44"/>
          <w:szCs w:val="44"/>
        </w:rPr>
        <w:t>有限公司为销售机构的公告</w:t>
      </w:r>
    </w:p>
    <w:bookmarkEnd w:id="0"/>
    <w:bookmarkEnd w:id="1"/>
    <w:p w:rsidR="004D7C87" w:rsidRDefault="004D7C87">
      <w:pPr>
        <w:overflowPunct w:val="0"/>
        <w:autoSpaceDE w:val="0"/>
        <w:autoSpaceDN w:val="0"/>
        <w:adjustRightInd w:val="0"/>
        <w:snapToGrid w:val="0"/>
        <w:spacing w:line="530" w:lineRule="exact"/>
        <w:jc w:val="center"/>
        <w:rPr>
          <w:rFonts w:ascii="Times New Roman" w:hAnsi="Times New Roman"/>
          <w:color w:val="000000"/>
          <w:sz w:val="24"/>
          <w:shd w:val="clear" w:color="auto" w:fill="FFFFFF"/>
        </w:rPr>
      </w:pPr>
    </w:p>
    <w:p w:rsidR="004D7C87" w:rsidRDefault="00CD5B70">
      <w:pPr>
        <w:overflowPunct w:val="0"/>
        <w:autoSpaceDE w:val="0"/>
        <w:autoSpaceDN w:val="0"/>
        <w:adjustRightInd w:val="0"/>
        <w:snapToGrid w:val="0"/>
        <w:spacing w:line="530" w:lineRule="exact"/>
        <w:ind w:firstLineChars="200" w:firstLine="640"/>
        <w:rPr>
          <w:rFonts w:ascii="Times New Roman" w:eastAsia="仿宋" w:hAnsi="Times New Roman"/>
          <w:snapToGrid w:val="0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根据先锋基金管理有限公司（以下简称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“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本公司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”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）与易方达财富管理基金销售（广州）有限公司（以下简称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“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易方达财富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”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）签署的基金销售服务协议，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易方达财富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自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202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6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年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3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月</w:t>
      </w:r>
      <w:r>
        <w:rPr>
          <w:rFonts w:ascii="Times New Roman" w:eastAsia="仿宋" w:hAnsi="Times New Roman" w:hint="eastAsia"/>
          <w:color w:val="000000"/>
          <w:sz w:val="32"/>
          <w:szCs w:val="32"/>
          <w:shd w:val="clear" w:color="auto" w:fill="FFFFFF"/>
        </w:rPr>
        <w:t>31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日起销售本公司旗下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部分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基金。现将有关事项公告如下：</w:t>
      </w:r>
    </w:p>
    <w:p w:rsidR="004D7C87" w:rsidRDefault="00CD5B70">
      <w:pPr>
        <w:overflowPunct w:val="0"/>
        <w:autoSpaceDE w:val="0"/>
        <w:autoSpaceDN w:val="0"/>
        <w:adjustRightInd w:val="0"/>
        <w:snapToGrid w:val="0"/>
        <w:spacing w:line="530" w:lineRule="exact"/>
        <w:ind w:firstLineChars="200" w:firstLine="640"/>
        <w:rPr>
          <w:rFonts w:ascii="Times New Roman" w:eastAsia="黑体" w:hAnsi="Times New Roman"/>
          <w:bCs/>
          <w:snapToGrid w:val="0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黑体" w:hAnsi="Times New Roman"/>
          <w:bCs/>
          <w:snapToGrid w:val="0"/>
          <w:color w:val="000000"/>
          <w:sz w:val="32"/>
          <w:szCs w:val="32"/>
          <w:shd w:val="clear" w:color="auto" w:fill="FFFFFF"/>
        </w:rPr>
        <w:t>一、适用基金及业务范围</w:t>
      </w:r>
    </w:p>
    <w:tbl>
      <w:tblPr>
        <w:tblW w:w="9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80"/>
        <w:gridCol w:w="2079"/>
      </w:tblGrid>
      <w:tr w:rsidR="004D7C87">
        <w:trPr>
          <w:trHeight w:hRule="exact" w:val="482"/>
          <w:jc w:val="center"/>
        </w:trPr>
        <w:tc>
          <w:tcPr>
            <w:tcW w:w="6980" w:type="dxa"/>
            <w:shd w:val="clear" w:color="auto" w:fill="auto"/>
            <w:vAlign w:val="center"/>
          </w:tcPr>
          <w:p w:rsidR="004D7C87" w:rsidRDefault="00CD5B7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楷体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楷体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  <w:t>基金名称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4D7C87" w:rsidRDefault="00CD5B7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楷体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楷体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  <w:t>基金代码</w:t>
            </w:r>
          </w:p>
        </w:tc>
      </w:tr>
      <w:tr w:rsidR="004D7C87">
        <w:trPr>
          <w:trHeight w:hRule="exact" w:val="482"/>
          <w:jc w:val="center"/>
        </w:trPr>
        <w:tc>
          <w:tcPr>
            <w:tcW w:w="6980" w:type="dxa"/>
            <w:shd w:val="clear" w:color="auto" w:fill="auto"/>
            <w:vAlign w:val="center"/>
          </w:tcPr>
          <w:p w:rsidR="004D7C87" w:rsidRDefault="00CD5B7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sz w:val="32"/>
                <w:szCs w:val="32"/>
                <w:shd w:val="clear" w:color="auto" w:fill="FFFFFF"/>
              </w:rPr>
              <w:t>先锋精一灵活配置混合型发起式证券投资基金</w:t>
            </w: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  <w:lang/>
              </w:rPr>
              <w:t>A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4D7C87" w:rsidRDefault="00CD5B7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  <w:lang/>
              </w:rPr>
              <w:t>003586</w:t>
            </w:r>
          </w:p>
        </w:tc>
      </w:tr>
      <w:tr w:rsidR="004D7C87">
        <w:trPr>
          <w:trHeight w:hRule="exact" w:val="482"/>
          <w:jc w:val="center"/>
        </w:trPr>
        <w:tc>
          <w:tcPr>
            <w:tcW w:w="6980" w:type="dxa"/>
            <w:shd w:val="clear" w:color="auto" w:fill="auto"/>
            <w:vAlign w:val="center"/>
          </w:tcPr>
          <w:p w:rsidR="004D7C87" w:rsidRDefault="00CD5B7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sz w:val="32"/>
                <w:szCs w:val="32"/>
                <w:shd w:val="clear" w:color="auto" w:fill="FFFFFF"/>
              </w:rPr>
              <w:t>先锋精一灵活配置混合型发起式证券投资基金</w:t>
            </w: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  <w:lang/>
              </w:rPr>
              <w:t>C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4D7C87" w:rsidRDefault="00CD5B7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  <w:lang/>
              </w:rPr>
              <w:t>003587</w:t>
            </w:r>
          </w:p>
        </w:tc>
      </w:tr>
      <w:tr w:rsidR="004D7C87">
        <w:trPr>
          <w:trHeight w:hRule="exact" w:val="482"/>
          <w:jc w:val="center"/>
        </w:trPr>
        <w:tc>
          <w:tcPr>
            <w:tcW w:w="6980" w:type="dxa"/>
            <w:shd w:val="clear" w:color="auto" w:fill="auto"/>
            <w:vAlign w:val="center"/>
          </w:tcPr>
          <w:p w:rsidR="004D7C87" w:rsidRDefault="00CD5B7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sz w:val="32"/>
                <w:szCs w:val="32"/>
                <w:shd w:val="clear" w:color="auto" w:fill="FFFFFF"/>
              </w:rPr>
              <w:t>先锋聚利灵活配置混合型证券投资基金</w:t>
            </w: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  <w:lang/>
              </w:rPr>
              <w:t>A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4D7C87" w:rsidRDefault="00CD5B7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  <w:lang/>
              </w:rPr>
              <w:t>004833</w:t>
            </w:r>
          </w:p>
        </w:tc>
      </w:tr>
      <w:tr w:rsidR="004D7C87">
        <w:trPr>
          <w:trHeight w:hRule="exact" w:val="482"/>
          <w:jc w:val="center"/>
        </w:trPr>
        <w:tc>
          <w:tcPr>
            <w:tcW w:w="6980" w:type="dxa"/>
            <w:shd w:val="clear" w:color="auto" w:fill="auto"/>
            <w:vAlign w:val="center"/>
          </w:tcPr>
          <w:p w:rsidR="004D7C87" w:rsidRDefault="00CD5B7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sz w:val="32"/>
                <w:szCs w:val="32"/>
                <w:shd w:val="clear" w:color="auto" w:fill="FFFFFF"/>
              </w:rPr>
              <w:t>先锋聚利灵活配置混合型证券投资基金</w:t>
            </w: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  <w:lang/>
              </w:rPr>
              <w:t>C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4D7C87" w:rsidRDefault="00CD5B7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  <w:lang/>
              </w:rPr>
              <w:t>004834</w:t>
            </w:r>
          </w:p>
        </w:tc>
      </w:tr>
      <w:tr w:rsidR="004D7C87">
        <w:trPr>
          <w:trHeight w:hRule="exact" w:val="482"/>
          <w:jc w:val="center"/>
        </w:trPr>
        <w:tc>
          <w:tcPr>
            <w:tcW w:w="6980" w:type="dxa"/>
            <w:shd w:val="clear" w:color="auto" w:fill="auto"/>
            <w:vAlign w:val="center"/>
          </w:tcPr>
          <w:p w:rsidR="004D7C87" w:rsidRDefault="00CD5B7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sz w:val="32"/>
                <w:szCs w:val="32"/>
                <w:shd w:val="clear" w:color="auto" w:fill="FFFFFF"/>
              </w:rPr>
              <w:t>先锋聚优灵活配置混合型证券投资基金</w:t>
            </w: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  <w:lang/>
              </w:rPr>
              <w:t>A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4D7C87" w:rsidRDefault="00CD5B7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  <w:lang/>
              </w:rPr>
              <w:t>004726</w:t>
            </w:r>
          </w:p>
        </w:tc>
      </w:tr>
      <w:tr w:rsidR="004D7C87">
        <w:trPr>
          <w:trHeight w:hRule="exact" w:val="482"/>
          <w:jc w:val="center"/>
        </w:trPr>
        <w:tc>
          <w:tcPr>
            <w:tcW w:w="6980" w:type="dxa"/>
            <w:shd w:val="clear" w:color="auto" w:fill="auto"/>
            <w:vAlign w:val="center"/>
          </w:tcPr>
          <w:p w:rsidR="004D7C87" w:rsidRDefault="00CD5B7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sz w:val="32"/>
                <w:szCs w:val="32"/>
                <w:shd w:val="clear" w:color="auto" w:fill="FFFFFF"/>
              </w:rPr>
              <w:t>先锋聚优灵活配置混合型证券投资基金</w:t>
            </w: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  <w:lang/>
              </w:rPr>
              <w:t>C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4D7C87" w:rsidRDefault="00CD5B7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  <w:lang/>
              </w:rPr>
              <w:t>004727</w:t>
            </w:r>
          </w:p>
        </w:tc>
      </w:tr>
      <w:tr w:rsidR="004D7C87">
        <w:trPr>
          <w:trHeight w:hRule="exact" w:val="482"/>
          <w:jc w:val="center"/>
        </w:trPr>
        <w:tc>
          <w:tcPr>
            <w:tcW w:w="6980" w:type="dxa"/>
            <w:shd w:val="clear" w:color="auto" w:fill="auto"/>
            <w:vAlign w:val="center"/>
          </w:tcPr>
          <w:p w:rsidR="004D7C87" w:rsidRDefault="00CD5B7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sz w:val="32"/>
                <w:szCs w:val="32"/>
                <w:shd w:val="clear" w:color="auto" w:fill="FFFFFF"/>
              </w:rPr>
              <w:t>先锋聚元灵活配置混合型证券投资基金</w:t>
            </w: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  <w:lang/>
              </w:rPr>
              <w:t>A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4D7C87" w:rsidRDefault="00CD5B7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  <w:lang/>
              </w:rPr>
              <w:t>004724</w:t>
            </w:r>
          </w:p>
        </w:tc>
      </w:tr>
      <w:tr w:rsidR="004D7C87">
        <w:trPr>
          <w:trHeight w:hRule="exact" w:val="482"/>
          <w:jc w:val="center"/>
        </w:trPr>
        <w:tc>
          <w:tcPr>
            <w:tcW w:w="6980" w:type="dxa"/>
            <w:shd w:val="clear" w:color="auto" w:fill="auto"/>
            <w:vAlign w:val="center"/>
          </w:tcPr>
          <w:p w:rsidR="004D7C87" w:rsidRDefault="00CD5B7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sz w:val="32"/>
                <w:szCs w:val="32"/>
                <w:shd w:val="clear" w:color="auto" w:fill="FFFFFF"/>
              </w:rPr>
              <w:t>先锋聚元灵活配置混合型证券投资基金</w:t>
            </w: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  <w:lang/>
              </w:rPr>
              <w:t>C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4D7C87" w:rsidRDefault="00CD5B7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  <w:lang/>
              </w:rPr>
              <w:t>004725</w:t>
            </w:r>
          </w:p>
        </w:tc>
      </w:tr>
      <w:tr w:rsidR="004D7C87">
        <w:trPr>
          <w:trHeight w:hRule="exact" w:val="482"/>
          <w:jc w:val="center"/>
        </w:trPr>
        <w:tc>
          <w:tcPr>
            <w:tcW w:w="6980" w:type="dxa"/>
            <w:shd w:val="clear" w:color="auto" w:fill="auto"/>
            <w:vAlign w:val="center"/>
          </w:tcPr>
          <w:p w:rsidR="004D7C87" w:rsidRDefault="00CD5B7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sz w:val="32"/>
                <w:szCs w:val="32"/>
                <w:shd w:val="clear" w:color="auto" w:fill="FFFFFF"/>
              </w:rPr>
              <w:t>先锋量化优选灵活配置混合型证券投资基金</w:t>
            </w: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  <w:lang/>
              </w:rPr>
              <w:t>A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4D7C87" w:rsidRDefault="00CD5B7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  <w:lang/>
              </w:rPr>
              <w:t>006401</w:t>
            </w:r>
          </w:p>
        </w:tc>
      </w:tr>
      <w:tr w:rsidR="004D7C87">
        <w:trPr>
          <w:trHeight w:hRule="exact" w:val="482"/>
          <w:jc w:val="center"/>
        </w:trPr>
        <w:tc>
          <w:tcPr>
            <w:tcW w:w="6980" w:type="dxa"/>
            <w:shd w:val="clear" w:color="auto" w:fill="auto"/>
            <w:vAlign w:val="center"/>
          </w:tcPr>
          <w:p w:rsidR="004D7C87" w:rsidRDefault="00CD5B7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sz w:val="32"/>
                <w:szCs w:val="32"/>
                <w:shd w:val="clear" w:color="auto" w:fill="FFFFFF"/>
              </w:rPr>
              <w:t>先锋量化优选灵活配置混合型证券投资基金</w:t>
            </w: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  <w:lang/>
              </w:rPr>
              <w:t>C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4D7C87" w:rsidRDefault="00CD5B7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  <w:lang/>
              </w:rPr>
              <w:t>006402</w:t>
            </w:r>
          </w:p>
        </w:tc>
      </w:tr>
      <w:tr w:rsidR="004D7C87">
        <w:trPr>
          <w:trHeight w:hRule="exact" w:val="482"/>
          <w:jc w:val="center"/>
        </w:trPr>
        <w:tc>
          <w:tcPr>
            <w:tcW w:w="6980" w:type="dxa"/>
            <w:shd w:val="clear" w:color="auto" w:fill="auto"/>
            <w:vAlign w:val="center"/>
          </w:tcPr>
          <w:p w:rsidR="004D7C87" w:rsidRDefault="00CD5B7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sz w:val="32"/>
                <w:szCs w:val="32"/>
                <w:shd w:val="clear" w:color="auto" w:fill="FFFFFF"/>
              </w:rPr>
              <w:t>先锋日添利货币市场基金</w:t>
            </w: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  <w:lang/>
              </w:rPr>
              <w:t>A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4D7C87" w:rsidRDefault="00CD5B7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  <w:lang/>
              </w:rPr>
              <w:t>004151</w:t>
            </w:r>
          </w:p>
        </w:tc>
      </w:tr>
      <w:tr w:rsidR="004D7C87">
        <w:trPr>
          <w:trHeight w:hRule="exact" w:val="482"/>
          <w:jc w:val="center"/>
        </w:trPr>
        <w:tc>
          <w:tcPr>
            <w:tcW w:w="6980" w:type="dxa"/>
            <w:shd w:val="clear" w:color="auto" w:fill="auto"/>
            <w:vAlign w:val="center"/>
          </w:tcPr>
          <w:p w:rsidR="004D7C87" w:rsidRDefault="00CD5B7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sz w:val="32"/>
                <w:szCs w:val="32"/>
                <w:shd w:val="clear" w:color="auto" w:fill="FFFFFF"/>
              </w:rPr>
              <w:t>先锋日添利货币市场基金</w:t>
            </w: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  <w:lang/>
              </w:rPr>
              <w:t>B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4D7C87" w:rsidRDefault="00CD5B7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  <w:lang/>
              </w:rPr>
              <w:t>004152</w:t>
            </w:r>
          </w:p>
        </w:tc>
      </w:tr>
      <w:tr w:rsidR="004D7C87">
        <w:trPr>
          <w:trHeight w:hRule="exact" w:val="482"/>
          <w:jc w:val="center"/>
        </w:trPr>
        <w:tc>
          <w:tcPr>
            <w:tcW w:w="6980" w:type="dxa"/>
            <w:shd w:val="clear" w:color="auto" w:fill="auto"/>
            <w:vAlign w:val="center"/>
          </w:tcPr>
          <w:p w:rsidR="004D7C87" w:rsidRDefault="00CD5B7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sz w:val="32"/>
                <w:szCs w:val="32"/>
                <w:shd w:val="clear" w:color="auto" w:fill="FFFFFF"/>
              </w:rPr>
              <w:t>先锋现金宝货币市场基金</w:t>
            </w:r>
            <w:r>
              <w:rPr>
                <w:rFonts w:ascii="Times New Roman" w:eastAsia="仿宋" w:hAnsi="Times New Roman"/>
                <w:color w:val="000000"/>
                <w:sz w:val="32"/>
                <w:szCs w:val="32"/>
                <w:shd w:val="clear" w:color="auto" w:fill="FFFFFF"/>
              </w:rPr>
              <w:t>A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4D7C87" w:rsidRDefault="00CD5B7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  <w:lang/>
              </w:rPr>
              <w:t>003585</w:t>
            </w:r>
          </w:p>
        </w:tc>
      </w:tr>
      <w:tr w:rsidR="004D7C87">
        <w:trPr>
          <w:trHeight w:hRule="exact" w:val="482"/>
          <w:jc w:val="center"/>
        </w:trPr>
        <w:tc>
          <w:tcPr>
            <w:tcW w:w="6980" w:type="dxa"/>
            <w:shd w:val="clear" w:color="auto" w:fill="auto"/>
            <w:vAlign w:val="center"/>
          </w:tcPr>
          <w:p w:rsidR="004D7C87" w:rsidRDefault="00CD5B7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" w:hAnsi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sz w:val="32"/>
                <w:szCs w:val="32"/>
                <w:shd w:val="clear" w:color="auto" w:fill="FFFFFF"/>
              </w:rPr>
              <w:t>先锋现金宝货币市场基金</w:t>
            </w:r>
            <w:r>
              <w:rPr>
                <w:rFonts w:ascii="Times New Roman" w:eastAsia="仿宋" w:hAnsi="Times New Roman"/>
                <w:color w:val="000000"/>
                <w:sz w:val="32"/>
                <w:szCs w:val="32"/>
                <w:shd w:val="clear" w:color="auto" w:fill="FFFFFF"/>
              </w:rPr>
              <w:t>B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4D7C87" w:rsidRDefault="00CD5B7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  <w:lang/>
              </w:rPr>
              <w:t>025885</w:t>
            </w:r>
          </w:p>
        </w:tc>
      </w:tr>
    </w:tbl>
    <w:p w:rsidR="004D7C87" w:rsidRDefault="00CD5B70">
      <w:pPr>
        <w:overflowPunct w:val="0"/>
        <w:autoSpaceDE w:val="0"/>
        <w:autoSpaceDN w:val="0"/>
        <w:adjustRightInd w:val="0"/>
        <w:snapToGrid w:val="0"/>
        <w:spacing w:line="530" w:lineRule="exact"/>
        <w:ind w:firstLineChars="200" w:firstLine="640"/>
        <w:rPr>
          <w:rFonts w:ascii="Times New Roman" w:eastAsia="仿宋" w:hAnsi="Times New Roman"/>
          <w:snapToGrid w:val="0"/>
          <w:sz w:val="32"/>
          <w:szCs w:val="32"/>
        </w:rPr>
      </w:pPr>
      <w:r>
        <w:rPr>
          <w:rFonts w:ascii="Times New Roman" w:eastAsia="仿宋" w:hAnsi="Times New Roman"/>
          <w:snapToGrid w:val="0"/>
          <w:color w:val="000000"/>
          <w:sz w:val="32"/>
          <w:szCs w:val="32"/>
          <w:shd w:val="clear" w:color="auto" w:fill="FFFFFF"/>
        </w:rPr>
        <w:t>自</w:t>
      </w:r>
      <w:r>
        <w:rPr>
          <w:rFonts w:ascii="Times New Roman" w:eastAsia="仿宋" w:hAnsi="Times New Roman"/>
          <w:snapToGrid w:val="0"/>
          <w:color w:val="000000"/>
          <w:sz w:val="32"/>
          <w:szCs w:val="32"/>
          <w:shd w:val="clear" w:color="auto" w:fill="FFFFFF"/>
        </w:rPr>
        <w:t>202</w:t>
      </w:r>
      <w:r>
        <w:rPr>
          <w:rFonts w:ascii="Times New Roman" w:eastAsia="仿宋" w:hAnsi="Times New Roman"/>
          <w:snapToGrid w:val="0"/>
          <w:color w:val="000000"/>
          <w:sz w:val="32"/>
          <w:szCs w:val="32"/>
          <w:shd w:val="clear" w:color="auto" w:fill="FFFFFF"/>
        </w:rPr>
        <w:t>6</w:t>
      </w:r>
      <w:r>
        <w:rPr>
          <w:rFonts w:ascii="Times New Roman" w:eastAsia="仿宋" w:hAnsi="Times New Roman"/>
          <w:snapToGrid w:val="0"/>
          <w:color w:val="000000"/>
          <w:sz w:val="32"/>
          <w:szCs w:val="32"/>
          <w:shd w:val="clear" w:color="auto" w:fill="FFFFFF"/>
        </w:rPr>
        <w:t>年</w:t>
      </w:r>
      <w:r>
        <w:rPr>
          <w:rFonts w:ascii="Times New Roman" w:eastAsia="仿宋" w:hAnsi="Times New Roman"/>
          <w:snapToGrid w:val="0"/>
          <w:color w:val="000000"/>
          <w:sz w:val="32"/>
          <w:szCs w:val="32"/>
          <w:shd w:val="clear" w:color="auto" w:fill="FFFFFF"/>
        </w:rPr>
        <w:t>3</w:t>
      </w:r>
      <w:r>
        <w:rPr>
          <w:rFonts w:ascii="Times New Roman" w:eastAsia="仿宋" w:hAnsi="Times New Roman"/>
          <w:snapToGrid w:val="0"/>
          <w:color w:val="000000"/>
          <w:sz w:val="32"/>
          <w:szCs w:val="32"/>
          <w:shd w:val="clear" w:color="auto" w:fill="FFFFFF"/>
        </w:rPr>
        <w:t>月</w:t>
      </w:r>
      <w:r>
        <w:rPr>
          <w:rFonts w:ascii="Times New Roman" w:eastAsia="仿宋" w:hAnsi="Times New Roman" w:hint="eastAsia"/>
          <w:snapToGrid w:val="0"/>
          <w:color w:val="000000"/>
          <w:sz w:val="32"/>
          <w:szCs w:val="32"/>
          <w:shd w:val="clear" w:color="auto" w:fill="FFFFFF"/>
        </w:rPr>
        <w:t>31</w:t>
      </w:r>
      <w:r>
        <w:rPr>
          <w:rFonts w:ascii="Times New Roman" w:eastAsia="仿宋" w:hAnsi="Times New Roman"/>
          <w:snapToGrid w:val="0"/>
          <w:color w:val="000000"/>
          <w:sz w:val="32"/>
          <w:szCs w:val="32"/>
          <w:shd w:val="clear" w:color="auto" w:fill="FFFFFF"/>
        </w:rPr>
        <w:t>日起，投资者可通过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易方达财富</w:t>
      </w:r>
      <w:r>
        <w:rPr>
          <w:rFonts w:ascii="Times New Roman" w:eastAsia="仿宋" w:hAnsi="Times New Roman"/>
          <w:snapToGrid w:val="0"/>
          <w:color w:val="000000"/>
          <w:sz w:val="32"/>
          <w:szCs w:val="32"/>
          <w:shd w:val="clear" w:color="auto" w:fill="FFFFFF"/>
        </w:rPr>
        <w:t>办理上述列表中对应基金的开户、申购、赎回、定投及转换等业务。</w:t>
      </w:r>
      <w:hyperlink r:id="rId4" w:tgtFrame="_blank" w:history="1"/>
    </w:p>
    <w:p w:rsidR="004D7C87" w:rsidRDefault="00CD5B70">
      <w:pPr>
        <w:overflowPunct w:val="0"/>
        <w:autoSpaceDE w:val="0"/>
        <w:autoSpaceDN w:val="0"/>
        <w:adjustRightInd w:val="0"/>
        <w:snapToGrid w:val="0"/>
        <w:spacing w:line="530" w:lineRule="exact"/>
        <w:ind w:firstLineChars="200" w:firstLine="640"/>
        <w:rPr>
          <w:rFonts w:ascii="Times New Roman" w:eastAsia="黑体" w:hAnsi="Times New Roman"/>
          <w:bCs/>
          <w:snapToGrid w:val="0"/>
          <w:sz w:val="32"/>
          <w:szCs w:val="32"/>
        </w:rPr>
      </w:pPr>
      <w:r>
        <w:rPr>
          <w:rFonts w:ascii="Times New Roman" w:eastAsia="黑体" w:hAnsi="Times New Roman"/>
          <w:bCs/>
          <w:snapToGrid w:val="0"/>
          <w:sz w:val="32"/>
          <w:szCs w:val="32"/>
        </w:rPr>
        <w:lastRenderedPageBreak/>
        <w:t>二、重要提示</w:t>
      </w:r>
    </w:p>
    <w:p w:rsidR="004D7C87" w:rsidRDefault="00CD5B70">
      <w:pPr>
        <w:overflowPunct w:val="0"/>
        <w:autoSpaceDE w:val="0"/>
        <w:autoSpaceDN w:val="0"/>
        <w:adjustRightInd w:val="0"/>
        <w:snapToGrid w:val="0"/>
        <w:spacing w:line="530" w:lineRule="exact"/>
        <w:ind w:firstLineChars="200" w:firstLine="640"/>
        <w:rPr>
          <w:rFonts w:ascii="Times New Roman" w:eastAsia="仿宋" w:hAnsi="Times New Roman"/>
          <w:snapToGrid w:val="0"/>
          <w:sz w:val="32"/>
          <w:szCs w:val="32"/>
        </w:rPr>
      </w:pPr>
      <w:r>
        <w:rPr>
          <w:rFonts w:ascii="Times New Roman" w:eastAsia="仿宋" w:hAnsi="Times New Roman"/>
          <w:snapToGrid w:val="0"/>
          <w:sz w:val="32"/>
          <w:szCs w:val="32"/>
        </w:rPr>
        <w:t>上述业务仅适用于处于正常申购赎回期的基金。基金封闭期等特殊期间的有关规定详见对应基金的《基金合同》《招募说明书》《基金产品资料概要》等法律文件，以及本公司发布的最新业务公告。</w:t>
      </w:r>
    </w:p>
    <w:p w:rsidR="004D7C87" w:rsidRDefault="00CD5B70">
      <w:pPr>
        <w:overflowPunct w:val="0"/>
        <w:autoSpaceDE w:val="0"/>
        <w:autoSpaceDN w:val="0"/>
        <w:adjustRightInd w:val="0"/>
        <w:snapToGrid w:val="0"/>
        <w:spacing w:line="530" w:lineRule="exact"/>
        <w:ind w:firstLineChars="200" w:firstLine="640"/>
        <w:rPr>
          <w:rFonts w:ascii="Times New Roman" w:eastAsia="仿宋" w:hAnsi="Times New Roman"/>
          <w:b/>
          <w:snapToGrid w:val="0"/>
          <w:sz w:val="32"/>
          <w:szCs w:val="32"/>
        </w:rPr>
      </w:pPr>
      <w:r>
        <w:rPr>
          <w:rFonts w:ascii="Times New Roman" w:eastAsia="黑体" w:hAnsi="Times New Roman"/>
          <w:bCs/>
          <w:snapToGrid w:val="0"/>
          <w:sz w:val="32"/>
          <w:szCs w:val="32"/>
        </w:rPr>
        <w:t>三、投资者可通过以下途径了解或咨询相关情况</w:t>
      </w:r>
    </w:p>
    <w:p w:rsidR="004D7C87" w:rsidRDefault="00CD5B70">
      <w:pPr>
        <w:overflowPunct w:val="0"/>
        <w:autoSpaceDE w:val="0"/>
        <w:autoSpaceDN w:val="0"/>
        <w:adjustRightInd w:val="0"/>
        <w:snapToGrid w:val="0"/>
        <w:spacing w:line="530" w:lineRule="exact"/>
        <w:ind w:firstLineChars="200" w:firstLine="640"/>
        <w:rPr>
          <w:rFonts w:ascii="Times New Roman" w:eastAsia="仿宋" w:hAnsi="Times New Roman"/>
          <w:snapToGrid w:val="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易方达财富</w:t>
      </w:r>
      <w:r>
        <w:rPr>
          <w:rFonts w:ascii="Times New Roman" w:eastAsia="仿宋" w:hAnsi="Times New Roman"/>
          <w:snapToGrid w:val="0"/>
          <w:sz w:val="32"/>
          <w:szCs w:val="32"/>
        </w:rPr>
        <w:t>客服电话：</w:t>
      </w:r>
      <w:r>
        <w:rPr>
          <w:rFonts w:ascii="Times New Roman" w:eastAsia="仿宋" w:hAnsi="Times New Roman"/>
          <w:snapToGrid w:val="0"/>
          <w:sz w:val="32"/>
          <w:szCs w:val="32"/>
        </w:rPr>
        <w:t>400-160-8888</w:t>
      </w:r>
    </w:p>
    <w:p w:rsidR="004D7C87" w:rsidRDefault="00CD5B70">
      <w:pPr>
        <w:overflowPunct w:val="0"/>
        <w:autoSpaceDE w:val="0"/>
        <w:autoSpaceDN w:val="0"/>
        <w:adjustRightInd w:val="0"/>
        <w:snapToGrid w:val="0"/>
        <w:spacing w:line="530" w:lineRule="exact"/>
        <w:ind w:firstLineChars="200" w:firstLine="640"/>
        <w:rPr>
          <w:rFonts w:ascii="Times New Roman" w:eastAsia="仿宋" w:hAnsi="Times New Roman"/>
          <w:snapToGrid w:val="0"/>
          <w:sz w:val="32"/>
          <w:szCs w:val="32"/>
        </w:rPr>
      </w:pPr>
      <w:r>
        <w:rPr>
          <w:rFonts w:ascii="Times New Roman" w:eastAsia="仿宋" w:hAnsi="Times New Roman"/>
          <w:snapToGrid w:val="0"/>
          <w:sz w:val="32"/>
          <w:szCs w:val="32"/>
        </w:rPr>
        <w:t>易方达财富</w:t>
      </w:r>
      <w:r>
        <w:rPr>
          <w:rFonts w:ascii="Times New Roman" w:eastAsia="仿宋" w:hAnsi="Times New Roman"/>
          <w:snapToGrid w:val="0"/>
          <w:sz w:val="32"/>
          <w:szCs w:val="32"/>
        </w:rPr>
        <w:t>网址</w:t>
      </w:r>
      <w:r>
        <w:rPr>
          <w:rFonts w:ascii="Times New Roman" w:eastAsia="仿宋" w:hAnsi="Times New Roman"/>
          <w:snapToGrid w:val="0"/>
          <w:sz w:val="32"/>
          <w:szCs w:val="32"/>
        </w:rPr>
        <w:t>：</w:t>
      </w:r>
      <w:r>
        <w:rPr>
          <w:rFonts w:ascii="Times New Roman" w:eastAsia="仿宋" w:hAnsi="Times New Roman"/>
          <w:snapToGrid w:val="0"/>
          <w:sz w:val="32"/>
          <w:szCs w:val="32"/>
        </w:rPr>
        <w:t>www.efundcf.com.cn</w:t>
      </w:r>
    </w:p>
    <w:p w:rsidR="004D7C87" w:rsidRDefault="00CD5B70">
      <w:pPr>
        <w:overflowPunct w:val="0"/>
        <w:autoSpaceDE w:val="0"/>
        <w:autoSpaceDN w:val="0"/>
        <w:adjustRightInd w:val="0"/>
        <w:snapToGrid w:val="0"/>
        <w:spacing w:line="530" w:lineRule="exact"/>
        <w:ind w:firstLineChars="200" w:firstLine="640"/>
        <w:rPr>
          <w:rFonts w:ascii="Times New Roman" w:eastAsia="仿宋" w:hAnsi="Times New Roman"/>
          <w:snapToGrid w:val="0"/>
          <w:sz w:val="32"/>
          <w:szCs w:val="32"/>
        </w:rPr>
      </w:pPr>
      <w:r>
        <w:rPr>
          <w:rFonts w:ascii="Times New Roman" w:eastAsia="仿宋" w:hAnsi="Times New Roman"/>
          <w:snapToGrid w:val="0"/>
          <w:sz w:val="32"/>
          <w:szCs w:val="32"/>
        </w:rPr>
        <w:t>先锋基金客服电话：</w:t>
      </w:r>
      <w:r>
        <w:rPr>
          <w:rFonts w:ascii="Times New Roman" w:eastAsia="仿宋" w:hAnsi="Times New Roman"/>
          <w:snapToGrid w:val="0"/>
          <w:sz w:val="32"/>
          <w:szCs w:val="32"/>
        </w:rPr>
        <w:t>400-815-9998</w:t>
      </w:r>
    </w:p>
    <w:p w:rsidR="004D7C87" w:rsidRDefault="00CD5B70">
      <w:pPr>
        <w:overflowPunct w:val="0"/>
        <w:autoSpaceDE w:val="0"/>
        <w:autoSpaceDN w:val="0"/>
        <w:adjustRightInd w:val="0"/>
        <w:snapToGrid w:val="0"/>
        <w:spacing w:line="530" w:lineRule="exact"/>
        <w:ind w:firstLineChars="200" w:firstLine="640"/>
        <w:rPr>
          <w:rFonts w:ascii="Times New Roman" w:eastAsia="仿宋" w:hAnsi="Times New Roman"/>
          <w:snapToGrid w:val="0"/>
          <w:sz w:val="32"/>
          <w:szCs w:val="32"/>
        </w:rPr>
      </w:pPr>
      <w:r>
        <w:rPr>
          <w:rFonts w:ascii="Times New Roman" w:eastAsia="仿宋" w:hAnsi="Times New Roman"/>
          <w:snapToGrid w:val="0"/>
          <w:sz w:val="32"/>
          <w:szCs w:val="32"/>
        </w:rPr>
        <w:t>先锋基金网址：</w:t>
      </w:r>
      <w:r>
        <w:rPr>
          <w:rFonts w:ascii="Times New Roman" w:eastAsia="仿宋" w:hAnsi="Times New Roman"/>
          <w:snapToGrid w:val="0"/>
          <w:sz w:val="32"/>
          <w:szCs w:val="32"/>
        </w:rPr>
        <w:t>www.xf-fund.com</w:t>
      </w:r>
    </w:p>
    <w:p w:rsidR="004D7C87" w:rsidRDefault="00CD5B70">
      <w:pPr>
        <w:overflowPunct w:val="0"/>
        <w:autoSpaceDE w:val="0"/>
        <w:autoSpaceDN w:val="0"/>
        <w:adjustRightInd w:val="0"/>
        <w:snapToGrid w:val="0"/>
        <w:spacing w:line="530" w:lineRule="exact"/>
        <w:ind w:firstLineChars="200" w:firstLine="640"/>
        <w:rPr>
          <w:rFonts w:ascii="Times New Roman" w:eastAsia="仿宋" w:hAnsi="Times New Roman"/>
          <w:b/>
          <w:snapToGrid w:val="0"/>
          <w:sz w:val="32"/>
          <w:szCs w:val="32"/>
        </w:rPr>
      </w:pPr>
      <w:r>
        <w:rPr>
          <w:rFonts w:ascii="Times New Roman" w:eastAsia="黑体" w:hAnsi="Times New Roman"/>
          <w:bCs/>
          <w:snapToGrid w:val="0"/>
          <w:sz w:val="32"/>
          <w:szCs w:val="32"/>
        </w:rPr>
        <w:t>四、风险提示</w:t>
      </w:r>
    </w:p>
    <w:p w:rsidR="004D7C87" w:rsidRDefault="00CD5B70">
      <w:pPr>
        <w:overflowPunct w:val="0"/>
        <w:autoSpaceDE w:val="0"/>
        <w:autoSpaceDN w:val="0"/>
        <w:adjustRightInd w:val="0"/>
        <w:snapToGrid w:val="0"/>
        <w:spacing w:line="530" w:lineRule="exact"/>
        <w:ind w:firstLineChars="200" w:firstLine="640"/>
        <w:rPr>
          <w:rFonts w:ascii="Times New Roman" w:eastAsia="仿宋" w:hAnsi="Times New Roman"/>
          <w:snapToGrid w:val="0"/>
          <w:sz w:val="32"/>
          <w:szCs w:val="32"/>
        </w:rPr>
      </w:pPr>
      <w:r>
        <w:rPr>
          <w:rFonts w:ascii="Times New Roman" w:eastAsia="仿宋" w:hAnsi="Times New Roman"/>
          <w:snapToGrid w:val="0"/>
          <w:sz w:val="32"/>
          <w:szCs w:val="32"/>
        </w:rPr>
        <w:t>1</w:t>
      </w:r>
      <w:r>
        <w:rPr>
          <w:rFonts w:ascii="Times New Roman" w:eastAsia="仿宋" w:hAnsi="Times New Roman"/>
          <w:snapToGrid w:val="0"/>
          <w:sz w:val="32"/>
          <w:szCs w:val="32"/>
        </w:rPr>
        <w:t>.</w:t>
      </w:r>
      <w:r>
        <w:rPr>
          <w:rFonts w:ascii="Times New Roman" w:eastAsia="仿宋" w:hAnsi="Times New Roman"/>
          <w:snapToGrid w:val="0"/>
          <w:sz w:val="32"/>
          <w:szCs w:val="32"/>
        </w:rPr>
        <w:t>投资者应认真阅读拟投资基金的《基金合同》《招募说明书》《基金产品资料概要》等法律文件，了解所投资基金的风险收益特征，并根据自身的投资目的、投资期限、投资经验、资产状况等判断基金是否和投资人的风险承受能力相适应。</w:t>
      </w:r>
    </w:p>
    <w:p w:rsidR="004D7C87" w:rsidRDefault="00CD5B70">
      <w:pPr>
        <w:overflowPunct w:val="0"/>
        <w:autoSpaceDE w:val="0"/>
        <w:autoSpaceDN w:val="0"/>
        <w:adjustRightInd w:val="0"/>
        <w:snapToGrid w:val="0"/>
        <w:spacing w:line="530" w:lineRule="exact"/>
        <w:ind w:firstLineChars="200" w:firstLine="640"/>
        <w:rPr>
          <w:rFonts w:ascii="Times New Roman" w:eastAsia="仿宋" w:hAnsi="Times New Roman"/>
          <w:snapToGrid w:val="0"/>
          <w:sz w:val="32"/>
          <w:szCs w:val="32"/>
        </w:rPr>
      </w:pPr>
      <w:r>
        <w:rPr>
          <w:rFonts w:ascii="Times New Roman" w:eastAsia="仿宋" w:hAnsi="Times New Roman"/>
          <w:snapToGrid w:val="0"/>
          <w:sz w:val="32"/>
          <w:szCs w:val="32"/>
        </w:rPr>
        <w:t>2</w:t>
      </w:r>
      <w:r>
        <w:rPr>
          <w:rFonts w:ascii="Times New Roman" w:eastAsia="仿宋" w:hAnsi="Times New Roman"/>
          <w:snapToGrid w:val="0"/>
          <w:sz w:val="32"/>
          <w:szCs w:val="32"/>
        </w:rPr>
        <w:t>.</w:t>
      </w:r>
      <w:r>
        <w:rPr>
          <w:rFonts w:ascii="Times New Roman" w:eastAsia="仿宋" w:hAnsi="Times New Roman"/>
          <w:snapToGrid w:val="0"/>
          <w:sz w:val="32"/>
          <w:szCs w:val="32"/>
        </w:rPr>
        <w:t>投资人应当充分了解基金定投和零存整取等储蓄方式的区别。定期定额投资是引导投资人进行长期投资、平均投资成本的一种简单易行的投资方式。但是定投并不能规避基金投资所固有的风险，不能保证投资人获得收益，也不是替代储蓄</w:t>
      </w:r>
      <w:bookmarkStart w:id="2" w:name="_GoBack"/>
      <w:bookmarkEnd w:id="2"/>
      <w:r>
        <w:rPr>
          <w:rFonts w:ascii="Times New Roman" w:eastAsia="仿宋" w:hAnsi="Times New Roman"/>
          <w:snapToGrid w:val="0"/>
          <w:sz w:val="32"/>
          <w:szCs w:val="32"/>
        </w:rPr>
        <w:t>的等效理财方式。</w:t>
      </w:r>
    </w:p>
    <w:p w:rsidR="004D7C87" w:rsidRDefault="00CD5B70">
      <w:pPr>
        <w:overflowPunct w:val="0"/>
        <w:autoSpaceDE w:val="0"/>
        <w:autoSpaceDN w:val="0"/>
        <w:adjustRightInd w:val="0"/>
        <w:snapToGrid w:val="0"/>
        <w:spacing w:line="530" w:lineRule="exact"/>
        <w:ind w:firstLineChars="200" w:firstLine="640"/>
        <w:rPr>
          <w:rFonts w:ascii="Times New Roman" w:eastAsia="仿宋" w:hAnsi="Times New Roman"/>
          <w:snapToGrid w:val="0"/>
          <w:sz w:val="32"/>
          <w:szCs w:val="32"/>
        </w:rPr>
      </w:pPr>
      <w:r>
        <w:rPr>
          <w:rFonts w:ascii="Times New Roman" w:eastAsia="仿宋" w:hAnsi="Times New Roman"/>
          <w:snapToGrid w:val="0"/>
          <w:sz w:val="32"/>
          <w:szCs w:val="32"/>
        </w:rPr>
        <w:t>特此公告</w:t>
      </w:r>
    </w:p>
    <w:p w:rsidR="004D7C87" w:rsidRDefault="004D7C87">
      <w:pPr>
        <w:overflowPunct w:val="0"/>
        <w:autoSpaceDE w:val="0"/>
        <w:autoSpaceDN w:val="0"/>
        <w:adjustRightInd w:val="0"/>
        <w:snapToGrid w:val="0"/>
        <w:spacing w:line="530" w:lineRule="exact"/>
        <w:ind w:firstLineChars="200" w:firstLine="640"/>
        <w:jc w:val="right"/>
        <w:rPr>
          <w:rFonts w:ascii="Times New Roman" w:eastAsia="仿宋" w:hAnsi="Times New Roman"/>
          <w:snapToGrid w:val="0"/>
          <w:sz w:val="32"/>
          <w:szCs w:val="32"/>
        </w:rPr>
      </w:pPr>
    </w:p>
    <w:p w:rsidR="004D7C87" w:rsidRDefault="00CD5B70">
      <w:pPr>
        <w:overflowPunct w:val="0"/>
        <w:autoSpaceDE w:val="0"/>
        <w:autoSpaceDN w:val="0"/>
        <w:adjustRightInd w:val="0"/>
        <w:snapToGrid w:val="0"/>
        <w:spacing w:line="530" w:lineRule="exact"/>
        <w:ind w:firstLineChars="200" w:firstLine="640"/>
        <w:jc w:val="right"/>
        <w:rPr>
          <w:rFonts w:ascii="Times New Roman" w:eastAsia="仿宋" w:hAnsi="Times New Roman"/>
          <w:snapToGrid w:val="0"/>
          <w:sz w:val="32"/>
          <w:szCs w:val="32"/>
        </w:rPr>
      </w:pPr>
      <w:r>
        <w:rPr>
          <w:rFonts w:ascii="Times New Roman" w:eastAsia="仿宋" w:hAnsi="Times New Roman"/>
          <w:snapToGrid w:val="0"/>
          <w:sz w:val="32"/>
          <w:szCs w:val="32"/>
        </w:rPr>
        <w:t>先锋基金管理有限公司</w:t>
      </w:r>
    </w:p>
    <w:p w:rsidR="004D7C87" w:rsidRDefault="00CD5B70">
      <w:pPr>
        <w:overflowPunct w:val="0"/>
        <w:autoSpaceDE w:val="0"/>
        <w:autoSpaceDN w:val="0"/>
        <w:adjustRightInd w:val="0"/>
        <w:snapToGrid w:val="0"/>
        <w:spacing w:line="530" w:lineRule="exact"/>
        <w:ind w:firstLineChars="2000" w:firstLine="6400"/>
        <w:rPr>
          <w:rFonts w:ascii="Times New Roman" w:eastAsia="仿宋" w:hAnsi="Times New Roman"/>
          <w:snapToGrid w:val="0"/>
          <w:sz w:val="32"/>
          <w:szCs w:val="32"/>
        </w:rPr>
      </w:pPr>
      <w:r>
        <w:rPr>
          <w:rFonts w:ascii="Times New Roman" w:eastAsia="仿宋" w:hAnsi="Times New Roman"/>
          <w:snapToGrid w:val="0"/>
          <w:sz w:val="32"/>
          <w:szCs w:val="32"/>
        </w:rPr>
        <w:t>2</w:t>
      </w:r>
      <w:r>
        <w:rPr>
          <w:rFonts w:ascii="Times New Roman" w:eastAsia="仿宋" w:hAnsi="Times New Roman"/>
          <w:snapToGrid w:val="0"/>
          <w:sz w:val="32"/>
          <w:szCs w:val="32"/>
        </w:rPr>
        <w:t>026</w:t>
      </w:r>
      <w:r>
        <w:rPr>
          <w:rFonts w:ascii="Times New Roman" w:eastAsia="仿宋" w:hAnsi="Times New Roman"/>
          <w:snapToGrid w:val="0"/>
          <w:sz w:val="32"/>
          <w:szCs w:val="32"/>
        </w:rPr>
        <w:t>年</w:t>
      </w:r>
      <w:r>
        <w:rPr>
          <w:rFonts w:ascii="Times New Roman" w:eastAsia="仿宋" w:hAnsi="Times New Roman"/>
          <w:snapToGrid w:val="0"/>
          <w:sz w:val="32"/>
          <w:szCs w:val="32"/>
        </w:rPr>
        <w:t>3</w:t>
      </w:r>
      <w:r>
        <w:rPr>
          <w:rFonts w:ascii="Times New Roman" w:eastAsia="仿宋" w:hAnsi="Times New Roman"/>
          <w:snapToGrid w:val="0"/>
          <w:sz w:val="32"/>
          <w:szCs w:val="32"/>
        </w:rPr>
        <w:t>月</w:t>
      </w:r>
      <w:r>
        <w:rPr>
          <w:rFonts w:ascii="Times New Roman" w:eastAsia="仿宋" w:hAnsi="Times New Roman" w:hint="eastAsia"/>
          <w:snapToGrid w:val="0"/>
          <w:sz w:val="32"/>
          <w:szCs w:val="32"/>
        </w:rPr>
        <w:t>31</w:t>
      </w:r>
      <w:r>
        <w:rPr>
          <w:rFonts w:ascii="Times New Roman" w:eastAsia="仿宋" w:hAnsi="Times New Roman"/>
          <w:snapToGrid w:val="0"/>
          <w:sz w:val="32"/>
          <w:szCs w:val="32"/>
        </w:rPr>
        <w:t>日</w:t>
      </w:r>
    </w:p>
    <w:sectPr w:rsidR="004D7C87" w:rsidSect="004D7C87">
      <w:pgSz w:w="11906" w:h="16838"/>
      <w:pgMar w:top="2041" w:right="1531" w:bottom="1701" w:left="1531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楷体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492C6C65"/>
    <w:rsid w:val="003949C5"/>
    <w:rsid w:val="003B5E20"/>
    <w:rsid w:val="004A52E6"/>
    <w:rsid w:val="004D7C87"/>
    <w:rsid w:val="006051F7"/>
    <w:rsid w:val="006139B1"/>
    <w:rsid w:val="0061565B"/>
    <w:rsid w:val="00AF0541"/>
    <w:rsid w:val="00CD5B70"/>
    <w:rsid w:val="00CF43C1"/>
    <w:rsid w:val="00E014E8"/>
    <w:rsid w:val="00EF0CE8"/>
    <w:rsid w:val="069E23B3"/>
    <w:rsid w:val="15FB1D9A"/>
    <w:rsid w:val="178C61AE"/>
    <w:rsid w:val="1DD0420E"/>
    <w:rsid w:val="208B79E5"/>
    <w:rsid w:val="22F66C0A"/>
    <w:rsid w:val="24294C13"/>
    <w:rsid w:val="258E2652"/>
    <w:rsid w:val="2C8F5C76"/>
    <w:rsid w:val="322943C5"/>
    <w:rsid w:val="353F2AAB"/>
    <w:rsid w:val="3B64270E"/>
    <w:rsid w:val="40996D4F"/>
    <w:rsid w:val="40F4257E"/>
    <w:rsid w:val="423B584A"/>
    <w:rsid w:val="46C27167"/>
    <w:rsid w:val="478C4DFE"/>
    <w:rsid w:val="492C6C65"/>
    <w:rsid w:val="54E5125F"/>
    <w:rsid w:val="5BD62414"/>
    <w:rsid w:val="5D4E698B"/>
    <w:rsid w:val="5F6D338C"/>
    <w:rsid w:val="602C384B"/>
    <w:rsid w:val="60963B95"/>
    <w:rsid w:val="61BD24D7"/>
    <w:rsid w:val="62724F93"/>
    <w:rsid w:val="633E15D1"/>
    <w:rsid w:val="6CC85B89"/>
    <w:rsid w:val="7DDF4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7C87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4D7C87"/>
    <w:pPr>
      <w:jc w:val="left"/>
    </w:pPr>
  </w:style>
  <w:style w:type="paragraph" w:styleId="a4">
    <w:name w:val="Balloon Text"/>
    <w:basedOn w:val="a"/>
    <w:link w:val="Char0"/>
    <w:qFormat/>
    <w:rsid w:val="004D7C87"/>
    <w:rPr>
      <w:sz w:val="18"/>
      <w:szCs w:val="18"/>
    </w:rPr>
  </w:style>
  <w:style w:type="paragraph" w:styleId="a5">
    <w:name w:val="annotation subject"/>
    <w:basedOn w:val="a3"/>
    <w:next w:val="a3"/>
    <w:link w:val="Char1"/>
    <w:qFormat/>
    <w:rsid w:val="004D7C87"/>
    <w:rPr>
      <w:b/>
      <w:bCs/>
    </w:rPr>
  </w:style>
  <w:style w:type="character" w:styleId="a6">
    <w:name w:val="Hyperlink"/>
    <w:basedOn w:val="a0"/>
    <w:qFormat/>
    <w:rsid w:val="004D7C87"/>
    <w:rPr>
      <w:color w:val="0000FF"/>
      <w:u w:val="single"/>
    </w:rPr>
  </w:style>
  <w:style w:type="character" w:styleId="a7">
    <w:name w:val="annotation reference"/>
    <w:basedOn w:val="a0"/>
    <w:qFormat/>
    <w:rsid w:val="004D7C87"/>
    <w:rPr>
      <w:sz w:val="21"/>
      <w:szCs w:val="21"/>
    </w:rPr>
  </w:style>
  <w:style w:type="character" w:customStyle="1" w:styleId="font21">
    <w:name w:val="font21"/>
    <w:basedOn w:val="a0"/>
    <w:qFormat/>
    <w:rsid w:val="004D7C87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sid w:val="004D7C87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Char">
    <w:name w:val="批注文字 Char"/>
    <w:basedOn w:val="a0"/>
    <w:link w:val="a3"/>
    <w:qFormat/>
    <w:rsid w:val="004D7C87"/>
    <w:rPr>
      <w:rFonts w:ascii="Calibri" w:hAnsi="Calibri"/>
      <w:kern w:val="2"/>
      <w:sz w:val="21"/>
      <w:szCs w:val="24"/>
    </w:rPr>
  </w:style>
  <w:style w:type="character" w:customStyle="1" w:styleId="Char1">
    <w:name w:val="批注主题 Char"/>
    <w:basedOn w:val="Char"/>
    <w:link w:val="a5"/>
    <w:qFormat/>
    <w:rsid w:val="004D7C87"/>
    <w:rPr>
      <w:rFonts w:ascii="Calibri" w:hAnsi="Calibri"/>
      <w:b/>
      <w:bCs/>
      <w:kern w:val="2"/>
      <w:sz w:val="21"/>
      <w:szCs w:val="24"/>
    </w:rPr>
  </w:style>
  <w:style w:type="character" w:customStyle="1" w:styleId="Char0">
    <w:name w:val="批注框文本 Char"/>
    <w:basedOn w:val="a0"/>
    <w:link w:val="a4"/>
    <w:qFormat/>
    <w:rsid w:val="004D7C87"/>
    <w:rPr>
      <w:rFonts w:ascii="Calibri" w:hAnsi="Calibri"/>
      <w:kern w:val="2"/>
      <w:sz w:val="18"/>
      <w:szCs w:val="18"/>
    </w:rPr>
  </w:style>
  <w:style w:type="character" w:customStyle="1" w:styleId="fontstyle01">
    <w:name w:val="fontstyle01"/>
    <w:basedOn w:val="a0"/>
    <w:qFormat/>
    <w:rsid w:val="004D7C87"/>
    <w:rPr>
      <w:rFonts w:ascii="TimesNewRomanPSMT" w:hAnsi="TimesNewRomanPSMT" w:hint="default"/>
      <w:color w:val="000000"/>
      <w:sz w:val="22"/>
      <w:szCs w:val="22"/>
    </w:rPr>
  </w:style>
  <w:style w:type="character" w:customStyle="1" w:styleId="fontstyle11">
    <w:name w:val="fontstyle11"/>
    <w:basedOn w:val="a0"/>
    <w:qFormat/>
    <w:rsid w:val="004D7C87"/>
    <w:rPr>
      <w:rFonts w:ascii="宋体" w:eastAsia="宋体" w:hAnsi="宋体" w:hint="eastAsia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trade.xf-fund.com/downloadFile?url=/mall/2021/01/22/664568688766.PDF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1002</Characters>
  <Application>Microsoft Office Word</Application>
  <DocSecurity>4</DocSecurity>
  <Lines>8</Lines>
  <Paragraphs>2</Paragraphs>
  <ScaleCrop>false</ScaleCrop>
  <Company>China</Company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liuyx</dc:creator>
  <cp:lastModifiedBy>ZHONGM</cp:lastModifiedBy>
  <cp:revision>2</cp:revision>
  <dcterms:created xsi:type="dcterms:W3CDTF">2026-03-30T16:04:00Z</dcterms:created>
  <dcterms:modified xsi:type="dcterms:W3CDTF">2026-03-30T16:04:00Z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B9E7EFB579F3487CBD881CFB8F62F3C6_11</vt:lpwstr>
  </property>
  <property fmtid="{D5CDD505-2E9C-101B-9397-08002B2CF9AE}" pid="4" name="KSOTemplateDocerSaveRecord">
    <vt:lpwstr>eyJoZGlkIjoiNDVlYTcyOWZjZjAyNmU1ZDNiOTFjNmNiMGZkZWM4YjIiLCJ1c2VySWQiOiIxNzQ4NDc4MjQwIn0=</vt:lpwstr>
  </property>
</Properties>
</file>