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C7D" w:rsidRDefault="000148B2">
      <w:pPr>
        <w:widowControl/>
        <w:jc w:val="center"/>
        <w:rPr>
          <w:rFonts w:cs="宋体"/>
          <w:b/>
          <w:color w:val="000000" w:themeColor="text1"/>
          <w:kern w:val="0"/>
          <w:szCs w:val="24"/>
        </w:rPr>
      </w:pPr>
      <w:bookmarkStart w:id="0" w:name="_GoBack"/>
      <w:bookmarkEnd w:id="0"/>
      <w:r>
        <w:rPr>
          <w:rFonts w:cs="宋体"/>
          <w:b/>
          <w:color w:val="000000" w:themeColor="text1"/>
          <w:kern w:val="0"/>
          <w:szCs w:val="24"/>
        </w:rPr>
        <w:t>华夏中证沪深港黄金产业股票交易型开放式指数证券投资基金发起式联接基金在</w:t>
      </w:r>
      <w:r>
        <w:rPr>
          <w:rFonts w:cs="宋体"/>
          <w:b/>
          <w:color w:val="000000" w:themeColor="text1"/>
          <w:kern w:val="0"/>
          <w:szCs w:val="24"/>
        </w:rPr>
        <w:t>2026</w:t>
      </w:r>
      <w:r>
        <w:rPr>
          <w:rFonts w:cs="宋体"/>
          <w:b/>
          <w:color w:val="000000" w:themeColor="text1"/>
          <w:kern w:val="0"/>
          <w:szCs w:val="24"/>
        </w:rPr>
        <w:t>年非港股通交易日等日期暂停申购、赎回等业务的公告</w:t>
      </w:r>
    </w:p>
    <w:p w:rsidR="00D34C7D" w:rsidRDefault="00D34C7D">
      <w:pPr>
        <w:spacing w:line="560" w:lineRule="exact"/>
        <w:jc w:val="center"/>
        <w:rPr>
          <w:rFonts w:cs="宋体"/>
          <w:bCs/>
          <w:color w:val="000000" w:themeColor="text1"/>
          <w:szCs w:val="24"/>
        </w:rPr>
      </w:pPr>
    </w:p>
    <w:p w:rsidR="00D34C7D" w:rsidRDefault="000148B2">
      <w:pPr>
        <w:tabs>
          <w:tab w:val="left" w:pos="2268"/>
        </w:tabs>
        <w:ind w:firstLineChars="200" w:firstLine="480"/>
        <w:rPr>
          <w:color w:val="000000" w:themeColor="text1"/>
          <w:szCs w:val="24"/>
        </w:rPr>
      </w:pPr>
      <w:r>
        <w:rPr>
          <w:color w:val="000000" w:themeColor="text1"/>
          <w:szCs w:val="24"/>
        </w:rPr>
        <w:t>为保护基金份额持有人的利益，保障基金平稳运作，根据《华夏中证沪深港黄金产业股票交易型开放式指数证券投资基金发起式联接基金基金合同》《华夏中证沪深港黄金产业股票交易型开放式指数证券投资基金发起式联接基金招募说明书》及其更新的相关规定及中国创盈市场服务有限公司《关于</w:t>
      </w:r>
      <w:r>
        <w:rPr>
          <w:color w:val="000000" w:themeColor="text1"/>
          <w:szCs w:val="24"/>
        </w:rPr>
        <w:t>2026</w:t>
      </w:r>
      <w:r>
        <w:rPr>
          <w:color w:val="000000" w:themeColor="text1"/>
          <w:szCs w:val="24"/>
        </w:rPr>
        <w:t>年深港通下的港股通交易日有关安排的通知》等通知安排，华夏中证沪深港黄金产业股票交易型开放式指数证券投资基金发起式联接基金（基金简称</w:t>
      </w:r>
      <w:r>
        <w:rPr>
          <w:color w:val="000000" w:themeColor="text1"/>
          <w:szCs w:val="24"/>
        </w:rPr>
        <w:t>“</w:t>
      </w:r>
      <w:r>
        <w:rPr>
          <w:color w:val="000000" w:themeColor="text1"/>
          <w:szCs w:val="24"/>
        </w:rPr>
        <w:t>华夏中证沪深港黄金产业股票</w:t>
      </w:r>
      <w:r>
        <w:rPr>
          <w:color w:val="000000" w:themeColor="text1"/>
          <w:szCs w:val="24"/>
        </w:rPr>
        <w:t>ETF</w:t>
      </w:r>
      <w:r>
        <w:rPr>
          <w:color w:val="000000" w:themeColor="text1"/>
          <w:szCs w:val="24"/>
        </w:rPr>
        <w:t>发起式联接</w:t>
      </w:r>
      <w:r>
        <w:rPr>
          <w:color w:val="000000" w:themeColor="text1"/>
          <w:szCs w:val="24"/>
        </w:rPr>
        <w:t>”</w:t>
      </w:r>
      <w:r>
        <w:rPr>
          <w:color w:val="000000" w:themeColor="text1"/>
          <w:szCs w:val="24"/>
        </w:rPr>
        <w:t>，</w:t>
      </w:r>
      <w:r>
        <w:rPr>
          <w:color w:val="000000" w:themeColor="text1"/>
          <w:szCs w:val="24"/>
        </w:rPr>
        <w:t>A</w:t>
      </w:r>
      <w:r>
        <w:rPr>
          <w:color w:val="000000" w:themeColor="text1"/>
          <w:szCs w:val="24"/>
        </w:rPr>
        <w:t>类基金份额代码：</w:t>
      </w:r>
      <w:r>
        <w:rPr>
          <w:color w:val="000000" w:themeColor="text1"/>
          <w:szCs w:val="24"/>
        </w:rPr>
        <w:t>021074</w:t>
      </w:r>
      <w:r>
        <w:rPr>
          <w:color w:val="000000" w:themeColor="text1"/>
          <w:szCs w:val="24"/>
        </w:rPr>
        <w:t>，</w:t>
      </w:r>
      <w:r>
        <w:rPr>
          <w:color w:val="000000" w:themeColor="text1"/>
          <w:szCs w:val="24"/>
        </w:rPr>
        <w:t>C</w:t>
      </w:r>
      <w:r>
        <w:rPr>
          <w:color w:val="000000" w:themeColor="text1"/>
          <w:szCs w:val="24"/>
        </w:rPr>
        <w:t>类基金份额代码：</w:t>
      </w:r>
      <w:r>
        <w:rPr>
          <w:color w:val="000000" w:themeColor="text1"/>
          <w:szCs w:val="24"/>
        </w:rPr>
        <w:t xml:space="preserve">021075 </w:t>
      </w:r>
      <w:r>
        <w:rPr>
          <w:color w:val="000000" w:themeColor="text1"/>
          <w:szCs w:val="24"/>
        </w:rPr>
        <w:t>）将在</w:t>
      </w:r>
      <w:r>
        <w:rPr>
          <w:color w:val="000000" w:themeColor="text1"/>
          <w:szCs w:val="24"/>
        </w:rPr>
        <w:t>2026</w:t>
      </w:r>
      <w:r>
        <w:rPr>
          <w:color w:val="000000" w:themeColor="text1"/>
          <w:szCs w:val="24"/>
        </w:rPr>
        <w:t>年非港股通交易日</w:t>
      </w:r>
      <w:r>
        <w:rPr>
          <w:color w:val="000000" w:themeColor="text1"/>
          <w:szCs w:val="24"/>
        </w:rPr>
        <w:t>/</w:t>
      </w:r>
      <w:r>
        <w:rPr>
          <w:color w:val="000000" w:themeColor="text1"/>
          <w:szCs w:val="24"/>
        </w:rPr>
        <w:t>港股通半日市暂停办理申购、赎回、定期定额申购（如有）、转换（如有）业务，并将自该非港股通交易日</w:t>
      </w:r>
      <w:r>
        <w:rPr>
          <w:color w:val="000000" w:themeColor="text1"/>
          <w:szCs w:val="24"/>
        </w:rPr>
        <w:t>/</w:t>
      </w:r>
      <w:r>
        <w:rPr>
          <w:color w:val="000000" w:themeColor="text1"/>
          <w:szCs w:val="24"/>
        </w:rPr>
        <w:t>港股通半日市结束后首个开放日恢复办理上述业务，届时不再另行公告。各基金份额或各销售币种业务开放状态以其各自规定为准，具体详见本公司发布的有关公告。</w:t>
      </w:r>
      <w:r>
        <w:rPr>
          <w:color w:val="000000" w:themeColor="text1"/>
          <w:szCs w:val="24"/>
        </w:rPr>
        <w:t>2026</w:t>
      </w:r>
      <w:r>
        <w:rPr>
          <w:color w:val="000000" w:themeColor="text1"/>
          <w:szCs w:val="24"/>
        </w:rPr>
        <w:t>年非港股通交易日及港股通半日市提示如下：</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4</w:t>
      </w:r>
      <w:r>
        <w:rPr>
          <w:color w:val="000000" w:themeColor="text1"/>
          <w:szCs w:val="24"/>
        </w:rPr>
        <w:t>月</w:t>
      </w:r>
      <w:r>
        <w:rPr>
          <w:color w:val="000000" w:themeColor="text1"/>
          <w:szCs w:val="24"/>
        </w:rPr>
        <w:t>3</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4</w:t>
      </w:r>
      <w:r>
        <w:rPr>
          <w:color w:val="000000" w:themeColor="text1"/>
          <w:szCs w:val="24"/>
        </w:rPr>
        <w:t>月</w:t>
      </w:r>
      <w:r>
        <w:rPr>
          <w:color w:val="000000" w:themeColor="text1"/>
          <w:szCs w:val="24"/>
        </w:rPr>
        <w:t>7</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5</w:t>
      </w:r>
      <w:r>
        <w:rPr>
          <w:color w:val="000000" w:themeColor="text1"/>
          <w:szCs w:val="24"/>
        </w:rPr>
        <w:t>月</w:t>
      </w:r>
      <w:r>
        <w:rPr>
          <w:color w:val="000000" w:themeColor="text1"/>
          <w:szCs w:val="24"/>
        </w:rPr>
        <w:t>25</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7</w:t>
      </w:r>
      <w:r>
        <w:rPr>
          <w:color w:val="000000" w:themeColor="text1"/>
          <w:szCs w:val="24"/>
        </w:rPr>
        <w:t>月</w:t>
      </w:r>
      <w:r>
        <w:rPr>
          <w:color w:val="000000" w:themeColor="text1"/>
          <w:szCs w:val="24"/>
        </w:rPr>
        <w:t>1</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10</w:t>
      </w:r>
      <w:r>
        <w:rPr>
          <w:color w:val="000000" w:themeColor="text1"/>
          <w:szCs w:val="24"/>
        </w:rPr>
        <w:t>月</w:t>
      </w:r>
      <w:r>
        <w:rPr>
          <w:color w:val="000000" w:themeColor="text1"/>
          <w:szCs w:val="24"/>
        </w:rPr>
        <w:t>19</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24</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25</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 xml:space="preserve">                      2026</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31</w:t>
      </w:r>
      <w:r>
        <w:rPr>
          <w:color w:val="000000" w:themeColor="text1"/>
          <w:szCs w:val="24"/>
        </w:rPr>
        <w:t>日</w:t>
      </w:r>
    </w:p>
    <w:p w:rsidR="00D34C7D" w:rsidRDefault="000148B2">
      <w:pPr>
        <w:tabs>
          <w:tab w:val="left" w:pos="2268"/>
        </w:tabs>
        <w:ind w:firstLineChars="200" w:firstLine="480"/>
        <w:rPr>
          <w:color w:val="000000" w:themeColor="text1"/>
          <w:szCs w:val="24"/>
        </w:rPr>
      </w:pPr>
      <w:r>
        <w:rPr>
          <w:color w:val="000000" w:themeColor="text1"/>
          <w:szCs w:val="24"/>
        </w:rPr>
        <w:t>注：</w:t>
      </w:r>
      <w:r>
        <w:rPr>
          <w:color w:val="000000" w:themeColor="text1"/>
          <w:szCs w:val="24"/>
        </w:rPr>
        <w:t>1</w:t>
      </w:r>
      <w:r>
        <w:rPr>
          <w:color w:val="000000" w:themeColor="text1"/>
          <w:szCs w:val="24"/>
        </w:rPr>
        <w:t>、上述非港股通交易日</w:t>
      </w:r>
      <w:r>
        <w:rPr>
          <w:color w:val="000000" w:themeColor="text1"/>
          <w:szCs w:val="24"/>
        </w:rPr>
        <w:t>/</w:t>
      </w:r>
      <w:r>
        <w:rPr>
          <w:color w:val="000000" w:themeColor="text1"/>
          <w:szCs w:val="24"/>
        </w:rPr>
        <w:t>港股通半日市已剔除和国内双休日及法定节假日重合的日期。</w:t>
      </w:r>
    </w:p>
    <w:p w:rsidR="00D34C7D" w:rsidRDefault="000148B2">
      <w:pPr>
        <w:tabs>
          <w:tab w:val="left" w:pos="2268"/>
        </w:tabs>
        <w:ind w:firstLineChars="200" w:firstLine="480"/>
        <w:rPr>
          <w:color w:val="000000" w:themeColor="text1"/>
          <w:szCs w:val="24"/>
        </w:rPr>
      </w:pPr>
      <w:r>
        <w:rPr>
          <w:color w:val="000000" w:themeColor="text1"/>
          <w:szCs w:val="24"/>
        </w:rPr>
        <w:t>2</w:t>
      </w:r>
      <w:r>
        <w:rPr>
          <w:color w:val="000000" w:themeColor="text1"/>
          <w:szCs w:val="24"/>
        </w:rPr>
        <w:t>、若上述非港股通交易日</w:t>
      </w:r>
      <w:r>
        <w:rPr>
          <w:color w:val="000000" w:themeColor="text1"/>
          <w:szCs w:val="24"/>
        </w:rPr>
        <w:t>/</w:t>
      </w:r>
      <w:r>
        <w:rPr>
          <w:color w:val="000000" w:themeColor="text1"/>
          <w:szCs w:val="24"/>
        </w:rPr>
        <w:t>港股通半日市在境内双休日或法定节假日次日的（如周一），本基金自非港股通交易日</w:t>
      </w:r>
      <w:r>
        <w:rPr>
          <w:color w:val="000000" w:themeColor="text1"/>
          <w:szCs w:val="24"/>
        </w:rPr>
        <w:t>/</w:t>
      </w:r>
      <w:r>
        <w:rPr>
          <w:color w:val="000000" w:themeColor="text1"/>
          <w:szCs w:val="24"/>
        </w:rPr>
        <w:t>港股通半日市前一个开放日</w:t>
      </w:r>
      <w:r>
        <w:rPr>
          <w:color w:val="000000" w:themeColor="text1"/>
          <w:szCs w:val="24"/>
        </w:rPr>
        <w:t>15</w:t>
      </w:r>
      <w:r>
        <w:rPr>
          <w:color w:val="000000" w:themeColor="text1"/>
          <w:szCs w:val="24"/>
        </w:rPr>
        <w:t>：</w:t>
      </w:r>
      <w:r>
        <w:rPr>
          <w:color w:val="000000" w:themeColor="text1"/>
          <w:szCs w:val="24"/>
        </w:rPr>
        <w:t>00</w:t>
      </w:r>
      <w:r>
        <w:rPr>
          <w:color w:val="000000" w:themeColor="text1"/>
          <w:szCs w:val="24"/>
        </w:rPr>
        <w:t>后也将暂停接受投资者提交的申购、赎回等业务申请。</w:t>
      </w:r>
    </w:p>
    <w:p w:rsidR="00D34C7D" w:rsidRDefault="000148B2">
      <w:pPr>
        <w:tabs>
          <w:tab w:val="left" w:pos="2268"/>
        </w:tabs>
        <w:ind w:firstLineChars="200" w:firstLine="480"/>
        <w:rPr>
          <w:color w:val="000000" w:themeColor="text1"/>
          <w:szCs w:val="24"/>
        </w:rPr>
      </w:pPr>
      <w:r>
        <w:rPr>
          <w:color w:val="000000" w:themeColor="text1"/>
          <w:szCs w:val="24"/>
        </w:rPr>
        <w:t>3</w:t>
      </w:r>
      <w:r>
        <w:rPr>
          <w:color w:val="000000" w:themeColor="text1"/>
          <w:szCs w:val="24"/>
        </w:rPr>
        <w:t>、如遇该基金因其他原因暂停申购、赎回等业务的，具体业务办理以相关</w:t>
      </w:r>
      <w:r>
        <w:rPr>
          <w:color w:val="000000" w:themeColor="text1"/>
          <w:szCs w:val="24"/>
        </w:rPr>
        <w:lastRenderedPageBreak/>
        <w:t>公告为准。</w:t>
      </w:r>
    </w:p>
    <w:p w:rsidR="00D34C7D" w:rsidRDefault="000148B2">
      <w:pPr>
        <w:tabs>
          <w:tab w:val="left" w:pos="2268"/>
        </w:tabs>
        <w:ind w:firstLineChars="200" w:firstLine="480"/>
        <w:rPr>
          <w:color w:val="000000" w:themeColor="text1"/>
          <w:szCs w:val="24"/>
        </w:rPr>
      </w:pPr>
      <w:r>
        <w:rPr>
          <w:color w:val="000000" w:themeColor="text1"/>
          <w:szCs w:val="24"/>
        </w:rPr>
        <w:t>4</w:t>
      </w:r>
      <w:r>
        <w:rPr>
          <w:color w:val="000000" w:themeColor="text1"/>
          <w:szCs w:val="24"/>
        </w:rPr>
        <w:t>、各基金份额或各销售币种业务开放状态以其各自规定为准，具体详见本公司发布的有关公告。</w:t>
      </w:r>
    </w:p>
    <w:p w:rsidR="00D34C7D" w:rsidRDefault="000148B2">
      <w:pPr>
        <w:tabs>
          <w:tab w:val="left" w:pos="2268"/>
        </w:tabs>
        <w:ind w:firstLineChars="200" w:firstLine="480"/>
        <w:rPr>
          <w:color w:val="000000" w:themeColor="text1"/>
          <w:szCs w:val="24"/>
        </w:rPr>
      </w:pPr>
      <w:r>
        <w:rPr>
          <w:color w:val="000000" w:themeColor="text1"/>
          <w:szCs w:val="24"/>
        </w:rPr>
        <w:t>本公告为因非港股通交易日等日期安排暂停和后续恢复相关业务的说明，本基金如因其他原因已暂停申购、赎回等业务、限制有关业务上限或有其他交易状态限制的，具体业务办理以相关公告为准。各基金份额或各销售币种业务开放状态以其各自规定为准，具体详见本公司发布的有关公告。</w:t>
      </w:r>
    </w:p>
    <w:p w:rsidR="00D34C7D" w:rsidRDefault="000148B2">
      <w:pPr>
        <w:tabs>
          <w:tab w:val="left" w:pos="2268"/>
        </w:tabs>
        <w:ind w:firstLineChars="200" w:firstLine="480"/>
        <w:rPr>
          <w:color w:val="000000" w:themeColor="text1"/>
          <w:szCs w:val="24"/>
        </w:rPr>
      </w:pPr>
      <w:r>
        <w:rPr>
          <w:color w:val="000000" w:themeColor="text1"/>
          <w:szCs w:val="24"/>
        </w:rPr>
        <w:t>若港股通交易日安排、深圳证券交易所、香港联合交易所有限公司状况等发生变化，或根据法律法规、基金合同等规定需要调整上述事项的，或中国证监会、证券交易所发布新的节假日放假和休市安排影响本基金申赎等业务办理的，本公司将及时公告相关业务安排。为避免因非港股通交易日等原因带来的不便，敬请投资者提前进行相关业务安排。</w:t>
      </w:r>
    </w:p>
    <w:p w:rsidR="00D34C7D" w:rsidRDefault="000148B2">
      <w:pPr>
        <w:tabs>
          <w:tab w:val="left" w:pos="2268"/>
        </w:tabs>
        <w:ind w:firstLineChars="200" w:firstLine="480"/>
        <w:rPr>
          <w:color w:val="000000" w:themeColor="text1"/>
          <w:szCs w:val="24"/>
        </w:rPr>
      </w:pPr>
      <w:r>
        <w:rPr>
          <w:color w:val="000000" w:themeColor="text1"/>
          <w:szCs w:val="24"/>
        </w:rPr>
        <w:t>投资者可登录本公司网站（</w:t>
      </w:r>
      <w:r>
        <w:rPr>
          <w:color w:val="000000" w:themeColor="text1"/>
          <w:szCs w:val="24"/>
        </w:rPr>
        <w:t>www.ChinaAMC.com</w:t>
      </w:r>
      <w:r>
        <w:rPr>
          <w:color w:val="000000" w:themeColor="text1"/>
          <w:szCs w:val="24"/>
        </w:rPr>
        <w:t>）或拨打本公司客户服务电话（</w:t>
      </w:r>
      <w:r>
        <w:rPr>
          <w:color w:val="000000" w:themeColor="text1"/>
          <w:szCs w:val="24"/>
        </w:rPr>
        <w:t>400-818-6666</w:t>
      </w:r>
      <w:r>
        <w:rPr>
          <w:color w:val="000000" w:themeColor="text1"/>
          <w:szCs w:val="24"/>
        </w:rPr>
        <w:t>）获取相关信息。</w:t>
      </w:r>
    </w:p>
    <w:p w:rsidR="00D34C7D" w:rsidRDefault="000148B2">
      <w:pPr>
        <w:tabs>
          <w:tab w:val="left" w:pos="2268"/>
        </w:tabs>
        <w:ind w:firstLineChars="200" w:firstLine="480"/>
        <w:rPr>
          <w:color w:val="000000" w:themeColor="text1"/>
          <w:szCs w:val="24"/>
        </w:rPr>
      </w:pPr>
      <w:r>
        <w:rPr>
          <w:color w:val="000000" w:themeColor="text1"/>
          <w:szCs w:val="24"/>
        </w:rPr>
        <w:t>特此公告</w:t>
      </w:r>
    </w:p>
    <w:p w:rsidR="00D34C7D" w:rsidRDefault="00D34C7D">
      <w:pPr>
        <w:tabs>
          <w:tab w:val="left" w:pos="2268"/>
        </w:tabs>
        <w:ind w:firstLineChars="200" w:firstLine="480"/>
        <w:rPr>
          <w:color w:val="000000" w:themeColor="text1"/>
          <w:szCs w:val="24"/>
        </w:rPr>
      </w:pPr>
    </w:p>
    <w:p w:rsidR="00D34C7D" w:rsidRDefault="000148B2">
      <w:pPr>
        <w:tabs>
          <w:tab w:val="left" w:pos="2268"/>
        </w:tabs>
        <w:ind w:firstLineChars="200" w:firstLine="480"/>
        <w:rPr>
          <w:color w:val="000000" w:themeColor="text1"/>
          <w:szCs w:val="24"/>
        </w:rPr>
      </w:pPr>
      <w:r>
        <w:rPr>
          <w:color w:val="000000" w:themeColor="text1"/>
          <w:szCs w:val="24"/>
        </w:rPr>
        <w:t xml:space="preserve">                                             </w:t>
      </w:r>
      <w:r>
        <w:rPr>
          <w:color w:val="000000" w:themeColor="text1"/>
          <w:szCs w:val="24"/>
        </w:rPr>
        <w:t>华夏基金管理有限公司</w:t>
      </w:r>
    </w:p>
    <w:p w:rsidR="00D34C7D" w:rsidRDefault="000148B2">
      <w:pPr>
        <w:tabs>
          <w:tab w:val="left" w:pos="2268"/>
        </w:tabs>
        <w:ind w:firstLineChars="200" w:firstLine="480"/>
        <w:rPr>
          <w:color w:val="000000" w:themeColor="text1"/>
          <w:szCs w:val="24"/>
        </w:rPr>
      </w:pPr>
      <w:r>
        <w:rPr>
          <w:color w:val="000000" w:themeColor="text1"/>
          <w:szCs w:val="24"/>
        </w:rPr>
        <w:t xml:space="preserve">                                           </w:t>
      </w:r>
      <w:r>
        <w:rPr>
          <w:color w:val="000000" w:themeColor="text1"/>
          <w:szCs w:val="24"/>
        </w:rPr>
        <w:t>二〇二六年三月三十一日</w:t>
      </w:r>
    </w:p>
    <w:sectPr w:rsidR="00D34C7D"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CF" w:rsidRDefault="00F679CF" w:rsidP="00D327FA">
      <w:r>
        <w:separator/>
      </w:r>
    </w:p>
  </w:endnote>
  <w:endnote w:type="continuationSeparator" w:id="0">
    <w:p w:rsidR="00F679CF" w:rsidRDefault="00F679CF" w:rsidP="00D3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CF" w:rsidRDefault="00F679CF" w:rsidP="00D327FA">
      <w:r>
        <w:separator/>
      </w:r>
    </w:p>
  </w:footnote>
  <w:footnote w:type="continuationSeparator" w:id="0">
    <w:p w:rsidR="00F679CF" w:rsidRDefault="00F679CF" w:rsidP="00D32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74DD"/>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16D155E"/>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327FA"/>
    <w:rsid w:val="000148B2"/>
    <w:rsid w:val="00016DF0"/>
    <w:rsid w:val="0001763B"/>
    <w:rsid w:val="00041353"/>
    <w:rsid w:val="000564C9"/>
    <w:rsid w:val="00063537"/>
    <w:rsid w:val="00072257"/>
    <w:rsid w:val="00073C8F"/>
    <w:rsid w:val="0007778F"/>
    <w:rsid w:val="00080E4E"/>
    <w:rsid w:val="0008508A"/>
    <w:rsid w:val="0009285F"/>
    <w:rsid w:val="000C20D3"/>
    <w:rsid w:val="000D1D8F"/>
    <w:rsid w:val="000D472C"/>
    <w:rsid w:val="000E4B5B"/>
    <w:rsid w:val="000E4CBF"/>
    <w:rsid w:val="000F4816"/>
    <w:rsid w:val="000F55E1"/>
    <w:rsid w:val="00100294"/>
    <w:rsid w:val="00112D72"/>
    <w:rsid w:val="0013025A"/>
    <w:rsid w:val="001349CA"/>
    <w:rsid w:val="001655B7"/>
    <w:rsid w:val="00165C89"/>
    <w:rsid w:val="00175A52"/>
    <w:rsid w:val="00180DA3"/>
    <w:rsid w:val="0018203B"/>
    <w:rsid w:val="001840DB"/>
    <w:rsid w:val="00185FAC"/>
    <w:rsid w:val="001965B9"/>
    <w:rsid w:val="001A2512"/>
    <w:rsid w:val="001A6784"/>
    <w:rsid w:val="001B4F9F"/>
    <w:rsid w:val="001B6082"/>
    <w:rsid w:val="001B6753"/>
    <w:rsid w:val="001B740D"/>
    <w:rsid w:val="001D378F"/>
    <w:rsid w:val="001D3B58"/>
    <w:rsid w:val="001D4E79"/>
    <w:rsid w:val="00204BA1"/>
    <w:rsid w:val="00212BAA"/>
    <w:rsid w:val="00232F2F"/>
    <w:rsid w:val="002356AE"/>
    <w:rsid w:val="00245724"/>
    <w:rsid w:val="00250A46"/>
    <w:rsid w:val="00255AA2"/>
    <w:rsid w:val="00260724"/>
    <w:rsid w:val="00262098"/>
    <w:rsid w:val="00262898"/>
    <w:rsid w:val="00262A65"/>
    <w:rsid w:val="0026472A"/>
    <w:rsid w:val="002674C0"/>
    <w:rsid w:val="002728EF"/>
    <w:rsid w:val="0027595B"/>
    <w:rsid w:val="002832CE"/>
    <w:rsid w:val="00285347"/>
    <w:rsid w:val="00285443"/>
    <w:rsid w:val="00286795"/>
    <w:rsid w:val="002935EF"/>
    <w:rsid w:val="00297148"/>
    <w:rsid w:val="002A31D8"/>
    <w:rsid w:val="002A6277"/>
    <w:rsid w:val="002B2DAC"/>
    <w:rsid w:val="002B746A"/>
    <w:rsid w:val="002B7B94"/>
    <w:rsid w:val="002C5FA8"/>
    <w:rsid w:val="002E22DD"/>
    <w:rsid w:val="002E4E44"/>
    <w:rsid w:val="002F21FF"/>
    <w:rsid w:val="002F7241"/>
    <w:rsid w:val="00307C34"/>
    <w:rsid w:val="003169B1"/>
    <w:rsid w:val="0032697F"/>
    <w:rsid w:val="00327DA7"/>
    <w:rsid w:val="00333BAD"/>
    <w:rsid w:val="0033424F"/>
    <w:rsid w:val="0033476C"/>
    <w:rsid w:val="00342442"/>
    <w:rsid w:val="00346642"/>
    <w:rsid w:val="00360949"/>
    <w:rsid w:val="0036784E"/>
    <w:rsid w:val="00384BFF"/>
    <w:rsid w:val="00386B73"/>
    <w:rsid w:val="003878FB"/>
    <w:rsid w:val="003C51D6"/>
    <w:rsid w:val="003D0DCF"/>
    <w:rsid w:val="003D16FB"/>
    <w:rsid w:val="003D3818"/>
    <w:rsid w:val="003F6F60"/>
    <w:rsid w:val="00414C3B"/>
    <w:rsid w:val="00446B14"/>
    <w:rsid w:val="00450C0A"/>
    <w:rsid w:val="004551CD"/>
    <w:rsid w:val="00474071"/>
    <w:rsid w:val="004907C7"/>
    <w:rsid w:val="004966BA"/>
    <w:rsid w:val="004A2142"/>
    <w:rsid w:val="004A3334"/>
    <w:rsid w:val="004A334D"/>
    <w:rsid w:val="004B1D96"/>
    <w:rsid w:val="004D5A7A"/>
    <w:rsid w:val="004D6346"/>
    <w:rsid w:val="004E6501"/>
    <w:rsid w:val="004F0521"/>
    <w:rsid w:val="004F51E8"/>
    <w:rsid w:val="004F548A"/>
    <w:rsid w:val="005013CF"/>
    <w:rsid w:val="00502B3B"/>
    <w:rsid w:val="005038DB"/>
    <w:rsid w:val="00505DFE"/>
    <w:rsid w:val="005067BC"/>
    <w:rsid w:val="00517899"/>
    <w:rsid w:val="00531865"/>
    <w:rsid w:val="00536E8E"/>
    <w:rsid w:val="00536FEA"/>
    <w:rsid w:val="005527A1"/>
    <w:rsid w:val="0055497B"/>
    <w:rsid w:val="00564113"/>
    <w:rsid w:val="0056511E"/>
    <w:rsid w:val="005679E0"/>
    <w:rsid w:val="005864A5"/>
    <w:rsid w:val="00590722"/>
    <w:rsid w:val="005C1955"/>
    <w:rsid w:val="005C2C79"/>
    <w:rsid w:val="005C6222"/>
    <w:rsid w:val="005E0AEC"/>
    <w:rsid w:val="005E2ED8"/>
    <w:rsid w:val="005F28B9"/>
    <w:rsid w:val="005F2DBE"/>
    <w:rsid w:val="005F768B"/>
    <w:rsid w:val="005F78A9"/>
    <w:rsid w:val="00603A93"/>
    <w:rsid w:val="00625AC9"/>
    <w:rsid w:val="00633C51"/>
    <w:rsid w:val="006416C7"/>
    <w:rsid w:val="00646522"/>
    <w:rsid w:val="006613A4"/>
    <w:rsid w:val="00663031"/>
    <w:rsid w:val="00677437"/>
    <w:rsid w:val="006834ED"/>
    <w:rsid w:val="006942CA"/>
    <w:rsid w:val="006A0A5E"/>
    <w:rsid w:val="006B1B5E"/>
    <w:rsid w:val="006B222F"/>
    <w:rsid w:val="006B3DF2"/>
    <w:rsid w:val="006B78B0"/>
    <w:rsid w:val="006D03C1"/>
    <w:rsid w:val="006E48AD"/>
    <w:rsid w:val="007139B2"/>
    <w:rsid w:val="0073228C"/>
    <w:rsid w:val="007370C3"/>
    <w:rsid w:val="007409E4"/>
    <w:rsid w:val="00753E39"/>
    <w:rsid w:val="00762FED"/>
    <w:rsid w:val="00770DB7"/>
    <w:rsid w:val="007729A5"/>
    <w:rsid w:val="00776EAB"/>
    <w:rsid w:val="00782EEE"/>
    <w:rsid w:val="007874BD"/>
    <w:rsid w:val="00797A74"/>
    <w:rsid w:val="007A0F8B"/>
    <w:rsid w:val="007A15A7"/>
    <w:rsid w:val="007A42DE"/>
    <w:rsid w:val="007B0250"/>
    <w:rsid w:val="007B0698"/>
    <w:rsid w:val="007B1D31"/>
    <w:rsid w:val="007D038F"/>
    <w:rsid w:val="007D5CAB"/>
    <w:rsid w:val="007E33A4"/>
    <w:rsid w:val="007F6518"/>
    <w:rsid w:val="0081610F"/>
    <w:rsid w:val="00826C33"/>
    <w:rsid w:val="00842375"/>
    <w:rsid w:val="008472DB"/>
    <w:rsid w:val="00865F38"/>
    <w:rsid w:val="0086663B"/>
    <w:rsid w:val="0087062E"/>
    <w:rsid w:val="00870F3B"/>
    <w:rsid w:val="008712F5"/>
    <w:rsid w:val="00880492"/>
    <w:rsid w:val="00893300"/>
    <w:rsid w:val="008B2368"/>
    <w:rsid w:val="008C49A5"/>
    <w:rsid w:val="008D6773"/>
    <w:rsid w:val="008E7A23"/>
    <w:rsid w:val="00910DDA"/>
    <w:rsid w:val="00911863"/>
    <w:rsid w:val="00926537"/>
    <w:rsid w:val="009277E0"/>
    <w:rsid w:val="009341EE"/>
    <w:rsid w:val="00936FCE"/>
    <w:rsid w:val="00941EB0"/>
    <w:rsid w:val="009506DE"/>
    <w:rsid w:val="0095423C"/>
    <w:rsid w:val="00956B0F"/>
    <w:rsid w:val="00963050"/>
    <w:rsid w:val="00975DC2"/>
    <w:rsid w:val="00980D36"/>
    <w:rsid w:val="0098579D"/>
    <w:rsid w:val="009918F1"/>
    <w:rsid w:val="009B419A"/>
    <w:rsid w:val="009B63CA"/>
    <w:rsid w:val="009C5858"/>
    <w:rsid w:val="009E07E0"/>
    <w:rsid w:val="009E3C65"/>
    <w:rsid w:val="009F6D03"/>
    <w:rsid w:val="00A07EF6"/>
    <w:rsid w:val="00A15644"/>
    <w:rsid w:val="00A2638C"/>
    <w:rsid w:val="00A26866"/>
    <w:rsid w:val="00A26A77"/>
    <w:rsid w:val="00A3337B"/>
    <w:rsid w:val="00A34B0B"/>
    <w:rsid w:val="00A40355"/>
    <w:rsid w:val="00A428CE"/>
    <w:rsid w:val="00A44FC0"/>
    <w:rsid w:val="00A471A6"/>
    <w:rsid w:val="00A52C5B"/>
    <w:rsid w:val="00A5414E"/>
    <w:rsid w:val="00A54C32"/>
    <w:rsid w:val="00A56326"/>
    <w:rsid w:val="00A61CBB"/>
    <w:rsid w:val="00A62AE0"/>
    <w:rsid w:val="00A73107"/>
    <w:rsid w:val="00A977AA"/>
    <w:rsid w:val="00AB0D17"/>
    <w:rsid w:val="00AB3257"/>
    <w:rsid w:val="00AB7085"/>
    <w:rsid w:val="00AD7BDD"/>
    <w:rsid w:val="00AF024E"/>
    <w:rsid w:val="00AF190C"/>
    <w:rsid w:val="00AF4CDF"/>
    <w:rsid w:val="00B0159D"/>
    <w:rsid w:val="00B101F7"/>
    <w:rsid w:val="00B32966"/>
    <w:rsid w:val="00B40605"/>
    <w:rsid w:val="00B441B1"/>
    <w:rsid w:val="00B47F44"/>
    <w:rsid w:val="00B576A3"/>
    <w:rsid w:val="00B872E5"/>
    <w:rsid w:val="00B9331C"/>
    <w:rsid w:val="00B93A70"/>
    <w:rsid w:val="00BA6DA8"/>
    <w:rsid w:val="00BD244D"/>
    <w:rsid w:val="00BD545A"/>
    <w:rsid w:val="00BD601B"/>
    <w:rsid w:val="00BD61E9"/>
    <w:rsid w:val="00BE09E1"/>
    <w:rsid w:val="00BE5016"/>
    <w:rsid w:val="00C1033C"/>
    <w:rsid w:val="00C257D0"/>
    <w:rsid w:val="00C26E00"/>
    <w:rsid w:val="00C41C17"/>
    <w:rsid w:val="00C5395C"/>
    <w:rsid w:val="00C627EE"/>
    <w:rsid w:val="00C62978"/>
    <w:rsid w:val="00C70EDA"/>
    <w:rsid w:val="00C72266"/>
    <w:rsid w:val="00C92E88"/>
    <w:rsid w:val="00CA34A2"/>
    <w:rsid w:val="00CA59E7"/>
    <w:rsid w:val="00CD3D31"/>
    <w:rsid w:val="00CD5B18"/>
    <w:rsid w:val="00CD722B"/>
    <w:rsid w:val="00CF0E33"/>
    <w:rsid w:val="00CF2747"/>
    <w:rsid w:val="00CF3FBA"/>
    <w:rsid w:val="00CF5898"/>
    <w:rsid w:val="00CF6533"/>
    <w:rsid w:val="00D10B03"/>
    <w:rsid w:val="00D114B7"/>
    <w:rsid w:val="00D1480F"/>
    <w:rsid w:val="00D21194"/>
    <w:rsid w:val="00D21B00"/>
    <w:rsid w:val="00D327FA"/>
    <w:rsid w:val="00D34C7D"/>
    <w:rsid w:val="00D36BEB"/>
    <w:rsid w:val="00D42AD3"/>
    <w:rsid w:val="00D54D85"/>
    <w:rsid w:val="00D55DBB"/>
    <w:rsid w:val="00D62915"/>
    <w:rsid w:val="00D7602F"/>
    <w:rsid w:val="00DA7F28"/>
    <w:rsid w:val="00DB42FE"/>
    <w:rsid w:val="00DC1CE2"/>
    <w:rsid w:val="00DC6F56"/>
    <w:rsid w:val="00DD22A8"/>
    <w:rsid w:val="00DD3FEC"/>
    <w:rsid w:val="00DD527A"/>
    <w:rsid w:val="00DF1647"/>
    <w:rsid w:val="00E05533"/>
    <w:rsid w:val="00E06F2D"/>
    <w:rsid w:val="00E3130F"/>
    <w:rsid w:val="00E357F3"/>
    <w:rsid w:val="00E4763B"/>
    <w:rsid w:val="00E47E68"/>
    <w:rsid w:val="00E53AA5"/>
    <w:rsid w:val="00E53F1B"/>
    <w:rsid w:val="00E71FA8"/>
    <w:rsid w:val="00E779C9"/>
    <w:rsid w:val="00E830A4"/>
    <w:rsid w:val="00E84DEE"/>
    <w:rsid w:val="00E855DB"/>
    <w:rsid w:val="00E9370C"/>
    <w:rsid w:val="00E95E76"/>
    <w:rsid w:val="00E97C50"/>
    <w:rsid w:val="00EB47E2"/>
    <w:rsid w:val="00EB5758"/>
    <w:rsid w:val="00EC78C9"/>
    <w:rsid w:val="00ED2002"/>
    <w:rsid w:val="00EE1823"/>
    <w:rsid w:val="00EF09EE"/>
    <w:rsid w:val="00EF1214"/>
    <w:rsid w:val="00EF5AEE"/>
    <w:rsid w:val="00F15B17"/>
    <w:rsid w:val="00F2426C"/>
    <w:rsid w:val="00F2698B"/>
    <w:rsid w:val="00F320F0"/>
    <w:rsid w:val="00F32A42"/>
    <w:rsid w:val="00F3519A"/>
    <w:rsid w:val="00F40C14"/>
    <w:rsid w:val="00F422CD"/>
    <w:rsid w:val="00F6361B"/>
    <w:rsid w:val="00F64447"/>
    <w:rsid w:val="00F679CF"/>
    <w:rsid w:val="00F711AC"/>
    <w:rsid w:val="00F80E0D"/>
    <w:rsid w:val="00F9469B"/>
    <w:rsid w:val="00FB2366"/>
    <w:rsid w:val="00FB4452"/>
    <w:rsid w:val="00FB781B"/>
    <w:rsid w:val="00FC416C"/>
    <w:rsid w:val="00FD1170"/>
    <w:rsid w:val="00FD627B"/>
    <w:rsid w:val="00FE09B6"/>
    <w:rsid w:val="00FF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443"/>
    <w:pPr>
      <w:widowControl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qFormat/>
    <w:rsid w:val="00285443"/>
    <w:pPr>
      <w:keepNext/>
      <w:keepLines/>
      <w:spacing w:before="260" w:after="260" w:line="415" w:lineRule="auto"/>
      <w:outlineLvl w:val="0"/>
    </w:pPr>
    <w:rPr>
      <w:b/>
      <w:bCs/>
      <w:kern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5443"/>
    <w:rPr>
      <w:rFonts w:ascii="Times New Roman" w:eastAsia="宋体" w:hAnsi="Times New Roman" w:cs="Times New Roman"/>
      <w:b/>
      <w:bCs/>
      <w:kern w:val="44"/>
      <w:sz w:val="2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character" w:styleId="a8">
    <w:name w:val="Placeholder Text"/>
    <w:basedOn w:val="a0"/>
    <w:uiPriority w:val="99"/>
    <w:rsid w:val="00F2698B"/>
    <w:rPr>
      <w:color w:val="auto"/>
    </w:rPr>
  </w:style>
  <w:style w:type="paragraph" w:styleId="a9">
    <w:name w:val="Revision"/>
    <w:hidden/>
    <w:uiPriority w:val="99"/>
    <w:semiHidden/>
    <w:rsid w:val="00D21194"/>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669910271">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344437508">
      <w:bodyDiv w:val="1"/>
      <w:marLeft w:val="0"/>
      <w:marRight w:val="0"/>
      <w:marTop w:val="0"/>
      <w:marBottom w:val="0"/>
      <w:divBdr>
        <w:top w:val="none" w:sz="0" w:space="0" w:color="auto"/>
        <w:left w:val="none" w:sz="0" w:space="0" w:color="auto"/>
        <w:bottom w:val="none" w:sz="0" w:space="0" w:color="auto"/>
        <w:right w:val="none" w:sz="0" w:space="0" w:color="auto"/>
      </w:divBdr>
      <w:divsChild>
        <w:div w:id="237440643">
          <w:marLeft w:val="0"/>
          <w:marRight w:val="0"/>
          <w:marTop w:val="0"/>
          <w:marBottom w:val="0"/>
          <w:divBdr>
            <w:top w:val="none" w:sz="0" w:space="0" w:color="auto"/>
            <w:left w:val="none" w:sz="0" w:space="0" w:color="auto"/>
            <w:bottom w:val="none" w:sz="0" w:space="0" w:color="auto"/>
            <w:right w:val="none" w:sz="0" w:space="0" w:color="auto"/>
          </w:divBdr>
        </w:div>
      </w:divsChild>
    </w:div>
    <w:div w:id="1574926478">
      <w:bodyDiv w:val="1"/>
      <w:marLeft w:val="0"/>
      <w:marRight w:val="0"/>
      <w:marTop w:val="0"/>
      <w:marBottom w:val="0"/>
      <w:divBdr>
        <w:top w:val="none" w:sz="0" w:space="0" w:color="auto"/>
        <w:left w:val="none" w:sz="0" w:space="0" w:color="auto"/>
        <w:bottom w:val="none" w:sz="0" w:space="0" w:color="auto"/>
        <w:right w:val="none" w:sz="0" w:space="0" w:color="auto"/>
      </w:divBdr>
      <w:divsChild>
        <w:div w:id="608051475">
          <w:marLeft w:val="0"/>
          <w:marRight w:val="0"/>
          <w:marTop w:val="0"/>
          <w:marBottom w:val="0"/>
          <w:divBdr>
            <w:top w:val="none" w:sz="0" w:space="0" w:color="auto"/>
            <w:left w:val="none" w:sz="0" w:space="0" w:color="auto"/>
            <w:bottom w:val="none" w:sz="0" w:space="0" w:color="auto"/>
            <w:right w:val="none" w:sz="0" w:space="0" w:color="auto"/>
          </w:divBdr>
        </w:div>
      </w:divsChild>
    </w:div>
    <w:div w:id="1923249491">
      <w:bodyDiv w:val="1"/>
      <w:marLeft w:val="0"/>
      <w:marRight w:val="0"/>
      <w:marTop w:val="0"/>
      <w:marBottom w:val="0"/>
      <w:divBdr>
        <w:top w:val="none" w:sz="0" w:space="0" w:color="auto"/>
        <w:left w:val="none" w:sz="0" w:space="0" w:color="auto"/>
        <w:bottom w:val="none" w:sz="0" w:space="0" w:color="auto"/>
        <w:right w:val="none" w:sz="0" w:space="0" w:color="auto"/>
      </w:divBdr>
      <w:divsChild>
        <w:div w:id="208058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4</DocSecurity>
  <Lines>10</Lines>
  <Paragraphs>2</Paragraphs>
  <ScaleCrop>false</ScaleCrop>
  <Company>微软中国</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2026-03-30T16:07:00Z</dcterms:created>
  <dcterms:modified xsi:type="dcterms:W3CDTF">2026-03-30T16:07:00Z</dcterms:modified>
</cp:coreProperties>
</file>