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0" w:rsidRDefault="004252B4">
      <w:pPr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0" w:name="_GoBack"/>
      <w:bookmarkEnd w:id="0"/>
      <w:r>
        <w:rPr>
          <w:rFonts w:ascii="宋体" w:hAnsi="宋体"/>
          <w:b/>
          <w:bCs/>
          <w:sz w:val="24"/>
        </w:rPr>
        <w:t>华夏移动互联灵活配置混合型证券投资基金（QDII）</w:t>
      </w:r>
    </w:p>
    <w:p w:rsidR="008E45C0" w:rsidRDefault="004252B4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调整申购及定期定额申购业务上限的公告</w:t>
      </w:r>
    </w:p>
    <w:p w:rsidR="008E45C0" w:rsidRDefault="008E45C0">
      <w:pPr>
        <w:spacing w:line="360" w:lineRule="auto"/>
      </w:pPr>
    </w:p>
    <w:p w:rsidR="004C1BBB" w:rsidRDefault="004252B4" w:rsidP="004D60BB">
      <w:pPr>
        <w:spacing w:line="360" w:lineRule="auto"/>
        <w:ind w:firstLineChars="200" w:firstLine="480"/>
        <w:jc w:val="left"/>
        <w:rPr>
          <w:sz w:val="24"/>
        </w:rPr>
      </w:pPr>
      <w:bookmarkStart w:id="1" w:name="OLE_LINK1"/>
      <w:r>
        <w:rPr>
          <w:sz w:val="24"/>
        </w:rPr>
        <w:t>为满足广大投资者的投资需求，同时保障基金投资运作的稳定性</w:t>
      </w:r>
      <w:bookmarkEnd w:id="1"/>
      <w:r>
        <w:rPr>
          <w:sz w:val="24"/>
        </w:rPr>
        <w:t>，华夏基金管理有限公司（以下简称</w:t>
      </w:r>
      <w:r>
        <w:rPr>
          <w:rFonts w:hint="eastAsia"/>
          <w:sz w:val="24"/>
        </w:rPr>
        <w:t>“</w:t>
      </w:r>
      <w:r>
        <w:rPr>
          <w:sz w:val="24"/>
        </w:rPr>
        <w:t>本公司</w:t>
      </w:r>
      <w:r>
        <w:rPr>
          <w:rFonts w:hint="eastAsia"/>
          <w:sz w:val="24"/>
        </w:rPr>
        <w:t>”</w:t>
      </w:r>
      <w:r>
        <w:rPr>
          <w:sz w:val="24"/>
        </w:rPr>
        <w:t>）决定自</w:t>
      </w:r>
      <w:r>
        <w:rPr>
          <w:sz w:val="24"/>
        </w:rPr>
        <w:t>2026</w:t>
      </w:r>
      <w:r>
        <w:rPr>
          <w:sz w:val="24"/>
        </w:rPr>
        <w:t>年</w:t>
      </w:r>
      <w:r>
        <w:rPr>
          <w:sz w:val="24"/>
        </w:rPr>
        <w:t>3</w:t>
      </w:r>
      <w:r>
        <w:rPr>
          <w:sz w:val="24"/>
        </w:rPr>
        <w:t>月</w:t>
      </w:r>
      <w:r>
        <w:rPr>
          <w:sz w:val="24"/>
        </w:rPr>
        <w:t>31</w:t>
      </w:r>
      <w:r>
        <w:rPr>
          <w:sz w:val="24"/>
        </w:rPr>
        <w:t>日起调整华夏移动互联灵活配置混合型证券投资基金（</w:t>
      </w:r>
      <w:r>
        <w:rPr>
          <w:sz w:val="24"/>
        </w:rPr>
        <w:t>QDII</w:t>
      </w:r>
      <w:r>
        <w:rPr>
          <w:sz w:val="24"/>
        </w:rPr>
        <w:t>）（</w:t>
      </w:r>
      <w:r>
        <w:rPr>
          <w:rFonts w:hAnsi="宋体" w:hint="eastAsia"/>
          <w:sz w:val="24"/>
        </w:rPr>
        <w:t>基金简称：华夏移动互联混合（</w:t>
      </w:r>
      <w:r>
        <w:rPr>
          <w:rFonts w:hAnsi="宋体" w:hint="eastAsia"/>
          <w:sz w:val="24"/>
        </w:rPr>
        <w:t>QDII</w:t>
      </w:r>
      <w:r>
        <w:rPr>
          <w:rFonts w:hAnsi="宋体" w:hint="eastAsia"/>
          <w:sz w:val="24"/>
        </w:rPr>
        <w:t>），基金代码：</w:t>
      </w:r>
      <w:r>
        <w:rPr>
          <w:rFonts w:hAnsi="宋体" w:hint="eastAsia"/>
          <w:sz w:val="24"/>
        </w:rPr>
        <w:t>002891</w:t>
      </w:r>
      <w:r>
        <w:rPr>
          <w:rFonts w:hAnsi="宋体" w:hint="eastAsia"/>
          <w:sz w:val="24"/>
        </w:rPr>
        <w:t>（人民币）、</w:t>
      </w:r>
      <w:r>
        <w:rPr>
          <w:rFonts w:hAnsi="宋体" w:hint="eastAsia"/>
          <w:sz w:val="24"/>
        </w:rPr>
        <w:t>002892</w:t>
      </w:r>
      <w:r>
        <w:rPr>
          <w:rFonts w:hAnsi="宋体" w:hint="eastAsia"/>
          <w:sz w:val="24"/>
        </w:rPr>
        <w:t>（美元现汇）、</w:t>
      </w:r>
      <w:r>
        <w:rPr>
          <w:rFonts w:hAnsi="宋体" w:hint="eastAsia"/>
          <w:sz w:val="24"/>
        </w:rPr>
        <w:t>002893</w:t>
      </w:r>
      <w:r>
        <w:rPr>
          <w:rFonts w:hAnsi="宋体" w:hint="eastAsia"/>
          <w:sz w:val="24"/>
        </w:rPr>
        <w:t>（美元现钞）</w:t>
      </w:r>
      <w:r>
        <w:rPr>
          <w:rFonts w:hint="eastAsia"/>
          <w:sz w:val="24"/>
        </w:rPr>
        <w:t>，</w:t>
      </w:r>
      <w:r>
        <w:rPr>
          <w:sz w:val="24"/>
        </w:rPr>
        <w:t>以下简称</w:t>
      </w:r>
      <w:r>
        <w:rPr>
          <w:rFonts w:hint="eastAsia"/>
          <w:sz w:val="24"/>
        </w:rPr>
        <w:t>“</w:t>
      </w:r>
      <w:r>
        <w:rPr>
          <w:sz w:val="24"/>
        </w:rPr>
        <w:t>本基金</w:t>
      </w:r>
      <w:r>
        <w:rPr>
          <w:rFonts w:hint="eastAsia"/>
          <w:sz w:val="24"/>
        </w:rPr>
        <w:t>”</w:t>
      </w:r>
      <w:r>
        <w:rPr>
          <w:sz w:val="24"/>
        </w:rPr>
        <w:t>）</w:t>
      </w:r>
      <w:r>
        <w:rPr>
          <w:rFonts w:hint="eastAsia"/>
          <w:sz w:val="24"/>
        </w:rPr>
        <w:t>的申购及定期定额申购</w:t>
      </w:r>
      <w:r>
        <w:rPr>
          <w:sz w:val="24"/>
        </w:rPr>
        <w:t>业务上限，具体情况如下：</w:t>
      </w:r>
      <w:bookmarkStart w:id="2" w:name="OLE_LINK4"/>
    </w:p>
    <w:p w:rsidR="008E45C0" w:rsidRDefault="004252B4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自</w:t>
      </w:r>
      <w:r>
        <w:rPr>
          <w:sz w:val="24"/>
        </w:rPr>
        <w:t>2026</w:t>
      </w:r>
      <w:r>
        <w:rPr>
          <w:sz w:val="24"/>
        </w:rPr>
        <w:t>年</w:t>
      </w:r>
      <w:r>
        <w:rPr>
          <w:sz w:val="24"/>
        </w:rPr>
        <w:t>3</w:t>
      </w:r>
      <w:r>
        <w:rPr>
          <w:sz w:val="24"/>
        </w:rPr>
        <w:t>月</w:t>
      </w:r>
      <w:r>
        <w:rPr>
          <w:sz w:val="24"/>
        </w:rPr>
        <w:t>31</w:t>
      </w:r>
      <w:r>
        <w:rPr>
          <w:sz w:val="24"/>
        </w:rPr>
        <w:t>日起，单个投资者单日累计申购（含定期定额申购）申请华夏移动互联混合（</w:t>
      </w:r>
      <w:r>
        <w:rPr>
          <w:sz w:val="24"/>
        </w:rPr>
        <w:t>QDII</w:t>
      </w:r>
      <w:r>
        <w:rPr>
          <w:sz w:val="24"/>
        </w:rPr>
        <w:t>）（人民币）的金额应不超过人民币</w:t>
      </w:r>
      <w:r>
        <w:rPr>
          <w:sz w:val="24"/>
        </w:rPr>
        <w:t>1</w:t>
      </w:r>
      <w:r>
        <w:rPr>
          <w:sz w:val="24"/>
        </w:rPr>
        <w:t>万元，单个投资者单日累计申购（含定期定额申购）申请华夏移动互联混合（</w:t>
      </w:r>
      <w:r>
        <w:rPr>
          <w:sz w:val="24"/>
        </w:rPr>
        <w:t>QDII</w:t>
      </w:r>
      <w:r>
        <w:rPr>
          <w:sz w:val="24"/>
        </w:rPr>
        <w:t>）（美元现钞）或华夏移动互联混合（</w:t>
      </w:r>
      <w:r>
        <w:rPr>
          <w:sz w:val="24"/>
        </w:rPr>
        <w:t>QDII</w:t>
      </w:r>
      <w:r>
        <w:rPr>
          <w:sz w:val="24"/>
        </w:rPr>
        <w:t>）（美元现汇）的金额</w:t>
      </w:r>
      <w:r w:rsidR="004D60BB">
        <w:rPr>
          <w:rFonts w:hint="eastAsia"/>
          <w:sz w:val="24"/>
        </w:rPr>
        <w:t>均</w:t>
      </w:r>
      <w:r>
        <w:rPr>
          <w:sz w:val="24"/>
        </w:rPr>
        <w:t>应不超过</w:t>
      </w:r>
      <w:r>
        <w:rPr>
          <w:sz w:val="24"/>
        </w:rPr>
        <w:t>1,400</w:t>
      </w:r>
      <w:r>
        <w:rPr>
          <w:sz w:val="24"/>
        </w:rPr>
        <w:t>美元。</w:t>
      </w:r>
      <w:bookmarkEnd w:id="2"/>
      <w:r>
        <w:rPr>
          <w:sz w:val="24"/>
        </w:rPr>
        <w:t>如合计申请金额超过上述限制，本基金有权部分或全部拒绝。投资者办理具体业务时应遵照本基金基金合同、招募说明书（更新）及销售机构的有关规定，本基金各销售币种的业务开放状态遵循其各自规定。投资者于</w:t>
      </w:r>
      <w:r>
        <w:rPr>
          <w:sz w:val="24"/>
        </w:rPr>
        <w:t>2026</w:t>
      </w:r>
      <w:r>
        <w:rPr>
          <w:sz w:val="24"/>
        </w:rPr>
        <w:t>年</w:t>
      </w:r>
      <w:r>
        <w:rPr>
          <w:sz w:val="24"/>
        </w:rPr>
        <w:t>3</w:t>
      </w:r>
      <w:r>
        <w:rPr>
          <w:sz w:val="24"/>
        </w:rPr>
        <w:t>月</w:t>
      </w:r>
      <w:r>
        <w:rPr>
          <w:sz w:val="24"/>
        </w:rPr>
        <w:t>30</w:t>
      </w:r>
      <w:r>
        <w:rPr>
          <w:sz w:val="24"/>
        </w:rPr>
        <w:t>日</w:t>
      </w:r>
      <w:r>
        <w:rPr>
          <w:sz w:val="24"/>
        </w:rPr>
        <w:t xml:space="preserve"> 15:00</w:t>
      </w:r>
      <w:r>
        <w:rPr>
          <w:sz w:val="24"/>
        </w:rPr>
        <w:t>后提交的本基金申购（含定期定额申购）申请视同</w:t>
      </w:r>
      <w:r>
        <w:rPr>
          <w:sz w:val="24"/>
        </w:rPr>
        <w:t>2026</w:t>
      </w:r>
      <w:r>
        <w:rPr>
          <w:sz w:val="24"/>
        </w:rPr>
        <w:t>年</w:t>
      </w:r>
      <w:r>
        <w:rPr>
          <w:sz w:val="24"/>
        </w:rPr>
        <w:t>3</w:t>
      </w:r>
      <w:r>
        <w:rPr>
          <w:sz w:val="24"/>
        </w:rPr>
        <w:t>月</w:t>
      </w:r>
      <w:r>
        <w:rPr>
          <w:sz w:val="24"/>
        </w:rPr>
        <w:t>31</w:t>
      </w:r>
      <w:r>
        <w:rPr>
          <w:sz w:val="24"/>
        </w:rPr>
        <w:t>日的</w:t>
      </w:r>
      <w:bookmarkStart w:id="3" w:name="OLE_LINK5"/>
      <w:r>
        <w:rPr>
          <w:sz w:val="24"/>
        </w:rPr>
        <w:t>申购（含定期定额申购）</w:t>
      </w:r>
      <w:bookmarkEnd w:id="3"/>
      <w:r>
        <w:rPr>
          <w:sz w:val="24"/>
        </w:rPr>
        <w:t>申请，亦受上述</w:t>
      </w:r>
      <w:r>
        <w:rPr>
          <w:rFonts w:hint="eastAsia"/>
          <w:sz w:val="24"/>
        </w:rPr>
        <w:t>金</w:t>
      </w:r>
      <w:r>
        <w:rPr>
          <w:sz w:val="24"/>
        </w:rPr>
        <w:t>额限制。</w:t>
      </w:r>
    </w:p>
    <w:p w:rsidR="008E45C0" w:rsidRDefault="004252B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如有疑问，请拨打本公司客户服务电话（</w:t>
      </w:r>
      <w:r>
        <w:rPr>
          <w:sz w:val="24"/>
        </w:rPr>
        <w:t>400-818-6666</w:t>
      </w:r>
      <w:r>
        <w:rPr>
          <w:sz w:val="24"/>
        </w:rPr>
        <w:t>）或登录本公司网站（</w:t>
      </w:r>
      <w:r>
        <w:rPr>
          <w:sz w:val="24"/>
        </w:rPr>
        <w:t>www.ChinaAMC.com</w:t>
      </w:r>
      <w:r>
        <w:rPr>
          <w:sz w:val="24"/>
        </w:rPr>
        <w:t>）获取相关信息。</w:t>
      </w:r>
    </w:p>
    <w:p w:rsidR="008E45C0" w:rsidRDefault="004252B4">
      <w:pPr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者基金投资的</w:t>
      </w:r>
      <w:r>
        <w:rPr>
          <w:b/>
          <w:sz w:val="24"/>
        </w:rPr>
        <w:t>“</w:t>
      </w:r>
      <w:r>
        <w:rPr>
          <w:b/>
          <w:sz w:val="24"/>
        </w:rPr>
        <w:t>买者自负</w:t>
      </w:r>
      <w:r>
        <w:rPr>
          <w:b/>
          <w:sz w:val="24"/>
        </w:rPr>
        <w:t>”</w:t>
      </w:r>
      <w:r>
        <w:rPr>
          <w:b/>
          <w:sz w:val="24"/>
        </w:rPr>
        <w:t>原则，在做出投资决策后，基金运营状况与基金净值变化引致的投资风险，由投资者自行负担。投资有风险，投资者在投资本基金之前，请仔细阅读本基金的招募说明书、基金合同和产品资料概要等法律文件，全面认识本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8E45C0" w:rsidRDefault="004252B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特此公告</w:t>
      </w:r>
    </w:p>
    <w:p w:rsidR="008E45C0" w:rsidRDefault="004252B4">
      <w:pPr>
        <w:spacing w:line="360" w:lineRule="auto"/>
        <w:ind w:left="840"/>
        <w:jc w:val="right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/>
          <w:bCs/>
          <w:color w:val="000000" w:themeColor="text1"/>
          <w:sz w:val="24"/>
        </w:rPr>
        <w:lastRenderedPageBreak/>
        <w:t>华夏基金管理有限公司</w:t>
      </w:r>
    </w:p>
    <w:p w:rsidR="008E45C0" w:rsidRDefault="004252B4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二〇二六年三月三十一日</w:t>
      </w:r>
    </w:p>
    <w:sectPr w:rsidR="008E45C0" w:rsidSect="00FE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B4" w:rsidRDefault="004252B4" w:rsidP="00553BD7">
      <w:r>
        <w:separator/>
      </w:r>
    </w:p>
  </w:endnote>
  <w:endnote w:type="continuationSeparator" w:id="0">
    <w:p w:rsidR="004252B4" w:rsidRDefault="004252B4" w:rsidP="00553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B4" w:rsidRDefault="004252B4" w:rsidP="00553BD7">
      <w:r>
        <w:separator/>
      </w:r>
    </w:p>
  </w:footnote>
  <w:footnote w:type="continuationSeparator" w:id="0">
    <w:p w:rsidR="004252B4" w:rsidRDefault="004252B4" w:rsidP="00553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isclosure_Version" w:val="true"/>
  </w:docVars>
  <w:rsids>
    <w:rsidRoot w:val="008F4364"/>
    <w:rsid w:val="00031389"/>
    <w:rsid w:val="000613AA"/>
    <w:rsid w:val="000A082F"/>
    <w:rsid w:val="000E3CEC"/>
    <w:rsid w:val="000F248E"/>
    <w:rsid w:val="001006F2"/>
    <w:rsid w:val="001B1339"/>
    <w:rsid w:val="001E0455"/>
    <w:rsid w:val="001E64A0"/>
    <w:rsid w:val="0020646E"/>
    <w:rsid w:val="00215E4A"/>
    <w:rsid w:val="00234AEF"/>
    <w:rsid w:val="002420BF"/>
    <w:rsid w:val="00255598"/>
    <w:rsid w:val="002A4A78"/>
    <w:rsid w:val="002D6C89"/>
    <w:rsid w:val="002E208A"/>
    <w:rsid w:val="00331B52"/>
    <w:rsid w:val="00363FDE"/>
    <w:rsid w:val="003B7613"/>
    <w:rsid w:val="00421485"/>
    <w:rsid w:val="004252B4"/>
    <w:rsid w:val="00442BDB"/>
    <w:rsid w:val="00470157"/>
    <w:rsid w:val="00470677"/>
    <w:rsid w:val="004860D1"/>
    <w:rsid w:val="00494BAB"/>
    <w:rsid w:val="004C1BBB"/>
    <w:rsid w:val="004D60BB"/>
    <w:rsid w:val="004E5F7A"/>
    <w:rsid w:val="0050548D"/>
    <w:rsid w:val="00545095"/>
    <w:rsid w:val="00553BD7"/>
    <w:rsid w:val="005A283B"/>
    <w:rsid w:val="005C2FDD"/>
    <w:rsid w:val="00600903"/>
    <w:rsid w:val="00633E50"/>
    <w:rsid w:val="0065165E"/>
    <w:rsid w:val="0065288F"/>
    <w:rsid w:val="006545DB"/>
    <w:rsid w:val="00675644"/>
    <w:rsid w:val="006779ED"/>
    <w:rsid w:val="006D4AC0"/>
    <w:rsid w:val="00705710"/>
    <w:rsid w:val="007402FC"/>
    <w:rsid w:val="00741D82"/>
    <w:rsid w:val="007A327A"/>
    <w:rsid w:val="007B1DE7"/>
    <w:rsid w:val="007C6101"/>
    <w:rsid w:val="007E7775"/>
    <w:rsid w:val="008071E5"/>
    <w:rsid w:val="0082333F"/>
    <w:rsid w:val="008376B2"/>
    <w:rsid w:val="00846B46"/>
    <w:rsid w:val="008500F9"/>
    <w:rsid w:val="00882881"/>
    <w:rsid w:val="008E2398"/>
    <w:rsid w:val="008E45C0"/>
    <w:rsid w:val="008F4364"/>
    <w:rsid w:val="00923075"/>
    <w:rsid w:val="00963E82"/>
    <w:rsid w:val="00983FCE"/>
    <w:rsid w:val="0099181A"/>
    <w:rsid w:val="009A309C"/>
    <w:rsid w:val="009B3301"/>
    <w:rsid w:val="009F34DE"/>
    <w:rsid w:val="00A2435B"/>
    <w:rsid w:val="00AD3F9F"/>
    <w:rsid w:val="00B0013D"/>
    <w:rsid w:val="00B54679"/>
    <w:rsid w:val="00B96896"/>
    <w:rsid w:val="00B96A48"/>
    <w:rsid w:val="00B96ED1"/>
    <w:rsid w:val="00C157B3"/>
    <w:rsid w:val="00C24384"/>
    <w:rsid w:val="00C26E89"/>
    <w:rsid w:val="00C37B8A"/>
    <w:rsid w:val="00CD13B7"/>
    <w:rsid w:val="00CF2F90"/>
    <w:rsid w:val="00D350F0"/>
    <w:rsid w:val="00D44EF0"/>
    <w:rsid w:val="00DA4443"/>
    <w:rsid w:val="00DC0E86"/>
    <w:rsid w:val="00DF101C"/>
    <w:rsid w:val="00E34DBF"/>
    <w:rsid w:val="00E46898"/>
    <w:rsid w:val="00EF5E90"/>
    <w:rsid w:val="00F2127E"/>
    <w:rsid w:val="00FB3034"/>
    <w:rsid w:val="00FB45AA"/>
    <w:rsid w:val="00FC1532"/>
    <w:rsid w:val="00FE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D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F436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436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436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436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436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436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436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436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436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4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F4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F4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F4364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F4364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8F4364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F436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F436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F4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F4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F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436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F4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436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character" w:customStyle="1" w:styleId="Char1">
    <w:name w:val="引用 Char"/>
    <w:basedOn w:val="a0"/>
    <w:link w:val="a5"/>
    <w:uiPriority w:val="29"/>
    <w:rsid w:val="008F43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436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character" w:styleId="a7">
    <w:name w:val="Intense Emphasis"/>
    <w:basedOn w:val="a0"/>
    <w:uiPriority w:val="21"/>
    <w:qFormat/>
    <w:rsid w:val="008F436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4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</w:rPr>
  </w:style>
  <w:style w:type="character" w:customStyle="1" w:styleId="Char2">
    <w:name w:val="明显引用 Char"/>
    <w:basedOn w:val="a0"/>
    <w:link w:val="a8"/>
    <w:uiPriority w:val="30"/>
    <w:rsid w:val="008F436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F436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BD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53BD7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53BD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53BD7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D3F9F"/>
    <w:rPr>
      <w:sz w:val="21"/>
      <w:szCs w:val="21"/>
    </w:rPr>
  </w:style>
  <w:style w:type="paragraph" w:styleId="ad">
    <w:name w:val="annotation text"/>
    <w:basedOn w:val="a"/>
    <w:link w:val="Char5"/>
    <w:uiPriority w:val="99"/>
    <w:semiHidden/>
    <w:unhideWhenUsed/>
    <w:rsid w:val="00AD3F9F"/>
    <w:pPr>
      <w:jc w:val="left"/>
    </w:pPr>
  </w:style>
  <w:style w:type="character" w:customStyle="1" w:styleId="Char5">
    <w:name w:val="批注文字 Char"/>
    <w:basedOn w:val="a0"/>
    <w:link w:val="ad"/>
    <w:uiPriority w:val="99"/>
    <w:semiHidden/>
    <w:rsid w:val="00AD3F9F"/>
    <w:rPr>
      <w:rFonts w:ascii="Times New Roman" w:eastAsia="宋体" w:hAnsi="Times New Roman" w:cs="Times New Roman"/>
      <w:sz w:val="21"/>
    </w:rPr>
  </w:style>
  <w:style w:type="character" w:styleId="ae">
    <w:name w:val="Placeholder Text"/>
    <w:basedOn w:val="a0"/>
    <w:uiPriority w:val="99"/>
    <w:semiHidden/>
    <w:rsid w:val="0065288F"/>
    <w:rPr>
      <w:color w:val="auto"/>
    </w:rPr>
  </w:style>
  <w:style w:type="paragraph" w:styleId="af">
    <w:name w:val="Balloon Text"/>
    <w:basedOn w:val="a"/>
    <w:link w:val="Char6"/>
    <w:uiPriority w:val="99"/>
    <w:semiHidden/>
    <w:unhideWhenUsed/>
    <w:rsid w:val="0065288F"/>
    <w:rPr>
      <w:sz w:val="18"/>
      <w:szCs w:val="18"/>
    </w:rPr>
  </w:style>
  <w:style w:type="character" w:customStyle="1" w:styleId="Char6">
    <w:name w:val="批注框文本 Char"/>
    <w:basedOn w:val="a0"/>
    <w:link w:val="af"/>
    <w:uiPriority w:val="99"/>
    <w:semiHidden/>
    <w:rsid w:val="0065288F"/>
    <w:rPr>
      <w:rFonts w:ascii="Times New Roman" w:eastAsia="宋体" w:hAnsi="Times New Roman" w:cs="Times New Roman"/>
      <w:sz w:val="18"/>
      <w:szCs w:val="18"/>
    </w:rPr>
  </w:style>
  <w:style w:type="paragraph" w:styleId="af0">
    <w:name w:val="Revision"/>
    <w:hidden/>
    <w:uiPriority w:val="99"/>
    <w:semiHidden/>
    <w:rsid w:val="004D60BB"/>
    <w:pPr>
      <w:spacing w:after="0" w:line="240" w:lineRule="auto"/>
    </w:pPr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4</DocSecurity>
  <Lines>6</Lines>
  <Paragraphs>1</Paragraphs>
  <ScaleCrop>false</ScaleCrop>
  <Company>shenduxitong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2026-03-30T16:07:00Z</dcterms:created>
  <dcterms:modified xsi:type="dcterms:W3CDTF">2026-03-30T16:07:00Z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daa3624c-7679-479f-a890-f7ac2ab1f563</vt:lpwstr>
  </property>
</Properties>
</file>