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A0" w:rsidRPr="00AC709B" w:rsidRDefault="007005A0" w:rsidP="007005A0">
      <w:pPr>
        <w:autoSpaceDE w:val="0"/>
        <w:autoSpaceDN w:val="0"/>
        <w:adjustRightInd w:val="0"/>
        <w:spacing w:before="100" w:beforeAutospacing="1" w:line="360" w:lineRule="auto"/>
        <w:jc w:val="center"/>
        <w:rPr>
          <w:rFonts w:ascii="微软雅黑" w:eastAsia="微软雅黑" w:hAnsi="微软雅黑" w:cs="宋体"/>
          <w:b/>
          <w:bCs/>
          <w:color w:val="000000" w:themeColor="text1"/>
          <w:kern w:val="36"/>
          <w:sz w:val="24"/>
          <w:szCs w:val="24"/>
        </w:rPr>
      </w:pPr>
      <w:bookmarkStart w:id="0" w:name="_GoBack"/>
      <w:bookmarkEnd w:id="0"/>
      <w:r w:rsidRPr="00AC709B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宏利基金管理有限公司关于旗下部分基金新增</w:t>
      </w:r>
      <w:r w:rsidR="00203691" w:rsidRPr="00AC709B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易方达财富管理基金销售（广州）有限公司</w:t>
      </w:r>
      <w:r w:rsidRPr="00AC709B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为销售机构并参加其申购（含定期定额投资申购）费率优惠活动的公告</w:t>
      </w:r>
    </w:p>
    <w:p w:rsidR="007005A0" w:rsidRPr="00B66B1C" w:rsidRDefault="007005A0" w:rsidP="007005A0">
      <w:pPr>
        <w:autoSpaceDE w:val="0"/>
        <w:autoSpaceDN w:val="0"/>
        <w:adjustRightInd w:val="0"/>
        <w:spacing w:before="100" w:beforeAutospacing="1" w:line="360" w:lineRule="auto"/>
        <w:ind w:firstLine="465"/>
        <w:rPr>
          <w:rFonts w:ascii="宋体" w:hAnsi="宋体" w:cs="宋体"/>
          <w:color w:val="000000" w:themeColor="text1"/>
          <w:kern w:val="0"/>
          <w:szCs w:val="21"/>
        </w:rPr>
      </w:pP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根据宏利基金管理有限公司（以下简称“本公司”）与</w:t>
      </w:r>
      <w:r w:rsidR="00BD5B0E" w:rsidRPr="00BD5B0E">
        <w:rPr>
          <w:rFonts w:ascii="宋体" w:hAnsi="宋体" w:cs="宋体" w:hint="eastAsia"/>
          <w:color w:val="000000" w:themeColor="text1"/>
          <w:kern w:val="0"/>
          <w:szCs w:val="21"/>
        </w:rPr>
        <w:t>易方达财富管理基金销售（广州）有限公司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（以下简称“</w:t>
      </w:r>
      <w:r w:rsidR="00BD5B0E">
        <w:rPr>
          <w:rFonts w:ascii="宋体" w:hAnsi="宋体" w:hint="eastAsia"/>
          <w:color w:val="000000" w:themeColor="text1"/>
        </w:rPr>
        <w:t>易方达财富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”）签订的基金销售协议，自</w:t>
      </w:r>
      <w:r w:rsidR="009279E5" w:rsidRPr="00B66B1C">
        <w:rPr>
          <w:rFonts w:ascii="宋体" w:hAnsi="宋体" w:cs="宋体" w:hint="eastAsia"/>
          <w:color w:val="000000" w:themeColor="text1"/>
          <w:kern w:val="0"/>
          <w:szCs w:val="21"/>
        </w:rPr>
        <w:t>202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6</w:t>
      </w:r>
      <w:r w:rsidR="009279E5" w:rsidRPr="00B66B1C"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4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1</w:t>
      </w:r>
      <w:r w:rsidR="00A154B1">
        <w:rPr>
          <w:rFonts w:ascii="宋体" w:hAnsi="宋体" w:cs="宋体" w:hint="eastAsia"/>
          <w:color w:val="000000" w:themeColor="text1"/>
          <w:kern w:val="0"/>
          <w:szCs w:val="21"/>
        </w:rPr>
        <w:t>日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起，投资者可以通过</w:t>
      </w:r>
      <w:r w:rsidR="00BD5B0E">
        <w:rPr>
          <w:rFonts w:ascii="宋体" w:hAnsi="宋体" w:hint="eastAsia"/>
          <w:color w:val="000000" w:themeColor="text1"/>
        </w:rPr>
        <w:t>易方达财富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交易系统办理下列基金的开户、申购、赎回、定期定额投资等业务。同时，自</w:t>
      </w:r>
      <w:r w:rsidR="009279E5" w:rsidRPr="00B66B1C">
        <w:rPr>
          <w:rFonts w:ascii="宋体" w:hAnsi="宋体" w:cs="宋体" w:hint="eastAsia"/>
          <w:color w:val="000000" w:themeColor="text1"/>
          <w:kern w:val="0"/>
          <w:szCs w:val="21"/>
        </w:rPr>
        <w:t>2</w:t>
      </w:r>
      <w:r w:rsidR="009279E5" w:rsidRPr="00B66B1C">
        <w:rPr>
          <w:rFonts w:ascii="宋体" w:hAnsi="宋体" w:cs="宋体"/>
          <w:color w:val="000000" w:themeColor="text1"/>
          <w:kern w:val="0"/>
          <w:szCs w:val="21"/>
        </w:rPr>
        <w:t>02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6</w:t>
      </w:r>
      <w:r w:rsidR="009279E5" w:rsidRPr="00B66B1C"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4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1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日起，旗下部分基金参加其费率优惠活动,现将具体情况公告如下：</w:t>
      </w:r>
    </w:p>
    <w:p w:rsidR="007005A0" w:rsidRDefault="007005A0" w:rsidP="00FC5887">
      <w:pPr>
        <w:pStyle w:val="a3"/>
        <w:numPr>
          <w:ilvl w:val="0"/>
          <w:numId w:val="1"/>
        </w:numPr>
        <w:spacing w:beforeLines="50" w:line="360" w:lineRule="auto"/>
        <w:ind w:firstLineChars="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新增销售机构销售基金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6237"/>
        <w:gridCol w:w="1276"/>
      </w:tblGrid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基金代码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宏利淘利债券型证券投资基金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000319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宏利淘利债券型证券投资基金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000320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宏利宏达混合型证券投资基金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000507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宏利宏达混合型证券投资基金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B类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000508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</w:t>
            </w: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转型机遇股票型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000828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</w:t>
            </w: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转型机遇股票型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012800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宏利改革动力量化策略灵活配置混合型证券投资基金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001017</w:t>
            </w:r>
          </w:p>
        </w:tc>
      </w:tr>
      <w:tr w:rsidR="000B4F8B" w:rsidRPr="00594495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宏利改革动力量化策略灵活配置混合型证券投资基金C</w:t>
            </w: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003550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宏利复兴伟业灵活配置混合型证券投资基金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001170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宏利复兴伟业灵活配置混合型证券投资基金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017612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宏利新起点灵活配置混合型证券投资基金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001254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宏利新起点灵活配置混合型证券投资基金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B类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002313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宏利蓝筹价值混合型证券投资基金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001267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宏利创益灵活配置混合型证券投资基金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001418</w:t>
            </w:r>
          </w:p>
        </w:tc>
      </w:tr>
      <w:tr w:rsidR="000B4F8B" w:rsidRPr="00A5461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宏利创益灵活配置混合型证券投资基金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B类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002273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宏利汇利债券型证券投资基金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003073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宏利汇利债券型证券投资基金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003074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6315C">
              <w:rPr>
                <w:rFonts w:ascii="宋体" w:hAnsi="宋体" w:hint="eastAsia"/>
                <w:color w:val="000000" w:themeColor="text1"/>
                <w:szCs w:val="21"/>
              </w:rPr>
              <w:t>宏利睿智稳健灵活配置混合型证券投资基金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003501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6315C">
              <w:rPr>
                <w:rFonts w:ascii="宋体" w:hAnsi="宋体" w:hint="eastAsia"/>
                <w:color w:val="000000" w:themeColor="text1"/>
                <w:szCs w:val="21"/>
              </w:rPr>
              <w:t>宏利睿智稳健灵活配置混合型证券投资基金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013280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宏利纯利债券型证券投资基金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003767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宏利纯利债券型证券投</w:t>
            </w:r>
            <w:r w:rsidR="007429E4" w:rsidRPr="00710CD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资基金</w:t>
            </w:r>
            <w:r w:rsidR="007429E4" w:rsidRPr="00710CDF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003768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宏利溢利债券型证券投资基金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003793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宏利溢利债券型证券投资基金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003794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宏利恒利债券型证券投资基金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004001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宏利恒利债券型证券投资基金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004002</w:t>
            </w:r>
          </w:p>
        </w:tc>
      </w:tr>
      <w:tr w:rsidR="000B4F8B" w:rsidRPr="003F696D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宏利全能优选</w:t>
            </w:r>
            <w:r w:rsidR="00443F0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混合型基金中基金</w:t>
            </w: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FOF）A类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005221</w:t>
            </w:r>
          </w:p>
        </w:tc>
      </w:tr>
      <w:tr w:rsidR="000B4F8B" w:rsidRPr="003F696D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宏利全能优选</w:t>
            </w:r>
            <w:r w:rsidR="00443F0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混合型基金中基金</w:t>
            </w: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FOF）C类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005222</w:t>
            </w:r>
          </w:p>
        </w:tc>
      </w:tr>
      <w:tr w:rsidR="000B4F8B" w:rsidRPr="0081023F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443F06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</w:t>
            </w:r>
            <w:r w:rsidR="000B4F8B"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绩优增长灵活配置混合型证券投资基金</w:t>
            </w:r>
            <w:r w:rsidR="000B4F8B"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005903</w:t>
            </w:r>
          </w:p>
        </w:tc>
      </w:tr>
      <w:tr w:rsidR="000B4F8B" w:rsidRPr="0081023F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443F06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</w:t>
            </w:r>
            <w:r w:rsidR="000B4F8B"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绩优增长灵活配置混合型证券投资基金</w:t>
            </w:r>
            <w:r w:rsidR="000B4F8B"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015576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color w:val="000000" w:themeColor="text1"/>
                <w:szCs w:val="21"/>
              </w:rPr>
              <w:t>宏利印度机会股票型证券投资基金（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QDII）A类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kern w:val="0"/>
                <w:szCs w:val="21"/>
              </w:rPr>
              <w:t>006105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宏利永利债券型证券投资基金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007640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宏利消费行业量化精选混合型证券投资基金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</w:rPr>
              <w:t>008353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宏利消费行业量化精选混合型证券投资基金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</w:rPr>
              <w:t>008354</w:t>
            </w:r>
          </w:p>
        </w:tc>
      </w:tr>
      <w:tr w:rsidR="00D54782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82" w:rsidRPr="00C6315C" w:rsidRDefault="00D54782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82" w:rsidRPr="00C6315C" w:rsidRDefault="00D54782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宏利中证主要消费红利指数型证券投资基金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82" w:rsidRPr="00C6315C" w:rsidRDefault="00D54782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</w:rPr>
              <w:t>008928</w:t>
            </w:r>
          </w:p>
        </w:tc>
      </w:tr>
      <w:tr w:rsidR="00D54782" w:rsidRPr="00DD369C" w:rsidTr="00BC5C63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82" w:rsidRPr="000B4F8B" w:rsidRDefault="00D54782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82" w:rsidRPr="000B4F8B" w:rsidRDefault="00D54782" w:rsidP="00247F5F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6A3406">
              <w:rPr>
                <w:rFonts w:ascii="宋体" w:hAnsi="宋体" w:hint="eastAsia"/>
                <w:bCs/>
                <w:color w:val="000000" w:themeColor="text1"/>
                <w:szCs w:val="21"/>
              </w:rPr>
              <w:t>宏利中证主要消费红利指数型证券投资基金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82" w:rsidRPr="000B4F8B" w:rsidRDefault="00D54782" w:rsidP="00247F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hAnsi="宋体"/>
                <w:color w:val="000000" w:themeColor="text1"/>
                <w:szCs w:val="21"/>
              </w:rPr>
              <w:t>08929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宏利价值长青混合型证券投资基金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A</w:t>
            </w:r>
            <w:r w:rsidRPr="00C6315C"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</w:rPr>
              <w:t>009141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宏利价值长青混合型证券投资基金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</w:rPr>
              <w:t>009142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宏利乐盈</w:t>
            </w:r>
            <w:r w:rsidRPr="00C6315C">
              <w:rPr>
                <w:rFonts w:ascii="宋体" w:hAnsi="宋体"/>
                <w:bCs/>
                <w:color w:val="000000" w:themeColor="text1"/>
                <w:szCs w:val="21"/>
              </w:rPr>
              <w:t>66个月</w:t>
            </w: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定期开放债券型证券投资基金</w:t>
            </w:r>
            <w:r w:rsidRPr="00C6315C"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bCs/>
                <w:color w:val="000000" w:themeColor="text1"/>
                <w:szCs w:val="21"/>
              </w:rPr>
              <w:t>009814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宏利乐盈</w:t>
            </w:r>
            <w:r w:rsidRPr="00C6315C">
              <w:rPr>
                <w:rFonts w:ascii="宋体" w:hAnsi="宋体"/>
                <w:bCs/>
                <w:color w:val="000000" w:themeColor="text1"/>
                <w:szCs w:val="21"/>
              </w:rPr>
              <w:t>66个月</w:t>
            </w: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定期开放债券型证券投资基金</w:t>
            </w:r>
            <w:r w:rsidRPr="00C6315C"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009815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宏利高研发</w:t>
            </w:r>
            <w:r w:rsidRPr="00C6315C">
              <w:rPr>
                <w:rFonts w:ascii="宋体" w:hAnsi="宋体"/>
                <w:bCs/>
                <w:color w:val="000000" w:themeColor="text1"/>
                <w:szCs w:val="21"/>
              </w:rPr>
              <w:t>创新6个月持有期</w:t>
            </w: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A</w:t>
            </w:r>
            <w:r w:rsidRPr="00C6315C"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</w:rPr>
              <w:t>010135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宏利高研发</w:t>
            </w:r>
            <w:r w:rsidRPr="00C6315C">
              <w:rPr>
                <w:rFonts w:ascii="宋体" w:hAnsi="宋体"/>
                <w:bCs/>
                <w:color w:val="000000" w:themeColor="text1"/>
                <w:szCs w:val="21"/>
              </w:rPr>
              <w:t>创新6个月持有期</w:t>
            </w:r>
            <w:r w:rsidRPr="00C6315C">
              <w:rPr>
                <w:rFonts w:ascii="宋体" w:hAnsi="宋体" w:hint="eastAsia"/>
                <w:bCs/>
                <w:color w:val="000000" w:themeColor="text1"/>
                <w:szCs w:val="21"/>
              </w:rPr>
              <w:t>混合型证券投资基金</w:t>
            </w:r>
            <w:r w:rsidRPr="00C6315C">
              <w:rPr>
                <w:rFonts w:ascii="宋体" w:hAnsi="宋体"/>
                <w:color w:val="000000" w:themeColor="text1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/>
                <w:color w:val="000000" w:themeColor="text1"/>
                <w:szCs w:val="21"/>
              </w:rPr>
              <w:t>010136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宏利波控回报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12个月持有期混合型证券投资基金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B4F8B">
              <w:rPr>
                <w:rFonts w:ascii="宋体" w:hAnsi="宋体"/>
                <w:bCs/>
                <w:color w:val="000000" w:themeColor="text1"/>
                <w:szCs w:val="21"/>
              </w:rPr>
              <w:t>010845</w:t>
            </w:r>
          </w:p>
        </w:tc>
      </w:tr>
      <w:tr w:rsidR="000B4F8B" w:rsidRPr="002E64F6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宏利中债1-5年国开行债券指数证券投资基金A类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011234</w:t>
            </w:r>
          </w:p>
        </w:tc>
      </w:tr>
      <w:tr w:rsidR="000B4F8B" w:rsidRPr="002E64F6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宏利中债1-5年国开行债券指数证券投资基金C类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011235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宏利消费服务混合型证券投资基金A类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011431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宏利消费服务混合型证券投资基金C类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011432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宏利新能源股票型证券投资基金A类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012126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宏利新能源股票型证券投资基金C类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012127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宏利新兴景气龙头混合型证券投资基金A类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012382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宏利新兴景气龙头混合型证券投资基金C类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012383</w:t>
            </w:r>
          </w:p>
        </w:tc>
      </w:tr>
      <w:tr w:rsidR="000B4F8B" w:rsidRPr="0081023F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宏利中短债债券型证券投资基金</w:t>
            </w: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012384</w:t>
            </w:r>
          </w:p>
        </w:tc>
      </w:tr>
      <w:tr w:rsidR="000B4F8B" w:rsidRPr="0081023F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宏利中短债债券型证券投资基金</w:t>
            </w: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012385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C6315C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微软雅黑"/>
                <w:szCs w:val="21"/>
              </w:rPr>
              <w:t>宏利悠然混合型基金中基金(FOF)</w:t>
            </w:r>
            <w:r w:rsidRPr="009279E5">
              <w:rPr>
                <w:rFonts w:ascii="宋体" w:hAnsi="宋体" w:cs="微软雅黑" w:hint="eastAsia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013245</w:t>
            </w:r>
          </w:p>
        </w:tc>
      </w:tr>
      <w:tr w:rsidR="000B4F8B" w:rsidRPr="00756CEE" w:rsidTr="00247F5F">
        <w:trPr>
          <w:trHeight w:val="30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9279E5" w:rsidRDefault="000B4F8B" w:rsidP="003277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79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</w:t>
            </w:r>
            <w:r w:rsidR="00D0357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悠享</w:t>
            </w:r>
            <w:r w:rsidRPr="009279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养老目标</w:t>
            </w:r>
            <w:r w:rsidR="00D0357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日期</w:t>
            </w:r>
            <w:r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2030</w:t>
            </w:r>
            <w:r w:rsidRPr="009279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一年持有期混合型基金中基金</w:t>
            </w:r>
            <w:r w:rsidR="00C6315C" w:rsidRPr="009279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 w:rsidR="00C6315C"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FOF</w:t>
            </w:r>
            <w:r w:rsidR="00C6315C" w:rsidRPr="009279E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</w:t>
            </w:r>
            <w:r w:rsidR="00C6315C" w:rsidRPr="009279E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0B4F8B" w:rsidRDefault="000B4F8B" w:rsidP="00247F5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B4F8B">
              <w:rPr>
                <w:rFonts w:ascii="宋体" w:hAnsi="宋体"/>
                <w:szCs w:val="21"/>
              </w:rPr>
              <w:t>013246</w:t>
            </w:r>
          </w:p>
        </w:tc>
      </w:tr>
      <w:tr w:rsidR="000B4F8B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宏利先进制造股票型证券投资基金A类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014299</w:t>
            </w:r>
          </w:p>
        </w:tc>
      </w:tr>
      <w:tr w:rsidR="000B4F8B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宏利先进制造股票型证券投资基金C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014300</w:t>
            </w:r>
          </w:p>
        </w:tc>
      </w:tr>
      <w:tr w:rsidR="000B4F8B" w:rsidRPr="0081023F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宏利景气智选18个月持有期混合型证券投资基金A类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014807</w:t>
            </w:r>
          </w:p>
        </w:tc>
      </w:tr>
      <w:tr w:rsidR="000B4F8B" w:rsidRPr="002E64F6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宏利景气智选18个月持有期混合型证券投资基金C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014808</w:t>
            </w:r>
          </w:p>
        </w:tc>
      </w:tr>
      <w:tr w:rsidR="000B4F8B" w:rsidRPr="00FD1C95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宏利睿智成长混合型证券投资基金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020267</w:t>
            </w:r>
          </w:p>
        </w:tc>
      </w:tr>
      <w:tr w:rsidR="000B4F8B" w:rsidRPr="00FD1C95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宏利睿智成长混合型证券投资基金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020268</w:t>
            </w:r>
          </w:p>
        </w:tc>
      </w:tr>
      <w:tr w:rsidR="000B4F8B" w:rsidRPr="006048B5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微软雅黑" w:hint="eastAsia"/>
                <w:szCs w:val="21"/>
              </w:rPr>
              <w:t>宏利中债</w:t>
            </w:r>
            <w:r w:rsidRPr="00CE5F82">
              <w:rPr>
                <w:rFonts w:ascii="宋体" w:hAnsi="宋体" w:cs="微软雅黑"/>
                <w:szCs w:val="21"/>
              </w:rPr>
              <w:t>-绿色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普惠主题金融债券优选指数证券投资基</w:t>
            </w:r>
            <w:r w:rsidRPr="00CE5F82">
              <w:rPr>
                <w:rFonts w:ascii="宋体" w:hAnsi="宋体" w:cs="微软雅黑" w:hint="eastAsia"/>
                <w:szCs w:val="21"/>
              </w:rPr>
              <w:t>金</w:t>
            </w:r>
            <w:r w:rsidR="00DB7E47" w:rsidRPr="00CE5F82">
              <w:rPr>
                <w:rFonts w:ascii="宋体" w:hAnsi="宋体" w:cs="微软雅黑" w:hint="eastAsia"/>
                <w:szCs w:val="21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微软雅黑"/>
                <w:szCs w:val="21"/>
              </w:rPr>
              <w:t>021269</w:t>
            </w:r>
          </w:p>
        </w:tc>
      </w:tr>
      <w:tr w:rsidR="000B4F8B" w:rsidRPr="006048B5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微软雅黑" w:hint="eastAsia"/>
                <w:szCs w:val="21"/>
              </w:rPr>
              <w:t>宏利中债</w:t>
            </w:r>
            <w:r w:rsidRPr="00CE5F82">
              <w:rPr>
                <w:rFonts w:ascii="宋体" w:hAnsi="宋体" w:cs="微软雅黑"/>
                <w:szCs w:val="21"/>
              </w:rPr>
              <w:t>-绿色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普惠主题金融债券优选指数证券投资基</w:t>
            </w:r>
            <w:r w:rsidRPr="00CE5F82">
              <w:rPr>
                <w:rFonts w:ascii="宋体" w:hAnsi="宋体" w:cs="微软雅黑" w:hint="eastAsia"/>
                <w:szCs w:val="21"/>
              </w:rPr>
              <w:t>金</w:t>
            </w:r>
            <w:r w:rsidR="00DB7E47" w:rsidRPr="00CE5F82">
              <w:rPr>
                <w:rFonts w:ascii="宋体" w:hAnsi="宋体" w:cs="微软雅黑" w:hint="eastAsia"/>
                <w:szCs w:val="21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微软雅黑"/>
                <w:szCs w:val="21"/>
              </w:rPr>
              <w:t>021270</w:t>
            </w:r>
          </w:p>
        </w:tc>
      </w:tr>
      <w:tr w:rsidR="000B4F8B" w:rsidRPr="0048614A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宏利鼎森稳健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3个月持有期混合型基金中基金（FOF）A类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024057</w:t>
            </w:r>
          </w:p>
        </w:tc>
      </w:tr>
      <w:tr w:rsidR="000B4F8B" w:rsidRPr="0048614A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宏利鼎森稳健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3个月持有期混合型基金中基金（FOF）C类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024058</w:t>
            </w:r>
          </w:p>
        </w:tc>
      </w:tr>
      <w:tr w:rsidR="000B4F8B" w:rsidRPr="0089384F" w:rsidTr="00247F5F">
        <w:trPr>
          <w:trHeight w:val="300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宏利嘉利债券型证券投资基金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024128</w:t>
            </w:r>
          </w:p>
        </w:tc>
      </w:tr>
      <w:tr w:rsidR="000B4F8B" w:rsidRPr="0089384F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宏利嘉利债券型证券投资基金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024129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宏利价值优化型成长类行业混合型证券投资基金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162201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宏利价值优化型周期类行业混合型证券投资基金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162202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宏利价值优化型稳定类行业混合型证券投资基金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162203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宏利行业精选混合型证券投资基金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162204</w:t>
            </w:r>
          </w:p>
        </w:tc>
      </w:tr>
      <w:tr w:rsidR="000B4F8B" w:rsidRPr="00921803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宏利行业精选混合型证券投资基金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015601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宏利风险预算混合型证券投资基金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162205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宏利首选企业股票型证券投资基金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162208</w:t>
            </w:r>
          </w:p>
        </w:tc>
      </w:tr>
      <w:tr w:rsidR="000B4F8B" w:rsidRPr="00956D60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宏利首选企业股票型证券投资基金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017289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宏利市值优选混合型证券投资基金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162209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宏利市值优选混合型证券投资基金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021062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宏利集利债券型证券投资基金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162210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宏利集利债券型证券投资基金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162299</w:t>
            </w:r>
          </w:p>
        </w:tc>
      </w:tr>
      <w:tr w:rsidR="000B4F8B" w:rsidRPr="00DD369C" w:rsidTr="00247F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宏利红利先锋混合型证券投资基金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162212</w:t>
            </w:r>
          </w:p>
        </w:tc>
      </w:tr>
      <w:tr w:rsidR="000B4F8B" w:rsidRPr="00921803" w:rsidTr="00247F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宏利红利先锋混合型证券投资基金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015619</w:t>
            </w:r>
          </w:p>
        </w:tc>
      </w:tr>
      <w:tr w:rsidR="009279E5" w:rsidRPr="00DD369C" w:rsidTr="00247F5F">
        <w:trPr>
          <w:trHeight w:val="30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E5" w:rsidRPr="00CE5F82" w:rsidRDefault="009279E5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E5" w:rsidRPr="00CE5F82" w:rsidRDefault="009279E5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宏利沪深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300指数增强型证券投资基金A类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E5" w:rsidRPr="00CE5F82" w:rsidRDefault="009279E5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162213</w:t>
            </w:r>
          </w:p>
        </w:tc>
      </w:tr>
      <w:tr w:rsidR="009279E5" w:rsidRPr="00DD369C" w:rsidTr="00100D40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E5" w:rsidRPr="00CE5F82" w:rsidRDefault="009279E5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E5" w:rsidRPr="00CE5F82" w:rsidRDefault="009279E5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微软雅黑"/>
                <w:szCs w:val="21"/>
              </w:rPr>
              <w:t>宏利沪深300指数增强型证券投资基金</w:t>
            </w:r>
            <w:r w:rsidRPr="00CE5F82">
              <w:rPr>
                <w:rFonts w:ascii="宋体" w:hAnsi="宋体" w:cs="微软雅黑" w:hint="eastAsia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E5" w:rsidRPr="00CE5F82" w:rsidRDefault="009279E5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03548</w:t>
            </w:r>
          </w:p>
        </w:tc>
      </w:tr>
      <w:tr w:rsidR="000B4F8B" w:rsidRPr="0081023F" w:rsidTr="00247F5F">
        <w:trPr>
          <w:trHeight w:val="3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宏利领先中小盘混合型证券投资基金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162214</w:t>
            </w:r>
          </w:p>
        </w:tc>
      </w:tr>
      <w:tr w:rsidR="000B4F8B" w:rsidRPr="0081023F" w:rsidTr="00247F5F">
        <w:trPr>
          <w:trHeight w:val="30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宏利医药健康混合型发起式证券投资基金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018551</w:t>
            </w:r>
          </w:p>
        </w:tc>
      </w:tr>
      <w:tr w:rsidR="000B4F8B" w:rsidRPr="0081023F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宏利医药健康混合型发起式证券投资基金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018552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宏利价值驱动六个月持有期混合型证券投资基金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020269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宏利价值驱动六个月持有期混合型证券投资基金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020270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宏利半导体产业混合型发起式证券投资基金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021510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宏利半导体产业混合型发起式证券投资基金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021511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宏利鑫享90天持有期债券型证券投资基金A类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022012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宏利鑫享90天持有期债券型证券投资基金C类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022013</w:t>
            </w:r>
          </w:p>
        </w:tc>
      </w:tr>
      <w:tr w:rsidR="000B4F8B" w:rsidRPr="0081023F" w:rsidTr="00247F5F">
        <w:trPr>
          <w:trHeight w:val="3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宏利逆向策略混合型证券投资基金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229002</w:t>
            </w:r>
          </w:p>
        </w:tc>
      </w:tr>
      <w:tr w:rsidR="000B4F8B" w:rsidRPr="0081023F" w:rsidTr="00247F5F">
        <w:trPr>
          <w:trHeight w:val="30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宏利高端装备股票型证券投资基金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A 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DB7E47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022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32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7</w:t>
            </w:r>
          </w:p>
        </w:tc>
      </w:tr>
      <w:tr w:rsidR="000B4F8B" w:rsidRPr="0081023F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宏利高端装备股票型证券投资基金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C 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0223</w:t>
            </w:r>
            <w:r w:rsidR="00DB7E47"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8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宏利中证A500指数增强型证券投资基金A类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022817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宏利中证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A500指数增强型证券投资基金C类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E5F82" w:rsidRDefault="00DB7E47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0228</w:t>
            </w:r>
            <w:r w:rsidRPr="00CE5F8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CE5F82">
              <w:rPr>
                <w:rFonts w:ascii="宋体" w:hAnsi="宋体" w:cs="宋体"/>
                <w:color w:val="000000" w:themeColor="text1"/>
                <w:kern w:val="0"/>
                <w:szCs w:val="21"/>
              </w:rPr>
              <w:t>8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宏利悦利利率债债券型证券投资基金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023258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宏利悦利利率债债券型证券投资基金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023259</w:t>
            </w:r>
          </w:p>
        </w:tc>
      </w:tr>
      <w:tr w:rsidR="00A36461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1" w:rsidRPr="00C6315C" w:rsidRDefault="00A36461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1" w:rsidRPr="00C6315C" w:rsidRDefault="00A36461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宏利中证A50指数增强型证券投资基金A类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1" w:rsidRPr="00C6315C" w:rsidRDefault="00A36461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023418</w:t>
            </w:r>
          </w:p>
        </w:tc>
      </w:tr>
      <w:tr w:rsidR="00A36461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1" w:rsidRPr="00C6315C" w:rsidRDefault="00A36461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1" w:rsidRPr="00C6315C" w:rsidRDefault="00A36461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宏利中证A50指数增强型证券投资基金C类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1" w:rsidRPr="00C6315C" w:rsidRDefault="00A36461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023419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宏利睿智领航混合型证券投资基金A类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024461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宏利睿智领航混合型证券投资基金C类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024498</w:t>
            </w:r>
          </w:p>
        </w:tc>
      </w:tr>
      <w:tr w:rsidR="000B4F8B" w:rsidTr="00247F5F">
        <w:trPr>
          <w:trHeight w:val="301"/>
        </w:trPr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宏利集享债券型证券投资基金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A类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024962</w:t>
            </w:r>
          </w:p>
        </w:tc>
      </w:tr>
      <w:tr w:rsidR="000B4F8B" w:rsidTr="00C6315C">
        <w:trPr>
          <w:trHeight w:val="30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0B4F8B">
            <w:pPr>
              <w:widowControl/>
              <w:numPr>
                <w:ilvl w:val="0"/>
                <w:numId w:val="3"/>
              </w:numPr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宏利集享债券型证券投资基金</w:t>
            </w: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C类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8B" w:rsidRPr="00C6315C" w:rsidRDefault="000B4F8B" w:rsidP="00247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6315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024963</w:t>
            </w:r>
          </w:p>
        </w:tc>
      </w:tr>
    </w:tbl>
    <w:p w:rsidR="007005A0" w:rsidRPr="00B66B1C" w:rsidRDefault="007005A0" w:rsidP="007005A0">
      <w:pPr>
        <w:spacing w:before="100" w:beforeAutospacing="1"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投资者在</w:t>
      </w:r>
      <w:r w:rsidR="00822AFD">
        <w:rPr>
          <w:rFonts w:ascii="宋体" w:hAnsi="宋体" w:hint="eastAsia"/>
          <w:color w:val="000000" w:themeColor="text1"/>
        </w:rPr>
        <w:t>易方达财富</w:t>
      </w:r>
      <w:r w:rsidRPr="00B66B1C">
        <w:rPr>
          <w:rFonts w:ascii="宋体" w:hAnsi="宋体" w:hint="eastAsia"/>
          <w:color w:val="000000" w:themeColor="text1"/>
          <w:szCs w:val="21"/>
        </w:rPr>
        <w:t>办理上述基金开户、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申购</w:t>
      </w:r>
      <w:r w:rsidRPr="00B66B1C">
        <w:rPr>
          <w:rFonts w:ascii="宋体" w:hAnsi="宋体" w:hint="eastAsia"/>
          <w:color w:val="000000" w:themeColor="text1"/>
          <w:szCs w:val="21"/>
        </w:rPr>
        <w:t>、赎回、定期定额投资等业务应了解该基金具体业务开通情况，具体可以登陆本公司网站查询相关基金公告。</w:t>
      </w:r>
    </w:p>
    <w:p w:rsidR="007005A0" w:rsidRPr="00B66B1C" w:rsidRDefault="007005A0" w:rsidP="00FC5887">
      <w:pPr>
        <w:pStyle w:val="a3"/>
        <w:numPr>
          <w:ilvl w:val="0"/>
          <w:numId w:val="1"/>
        </w:numPr>
        <w:spacing w:beforeLines="50" w:line="360" w:lineRule="auto"/>
        <w:ind w:firstLineChars="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费率优惠适用范围</w:t>
      </w:r>
    </w:p>
    <w:p w:rsidR="007005A0" w:rsidRPr="00B66B1C" w:rsidRDefault="007005A0" w:rsidP="007005A0">
      <w:pPr>
        <w:spacing w:line="360" w:lineRule="auto"/>
        <w:ind w:firstLineChars="200" w:firstLine="420"/>
        <w:rPr>
          <w:rFonts w:ascii="宋体" w:hAnsi="宋体" w:cstheme="minorBidi"/>
          <w:color w:val="000000" w:themeColor="text1"/>
          <w:szCs w:val="21"/>
        </w:rPr>
      </w:pPr>
      <w:r w:rsidRPr="00B66B1C">
        <w:rPr>
          <w:rFonts w:ascii="宋体" w:hAnsi="宋体" w:cstheme="minorBidi" w:hint="eastAsia"/>
          <w:color w:val="000000" w:themeColor="text1"/>
          <w:szCs w:val="21"/>
        </w:rPr>
        <w:t>费</w:t>
      </w:r>
      <w:r w:rsidRPr="00B66B1C">
        <w:rPr>
          <w:rFonts w:ascii="宋体" w:hAnsi="宋体" w:cstheme="minorBidi"/>
          <w:color w:val="000000" w:themeColor="text1"/>
          <w:szCs w:val="21"/>
        </w:rPr>
        <w:t>率优惠适用</w:t>
      </w:r>
      <w:r w:rsidRPr="00B66B1C">
        <w:rPr>
          <w:rFonts w:ascii="宋体" w:hAnsi="宋体" w:cstheme="minorBidi" w:hint="eastAsia"/>
          <w:color w:val="000000" w:themeColor="text1"/>
          <w:szCs w:val="21"/>
        </w:rPr>
        <w:t>于</w:t>
      </w:r>
      <w:bookmarkStart w:id="1" w:name="_Hlk223969099"/>
      <w:r w:rsidR="001711ED">
        <w:rPr>
          <w:rFonts w:ascii="宋体" w:hAnsi="宋体" w:hint="eastAsia"/>
          <w:color w:val="000000" w:themeColor="text1"/>
        </w:rPr>
        <w:t>易方达财富</w:t>
      </w:r>
      <w:bookmarkEnd w:id="1"/>
      <w:r w:rsidRPr="00B66B1C">
        <w:rPr>
          <w:rFonts w:ascii="宋体" w:hAnsi="宋体" w:cstheme="minorBidi" w:hint="eastAsia"/>
          <w:color w:val="000000" w:themeColor="text1"/>
          <w:szCs w:val="21"/>
        </w:rPr>
        <w:t>代销的本公司基金产品，具体</w:t>
      </w:r>
      <w:r w:rsidRPr="00B66B1C">
        <w:rPr>
          <w:rFonts w:ascii="宋体" w:hAnsi="宋体" w:cstheme="minorBidi"/>
          <w:color w:val="000000" w:themeColor="text1"/>
          <w:szCs w:val="21"/>
        </w:rPr>
        <w:t>范围可见本公司官网</w:t>
      </w:r>
      <w:r w:rsidRPr="00B66B1C">
        <w:rPr>
          <w:rFonts w:ascii="宋体" w:hAnsi="宋体" w:cstheme="minorBidi" w:hint="eastAsia"/>
          <w:color w:val="000000" w:themeColor="text1"/>
          <w:szCs w:val="21"/>
        </w:rPr>
        <w:t>已</w:t>
      </w:r>
      <w:r w:rsidRPr="00B66B1C">
        <w:rPr>
          <w:rFonts w:ascii="宋体" w:hAnsi="宋体" w:cstheme="minorBidi"/>
          <w:color w:val="000000" w:themeColor="text1"/>
          <w:szCs w:val="21"/>
        </w:rPr>
        <w:t>披露的相关公告。</w:t>
      </w:r>
    </w:p>
    <w:p w:rsidR="007005A0" w:rsidRPr="00B66B1C" w:rsidRDefault="007005A0" w:rsidP="007005A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三、费率优惠活动时间</w:t>
      </w:r>
    </w:p>
    <w:p w:rsidR="007005A0" w:rsidRPr="00B66B1C" w:rsidRDefault="007005A0" w:rsidP="007005A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费率优惠</w:t>
      </w:r>
      <w:r w:rsidRPr="00B66B1C">
        <w:rPr>
          <w:rFonts w:ascii="宋体" w:hAnsi="宋体" w:cs="宋体"/>
          <w:color w:val="000000" w:themeColor="text1"/>
          <w:kern w:val="0"/>
          <w:szCs w:val="21"/>
        </w:rPr>
        <w:t>活动自</w:t>
      </w:r>
      <w:r w:rsidR="009279E5" w:rsidRPr="00B66B1C">
        <w:rPr>
          <w:rFonts w:ascii="宋体" w:hAnsi="宋体" w:cs="宋体" w:hint="eastAsia"/>
          <w:color w:val="000000" w:themeColor="text1"/>
          <w:kern w:val="0"/>
          <w:szCs w:val="21"/>
        </w:rPr>
        <w:t>2</w:t>
      </w:r>
      <w:r w:rsidR="009279E5" w:rsidRPr="00B66B1C">
        <w:rPr>
          <w:rFonts w:ascii="宋体" w:hAnsi="宋体" w:cs="宋体"/>
          <w:color w:val="000000" w:themeColor="text1"/>
          <w:kern w:val="0"/>
          <w:szCs w:val="21"/>
        </w:rPr>
        <w:t>02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6</w:t>
      </w:r>
      <w:r w:rsidR="009279E5" w:rsidRPr="00B66B1C"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 w:rsidR="009279E5">
        <w:rPr>
          <w:rFonts w:ascii="宋体" w:hAnsi="宋体" w:cs="宋体"/>
          <w:color w:val="000000" w:themeColor="text1"/>
          <w:kern w:val="0"/>
          <w:szCs w:val="21"/>
        </w:rPr>
        <w:t>4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 w:rsidR="009279E5">
        <w:rPr>
          <w:rFonts w:ascii="宋体" w:hAnsi="宋体" w:cs="宋体" w:hint="eastAsia"/>
          <w:color w:val="000000" w:themeColor="text1"/>
          <w:kern w:val="0"/>
          <w:szCs w:val="21"/>
        </w:rPr>
        <w:t>1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日起开展优惠</w:t>
      </w:r>
      <w:r w:rsidRPr="00B66B1C">
        <w:rPr>
          <w:rFonts w:ascii="宋体" w:hAnsi="宋体" w:cs="宋体"/>
          <w:color w:val="000000" w:themeColor="text1"/>
          <w:kern w:val="0"/>
          <w:szCs w:val="21"/>
        </w:rPr>
        <w:t>活动截止时间以</w:t>
      </w:r>
      <w:r w:rsidR="008A2F6F" w:rsidRPr="008A2F6F">
        <w:rPr>
          <w:rFonts w:ascii="宋体" w:hAnsi="宋体" w:cs="宋体" w:hint="eastAsia"/>
          <w:color w:val="000000" w:themeColor="text1"/>
          <w:kern w:val="0"/>
          <w:szCs w:val="21"/>
        </w:rPr>
        <w:t>易方达财富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页</w:t>
      </w:r>
      <w:r w:rsidRPr="00B66B1C">
        <w:rPr>
          <w:rFonts w:ascii="宋体" w:hAnsi="宋体" w:cs="宋体"/>
          <w:color w:val="000000" w:themeColor="text1"/>
          <w:kern w:val="0"/>
          <w:szCs w:val="21"/>
        </w:rPr>
        <w:t>面公示为准，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敬请投资者留意其相关公告。</w:t>
      </w:r>
    </w:p>
    <w:p w:rsidR="007005A0" w:rsidRPr="00B66B1C" w:rsidRDefault="007005A0" w:rsidP="007005A0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费率优惠期间，如本公司新增通过</w:t>
      </w:r>
      <w:r w:rsidR="008A2F6F">
        <w:rPr>
          <w:rFonts w:ascii="宋体" w:hAnsi="宋体" w:hint="eastAsia"/>
          <w:color w:val="000000" w:themeColor="text1"/>
        </w:rPr>
        <w:t>易方达财富</w:t>
      </w:r>
      <w:r w:rsidRPr="00B66B1C">
        <w:rPr>
          <w:rFonts w:ascii="宋体" w:hAnsi="宋体" w:hint="eastAsia"/>
          <w:color w:val="000000" w:themeColor="text1"/>
          <w:szCs w:val="21"/>
        </w:rPr>
        <w:t>代销的基金产品，则自该基金销售之日起，将同时开展该基金的上述优惠活动。</w:t>
      </w:r>
    </w:p>
    <w:p w:rsidR="007005A0" w:rsidRPr="00B66B1C" w:rsidRDefault="007005A0" w:rsidP="00FC5887">
      <w:pPr>
        <w:pStyle w:val="a3"/>
        <w:numPr>
          <w:ilvl w:val="0"/>
          <w:numId w:val="2"/>
        </w:numPr>
        <w:spacing w:beforeLines="50" w:line="360" w:lineRule="auto"/>
        <w:ind w:firstLineChars="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费率优惠活动内容</w:t>
      </w:r>
    </w:p>
    <w:p w:rsidR="007005A0" w:rsidRPr="00B66B1C" w:rsidRDefault="007005A0" w:rsidP="007005A0">
      <w:pPr>
        <w:spacing w:line="360" w:lineRule="auto"/>
        <w:ind w:firstLineChars="200" w:firstLine="420"/>
        <w:rPr>
          <w:rFonts w:ascii="宋体" w:hAnsi="宋体" w:cstheme="minorBidi"/>
          <w:color w:val="000000" w:themeColor="text1"/>
          <w:szCs w:val="21"/>
        </w:rPr>
      </w:pPr>
      <w:r w:rsidRPr="00B66B1C">
        <w:rPr>
          <w:rFonts w:ascii="宋体" w:hAnsi="宋体" w:cstheme="minorBidi" w:hint="eastAsia"/>
          <w:color w:val="000000" w:themeColor="text1"/>
          <w:szCs w:val="21"/>
        </w:rPr>
        <w:t>投资者通过</w:t>
      </w:r>
      <w:r w:rsidR="008A2F6F">
        <w:rPr>
          <w:rFonts w:ascii="宋体" w:hAnsi="宋体" w:hint="eastAsia"/>
          <w:color w:val="000000" w:themeColor="text1"/>
        </w:rPr>
        <w:t>易方达财富</w:t>
      </w:r>
      <w:r w:rsidRPr="00B66B1C">
        <w:rPr>
          <w:rFonts w:ascii="宋体" w:hAnsi="宋体" w:cstheme="minorBidi" w:hint="eastAsia"/>
          <w:color w:val="000000" w:themeColor="text1"/>
          <w:szCs w:val="21"/>
        </w:rPr>
        <w:t>办理本公司旗下基金的申购（含定期定额投资申购）业务，参加</w:t>
      </w:r>
      <w:r w:rsidR="009279E5">
        <w:rPr>
          <w:rFonts w:ascii="宋体" w:hAnsi="宋体" w:cstheme="minorBidi" w:hint="eastAsia"/>
          <w:color w:val="000000" w:themeColor="text1"/>
          <w:szCs w:val="21"/>
        </w:rPr>
        <w:t>易方达财富</w:t>
      </w:r>
      <w:r w:rsidRPr="00B66B1C">
        <w:rPr>
          <w:rFonts w:ascii="宋体" w:hAnsi="宋体" w:cstheme="minorBidi" w:hint="eastAsia"/>
          <w:color w:val="000000" w:themeColor="text1"/>
          <w:szCs w:val="21"/>
        </w:rPr>
        <w:t>的费率优惠活动，具体折扣比例以</w:t>
      </w:r>
      <w:r w:rsidR="009279E5">
        <w:rPr>
          <w:rFonts w:ascii="宋体" w:hAnsi="宋体" w:cstheme="minorBidi" w:hint="eastAsia"/>
          <w:color w:val="000000" w:themeColor="text1"/>
          <w:szCs w:val="21"/>
        </w:rPr>
        <w:t>易方达财富</w:t>
      </w:r>
      <w:r w:rsidRPr="00B66B1C">
        <w:rPr>
          <w:rFonts w:ascii="宋体" w:hAnsi="宋体" w:cstheme="minorBidi" w:hint="eastAsia"/>
          <w:color w:val="000000" w:themeColor="text1"/>
          <w:szCs w:val="21"/>
        </w:rPr>
        <w:t>页面公示为准，若为固定费用的，则按固定费用执行，不再享有费率折扣。具体各基金原费率</w:t>
      </w:r>
      <w:r w:rsidR="00296B3C">
        <w:rPr>
          <w:rFonts w:ascii="宋体" w:hAnsi="宋体" w:cstheme="minorBidi" w:hint="eastAsia"/>
          <w:color w:val="000000" w:themeColor="text1"/>
          <w:szCs w:val="21"/>
        </w:rPr>
        <w:t>详</w:t>
      </w:r>
      <w:r w:rsidRPr="00B66B1C">
        <w:rPr>
          <w:rFonts w:ascii="宋体" w:hAnsi="宋体" w:cstheme="minorBidi" w:hint="eastAsia"/>
          <w:color w:val="000000" w:themeColor="text1"/>
          <w:szCs w:val="21"/>
        </w:rPr>
        <w:t>见该基金最新更新的招募说明书</w:t>
      </w:r>
      <w:r w:rsidR="00296B3C">
        <w:rPr>
          <w:rFonts w:ascii="宋体" w:hAnsi="宋体" w:cstheme="minorBidi" w:hint="eastAsia"/>
          <w:color w:val="000000" w:themeColor="text1"/>
          <w:szCs w:val="21"/>
        </w:rPr>
        <w:t>等法律文件</w:t>
      </w:r>
      <w:r w:rsidRPr="00B66B1C">
        <w:rPr>
          <w:rFonts w:ascii="宋体" w:hAnsi="宋体" w:cstheme="minorBidi" w:hint="eastAsia"/>
          <w:color w:val="000000" w:themeColor="text1"/>
          <w:szCs w:val="21"/>
        </w:rPr>
        <w:t>及相关公告。</w:t>
      </w:r>
    </w:p>
    <w:p w:rsidR="007005A0" w:rsidRPr="00B66B1C" w:rsidRDefault="007005A0" w:rsidP="00FC5887">
      <w:pPr>
        <w:pStyle w:val="a3"/>
        <w:numPr>
          <w:ilvl w:val="0"/>
          <w:numId w:val="2"/>
        </w:numPr>
        <w:spacing w:beforeLines="50" w:line="360" w:lineRule="auto"/>
        <w:ind w:firstLineChars="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重要提示</w:t>
      </w:r>
    </w:p>
    <w:p w:rsidR="007005A0" w:rsidRPr="00B66B1C" w:rsidRDefault="007005A0" w:rsidP="007005A0">
      <w:pPr>
        <w:spacing w:line="360" w:lineRule="auto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1、本费率优惠仅适用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于投资者通过</w:t>
      </w:r>
      <w:r w:rsidR="008A2F6F">
        <w:rPr>
          <w:rFonts w:ascii="宋体" w:hAnsi="宋体" w:hint="eastAsia"/>
          <w:color w:val="000000" w:themeColor="text1"/>
        </w:rPr>
        <w:t>易方达财富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办理本公司旗下基金申购业务的手续费，包括定期定额投资申购业务手续费（各基金定投开通情况以本公司最新公告为准），不包括基金赎回等其他业务的手续费。</w:t>
      </w:r>
    </w:p>
    <w:p w:rsidR="007005A0" w:rsidRPr="00B66B1C" w:rsidRDefault="007005A0" w:rsidP="007005A0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  <w:shd w:val="clear" w:color="auto" w:fill="FFFFFF"/>
        </w:rPr>
      </w:pP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2、本费率优惠活动期间，业务办理的规则和流程以</w:t>
      </w:r>
      <w:r w:rsidR="008A2F6F">
        <w:rPr>
          <w:rFonts w:ascii="宋体" w:hAnsi="宋体" w:hint="eastAsia"/>
          <w:color w:val="000000" w:themeColor="text1"/>
        </w:rPr>
        <w:t>易方达财富</w:t>
      </w:r>
      <w:r w:rsidRPr="00B66B1C">
        <w:rPr>
          <w:rFonts w:ascii="宋体" w:hAnsi="宋体" w:cs="宋体" w:hint="eastAsia"/>
          <w:color w:val="000000" w:themeColor="text1"/>
          <w:kern w:val="0"/>
          <w:szCs w:val="21"/>
        </w:rPr>
        <w:t>的安排和规定为准。相关活动的具体规定如有变化，以其网站的最新公告为准，敬请投资者关</w:t>
      </w:r>
      <w:r w:rsidRPr="00B66B1C">
        <w:rPr>
          <w:rFonts w:ascii="宋体" w:hAnsi="宋体" w:hint="eastAsia"/>
          <w:color w:val="000000" w:themeColor="text1"/>
          <w:szCs w:val="21"/>
          <w:shd w:val="clear" w:color="auto" w:fill="FFFFFF"/>
        </w:rPr>
        <w:t>注。</w:t>
      </w:r>
    </w:p>
    <w:p w:rsidR="007005A0" w:rsidRPr="00B66B1C" w:rsidRDefault="007005A0" w:rsidP="00FC5887">
      <w:pPr>
        <w:pStyle w:val="a3"/>
        <w:numPr>
          <w:ilvl w:val="0"/>
          <w:numId w:val="2"/>
        </w:numPr>
        <w:spacing w:beforeLines="50" w:line="360" w:lineRule="auto"/>
        <w:ind w:firstLineChars="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投资者可通过以下途径了解或咨询相关情况</w:t>
      </w:r>
    </w:p>
    <w:p w:rsidR="007005A0" w:rsidRPr="00490D38" w:rsidRDefault="007005A0" w:rsidP="007005A0">
      <w:pPr>
        <w:spacing w:line="360" w:lineRule="auto"/>
        <w:ind w:firstLineChars="200" w:firstLine="420"/>
        <w:rPr>
          <w:rFonts w:ascii="宋体" w:hAnsi="宋体" w:cs="宋体"/>
          <w:color w:val="000000" w:themeColor="text1"/>
          <w:kern w:val="0"/>
          <w:szCs w:val="21"/>
        </w:rPr>
      </w:pPr>
      <w:r w:rsidRPr="00490D38">
        <w:rPr>
          <w:rFonts w:ascii="宋体" w:hAnsi="宋体" w:cs="宋体" w:hint="eastAsia"/>
          <w:color w:val="000000" w:themeColor="text1"/>
          <w:kern w:val="0"/>
          <w:szCs w:val="21"/>
        </w:rPr>
        <w:t>1、</w:t>
      </w:r>
      <w:r w:rsidR="008A2F6F" w:rsidRPr="008A2F6F">
        <w:rPr>
          <w:rFonts w:ascii="宋体" w:hAnsi="宋体" w:cs="宋体" w:hint="eastAsia"/>
          <w:color w:val="000000" w:themeColor="text1"/>
          <w:kern w:val="0"/>
          <w:szCs w:val="21"/>
        </w:rPr>
        <w:t>易方达财富管理基金销售（广州）有限公司</w:t>
      </w:r>
    </w:p>
    <w:p w:rsidR="007005A0" w:rsidRPr="00490D38" w:rsidRDefault="007005A0" w:rsidP="007005A0">
      <w:pPr>
        <w:autoSpaceDE w:val="0"/>
        <w:autoSpaceDN w:val="0"/>
        <w:adjustRightInd w:val="0"/>
        <w:spacing w:line="360" w:lineRule="auto"/>
        <w:ind w:left="241" w:firstLineChars="100" w:firstLine="210"/>
        <w:rPr>
          <w:rFonts w:ascii="宋体" w:hAnsi="宋体"/>
          <w:color w:val="000000" w:themeColor="text1"/>
          <w:szCs w:val="21"/>
        </w:rPr>
      </w:pPr>
      <w:r w:rsidRPr="00490D38">
        <w:rPr>
          <w:rFonts w:ascii="宋体" w:hAnsi="宋体" w:cs="宋体" w:hint="eastAsia"/>
          <w:color w:val="000000" w:themeColor="text1"/>
          <w:kern w:val="0"/>
          <w:szCs w:val="21"/>
        </w:rPr>
        <w:t>客服电话：</w:t>
      </w:r>
      <w:r w:rsidR="00811EA3" w:rsidRPr="00811EA3">
        <w:rPr>
          <w:rFonts w:ascii="宋体" w:hAnsi="宋体"/>
          <w:color w:val="000000" w:themeColor="text1"/>
          <w:szCs w:val="21"/>
        </w:rPr>
        <w:t>4001608888</w:t>
      </w:r>
    </w:p>
    <w:p w:rsidR="00BE1E34" w:rsidRDefault="007005A0" w:rsidP="007005A0">
      <w:pPr>
        <w:autoSpaceDE w:val="0"/>
        <w:autoSpaceDN w:val="0"/>
        <w:adjustRightInd w:val="0"/>
        <w:spacing w:line="360" w:lineRule="auto"/>
        <w:ind w:left="241" w:firstLineChars="100" w:firstLine="210"/>
        <w:rPr>
          <w:rFonts w:ascii="宋体" w:hAnsi="宋体"/>
          <w:color w:val="000000" w:themeColor="text1"/>
          <w:szCs w:val="21"/>
        </w:rPr>
      </w:pPr>
      <w:r w:rsidRPr="00490D38">
        <w:rPr>
          <w:rFonts w:ascii="宋体" w:hAnsi="宋体" w:cs="宋体" w:hint="eastAsia"/>
          <w:color w:val="000000" w:themeColor="text1"/>
          <w:kern w:val="0"/>
          <w:szCs w:val="21"/>
        </w:rPr>
        <w:t>公司网址：</w:t>
      </w:r>
      <w:r w:rsidR="008A2F6F" w:rsidRPr="008A2F6F">
        <w:t xml:space="preserve"> </w:t>
      </w:r>
      <w:r w:rsidR="008A2F6F" w:rsidRPr="008A2F6F">
        <w:rPr>
          <w:rFonts w:ascii="宋体" w:hAnsi="宋体"/>
          <w:color w:val="000000" w:themeColor="text1"/>
          <w:szCs w:val="21"/>
        </w:rPr>
        <w:t>https://www.efunds.com.cn/index.shtml</w:t>
      </w:r>
      <w:r w:rsidR="008A2F6F" w:rsidRPr="008A2F6F" w:rsidDel="008A2F6F">
        <w:rPr>
          <w:rFonts w:ascii="宋体" w:hAnsi="宋体"/>
          <w:color w:val="000000" w:themeColor="text1"/>
          <w:szCs w:val="21"/>
        </w:rPr>
        <w:t xml:space="preserve"> </w:t>
      </w:r>
    </w:p>
    <w:p w:rsidR="007005A0" w:rsidRPr="00490D38" w:rsidRDefault="007005A0" w:rsidP="007005A0">
      <w:pPr>
        <w:autoSpaceDE w:val="0"/>
        <w:autoSpaceDN w:val="0"/>
        <w:adjustRightInd w:val="0"/>
        <w:spacing w:line="360" w:lineRule="auto"/>
        <w:ind w:left="241" w:firstLineChars="100" w:firstLine="210"/>
        <w:rPr>
          <w:rFonts w:ascii="宋体" w:hAnsi="宋体"/>
          <w:color w:val="000000" w:themeColor="text1"/>
          <w:szCs w:val="21"/>
          <w:shd w:val="clear" w:color="auto" w:fill="FFFFFF"/>
        </w:rPr>
      </w:pPr>
      <w:r w:rsidRPr="00490D38">
        <w:rPr>
          <w:rFonts w:ascii="宋体" w:hAnsi="宋体" w:hint="eastAsia"/>
          <w:color w:val="000000" w:themeColor="text1"/>
          <w:szCs w:val="21"/>
          <w:shd w:val="clear" w:color="auto" w:fill="FFFFFF"/>
        </w:rPr>
        <w:t>2、</w:t>
      </w:r>
      <w:r w:rsidRPr="00490D38">
        <w:rPr>
          <w:rFonts w:ascii="宋体" w:hAnsi="宋体" w:hint="eastAsia"/>
          <w:color w:val="000000" w:themeColor="text1"/>
          <w:szCs w:val="21"/>
        </w:rPr>
        <w:t>宏利基金管理有限公司</w:t>
      </w:r>
    </w:p>
    <w:p w:rsidR="007005A0" w:rsidRPr="00490D38" w:rsidRDefault="007005A0" w:rsidP="007005A0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490D38">
        <w:rPr>
          <w:rFonts w:ascii="宋体" w:hAnsi="宋体" w:hint="eastAsia"/>
          <w:color w:val="000000" w:themeColor="text1"/>
          <w:szCs w:val="21"/>
        </w:rPr>
        <w:t>客服电话：400-698-8888/010-66555662</w:t>
      </w:r>
    </w:p>
    <w:p w:rsidR="007005A0" w:rsidRPr="00490D38" w:rsidRDefault="007005A0" w:rsidP="007005A0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490D38">
        <w:rPr>
          <w:rFonts w:ascii="宋体" w:hAnsi="宋体" w:hint="eastAsia"/>
          <w:color w:val="000000" w:themeColor="text1"/>
          <w:szCs w:val="21"/>
        </w:rPr>
        <w:t>公司网站：www.manulifefund.com.cn</w:t>
      </w:r>
    </w:p>
    <w:p w:rsidR="007005A0" w:rsidRPr="00B66B1C" w:rsidRDefault="007005A0" w:rsidP="007005A0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7005A0" w:rsidRPr="00B66B1C" w:rsidRDefault="007005A0" w:rsidP="007005A0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风险提示：基金管理人承诺以诚实信用、勤勉尽责的原则管理和运用基金资产，但不保证基金一定盈利，也不保证最低收益。投资者投资于本公司旗下基金前应认真阅读各基金的基金合同、招募说明书和基金产品资料概要。定期定额投资是引导投资人进行长期投资、平均投资成本的一种简单易行的投资方式。但是定期定额投资并不能规避基金投资所固有的风险，不能保证投资人获得收益，也不是替代储蓄的等效理财方式。敬请投资者注意投资风险。</w:t>
      </w:r>
    </w:p>
    <w:p w:rsidR="007005A0" w:rsidRPr="00B66B1C" w:rsidRDefault="007005A0" w:rsidP="007005A0">
      <w:pPr>
        <w:spacing w:line="360" w:lineRule="auto"/>
        <w:ind w:firstLine="405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特此公告。</w:t>
      </w:r>
    </w:p>
    <w:p w:rsidR="007005A0" w:rsidRPr="00B66B1C" w:rsidRDefault="007005A0" w:rsidP="007005A0">
      <w:pPr>
        <w:spacing w:line="360" w:lineRule="auto"/>
        <w:ind w:firstLine="405"/>
        <w:rPr>
          <w:rFonts w:ascii="宋体" w:hAnsi="宋体"/>
          <w:color w:val="000000" w:themeColor="text1"/>
          <w:szCs w:val="21"/>
        </w:rPr>
      </w:pPr>
    </w:p>
    <w:p w:rsidR="007005A0" w:rsidRPr="00B66B1C" w:rsidRDefault="007005A0" w:rsidP="007005A0">
      <w:pPr>
        <w:spacing w:line="360" w:lineRule="auto"/>
        <w:ind w:firstLine="405"/>
        <w:rPr>
          <w:rFonts w:ascii="宋体" w:hAnsi="宋体"/>
          <w:color w:val="000000" w:themeColor="text1"/>
          <w:szCs w:val="21"/>
        </w:rPr>
      </w:pPr>
    </w:p>
    <w:p w:rsidR="007005A0" w:rsidRPr="00B66B1C" w:rsidRDefault="007005A0" w:rsidP="007005A0">
      <w:pPr>
        <w:spacing w:line="360" w:lineRule="auto"/>
        <w:ind w:firstLineChars="150" w:firstLine="315"/>
        <w:jc w:val="right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 w:hint="eastAsia"/>
          <w:color w:val="000000" w:themeColor="text1"/>
          <w:szCs w:val="21"/>
        </w:rPr>
        <w:t>宏利基金管理有限公司</w:t>
      </w:r>
    </w:p>
    <w:p w:rsidR="007005A0" w:rsidRPr="00B66B1C" w:rsidRDefault="00287A88" w:rsidP="007005A0">
      <w:pPr>
        <w:spacing w:line="360" w:lineRule="auto"/>
        <w:ind w:firstLineChars="150" w:firstLine="315"/>
        <w:jc w:val="right"/>
        <w:rPr>
          <w:rFonts w:ascii="宋体" w:hAnsi="宋体"/>
          <w:color w:val="000000" w:themeColor="text1"/>
          <w:szCs w:val="21"/>
        </w:rPr>
      </w:pPr>
      <w:r w:rsidRPr="00B66B1C">
        <w:rPr>
          <w:rFonts w:ascii="宋体" w:hAnsi="宋体"/>
          <w:color w:val="000000" w:themeColor="text1"/>
          <w:szCs w:val="21"/>
        </w:rPr>
        <w:t>202</w:t>
      </w:r>
      <w:r w:rsidR="000B23BD">
        <w:rPr>
          <w:rFonts w:ascii="宋体" w:hAnsi="宋体" w:hint="eastAsia"/>
          <w:color w:val="000000" w:themeColor="text1"/>
          <w:szCs w:val="21"/>
        </w:rPr>
        <w:t>6</w:t>
      </w:r>
      <w:r w:rsidRPr="00B66B1C">
        <w:rPr>
          <w:rFonts w:ascii="宋体" w:hAnsi="宋体" w:hint="eastAsia"/>
          <w:color w:val="000000" w:themeColor="text1"/>
          <w:szCs w:val="21"/>
        </w:rPr>
        <w:t>年</w:t>
      </w:r>
      <w:r w:rsidR="009279E5">
        <w:rPr>
          <w:rFonts w:ascii="宋体" w:hAnsi="宋体"/>
          <w:color w:val="000000" w:themeColor="text1"/>
          <w:szCs w:val="21"/>
        </w:rPr>
        <w:t>3</w:t>
      </w:r>
      <w:r w:rsidR="007005A0" w:rsidRPr="00B66B1C">
        <w:rPr>
          <w:rFonts w:ascii="宋体" w:hAnsi="宋体" w:hint="eastAsia"/>
          <w:color w:val="000000" w:themeColor="text1"/>
          <w:szCs w:val="21"/>
        </w:rPr>
        <w:t>月</w:t>
      </w:r>
      <w:r w:rsidR="009279E5">
        <w:rPr>
          <w:rFonts w:ascii="宋体" w:hAnsi="宋体"/>
          <w:color w:val="000000" w:themeColor="text1"/>
          <w:szCs w:val="21"/>
        </w:rPr>
        <w:t>31</w:t>
      </w:r>
      <w:r w:rsidR="007005A0" w:rsidRPr="00B66B1C">
        <w:rPr>
          <w:rFonts w:ascii="宋体" w:hAnsi="宋体" w:hint="eastAsia"/>
          <w:color w:val="000000" w:themeColor="text1"/>
          <w:szCs w:val="21"/>
        </w:rPr>
        <w:t>日</w:t>
      </w:r>
    </w:p>
    <w:p w:rsidR="007005A0" w:rsidRPr="00B66B1C" w:rsidRDefault="007005A0" w:rsidP="007005A0">
      <w:pPr>
        <w:rPr>
          <w:rFonts w:ascii="宋体" w:hAnsi="宋体"/>
          <w:color w:val="000000" w:themeColor="text1"/>
          <w:szCs w:val="21"/>
        </w:rPr>
      </w:pPr>
    </w:p>
    <w:p w:rsidR="007005A0" w:rsidRDefault="007005A0" w:rsidP="007005A0"/>
    <w:p w:rsidR="004135E5" w:rsidRDefault="004135E5"/>
    <w:sectPr w:rsidR="004135E5" w:rsidSect="003B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C13" w:rsidRDefault="00641C13" w:rsidP="00C006A1">
      <w:r>
        <w:separator/>
      </w:r>
    </w:p>
  </w:endnote>
  <w:endnote w:type="continuationSeparator" w:id="0">
    <w:p w:rsidR="00641C13" w:rsidRDefault="00641C13" w:rsidP="00C0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C13" w:rsidRDefault="00641C13" w:rsidP="00C006A1">
      <w:r>
        <w:separator/>
      </w:r>
    </w:p>
  </w:footnote>
  <w:footnote w:type="continuationSeparator" w:id="0">
    <w:p w:rsidR="00641C13" w:rsidRDefault="00641C13" w:rsidP="00C00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C43"/>
    <w:multiLevelType w:val="hybridMultilevel"/>
    <w:tmpl w:val="E0C8F18E"/>
    <w:lvl w:ilvl="0" w:tplc="369ED5AC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CC41B4"/>
    <w:multiLevelType w:val="multilevel"/>
    <w:tmpl w:val="21CC41B4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D0B25"/>
    <w:multiLevelType w:val="hybridMultilevel"/>
    <w:tmpl w:val="0CEC19B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5A0"/>
    <w:rsid w:val="00014C81"/>
    <w:rsid w:val="00056829"/>
    <w:rsid w:val="00066E4C"/>
    <w:rsid w:val="000827C1"/>
    <w:rsid w:val="000A1C72"/>
    <w:rsid w:val="000A7172"/>
    <w:rsid w:val="000B23BD"/>
    <w:rsid w:val="000B4F8B"/>
    <w:rsid w:val="000C2B3C"/>
    <w:rsid w:val="000C3AFB"/>
    <w:rsid w:val="000C72FB"/>
    <w:rsid w:val="000D59C8"/>
    <w:rsid w:val="000F74F8"/>
    <w:rsid w:val="00100C95"/>
    <w:rsid w:val="0011447F"/>
    <w:rsid w:val="00120B3D"/>
    <w:rsid w:val="00142AF1"/>
    <w:rsid w:val="001711ED"/>
    <w:rsid w:val="001B08B3"/>
    <w:rsid w:val="001C2AB5"/>
    <w:rsid w:val="001E4F83"/>
    <w:rsid w:val="001E70E9"/>
    <w:rsid w:val="00203691"/>
    <w:rsid w:val="002652B0"/>
    <w:rsid w:val="00274FC3"/>
    <w:rsid w:val="002765C0"/>
    <w:rsid w:val="00287A88"/>
    <w:rsid w:val="00296B3C"/>
    <w:rsid w:val="002A6966"/>
    <w:rsid w:val="002D5C7E"/>
    <w:rsid w:val="00327739"/>
    <w:rsid w:val="00340651"/>
    <w:rsid w:val="003913D8"/>
    <w:rsid w:val="003A1382"/>
    <w:rsid w:val="003A3586"/>
    <w:rsid w:val="003A493B"/>
    <w:rsid w:val="003E3424"/>
    <w:rsid w:val="003E3AF2"/>
    <w:rsid w:val="004135E5"/>
    <w:rsid w:val="00443F06"/>
    <w:rsid w:val="00445ACC"/>
    <w:rsid w:val="004629A8"/>
    <w:rsid w:val="004701BD"/>
    <w:rsid w:val="00472F79"/>
    <w:rsid w:val="0047577A"/>
    <w:rsid w:val="004874C4"/>
    <w:rsid w:val="00490CD6"/>
    <w:rsid w:val="004A4420"/>
    <w:rsid w:val="004B0BD2"/>
    <w:rsid w:val="004C7F4E"/>
    <w:rsid w:val="00564DE7"/>
    <w:rsid w:val="00594683"/>
    <w:rsid w:val="005E521F"/>
    <w:rsid w:val="00641C13"/>
    <w:rsid w:val="0064317C"/>
    <w:rsid w:val="006472B2"/>
    <w:rsid w:val="0066244D"/>
    <w:rsid w:val="006A3E39"/>
    <w:rsid w:val="006C5E4A"/>
    <w:rsid w:val="006D5D7E"/>
    <w:rsid w:val="006E4FFA"/>
    <w:rsid w:val="007005A0"/>
    <w:rsid w:val="007429E4"/>
    <w:rsid w:val="007A3180"/>
    <w:rsid w:val="007A7E93"/>
    <w:rsid w:val="007D67FA"/>
    <w:rsid w:val="00811EA3"/>
    <w:rsid w:val="0082245A"/>
    <w:rsid w:val="00822AFD"/>
    <w:rsid w:val="00852E81"/>
    <w:rsid w:val="0087071A"/>
    <w:rsid w:val="008A2F6F"/>
    <w:rsid w:val="008A3D10"/>
    <w:rsid w:val="008A549D"/>
    <w:rsid w:val="008F36FB"/>
    <w:rsid w:val="009044B0"/>
    <w:rsid w:val="00910849"/>
    <w:rsid w:val="009279E5"/>
    <w:rsid w:val="00927F5C"/>
    <w:rsid w:val="00941CA9"/>
    <w:rsid w:val="00947AA4"/>
    <w:rsid w:val="00950C66"/>
    <w:rsid w:val="009A77E7"/>
    <w:rsid w:val="009B27D4"/>
    <w:rsid w:val="00A115A8"/>
    <w:rsid w:val="00A154B1"/>
    <w:rsid w:val="00A32D7B"/>
    <w:rsid w:val="00A36461"/>
    <w:rsid w:val="00A5166E"/>
    <w:rsid w:val="00A83764"/>
    <w:rsid w:val="00AB23E1"/>
    <w:rsid w:val="00AC709B"/>
    <w:rsid w:val="00AE2D7C"/>
    <w:rsid w:val="00AE465E"/>
    <w:rsid w:val="00B051EB"/>
    <w:rsid w:val="00B319F4"/>
    <w:rsid w:val="00B376DA"/>
    <w:rsid w:val="00B56B84"/>
    <w:rsid w:val="00B74B63"/>
    <w:rsid w:val="00BB2931"/>
    <w:rsid w:val="00BC0F52"/>
    <w:rsid w:val="00BD5B0E"/>
    <w:rsid w:val="00BE1E34"/>
    <w:rsid w:val="00BE7D35"/>
    <w:rsid w:val="00BF33A5"/>
    <w:rsid w:val="00C006A1"/>
    <w:rsid w:val="00C127BB"/>
    <w:rsid w:val="00C27D65"/>
    <w:rsid w:val="00C45D9E"/>
    <w:rsid w:val="00C6315C"/>
    <w:rsid w:val="00C75546"/>
    <w:rsid w:val="00C80F6C"/>
    <w:rsid w:val="00CC552A"/>
    <w:rsid w:val="00CD009D"/>
    <w:rsid w:val="00CE5F82"/>
    <w:rsid w:val="00D0357B"/>
    <w:rsid w:val="00D146DC"/>
    <w:rsid w:val="00D15E04"/>
    <w:rsid w:val="00D54782"/>
    <w:rsid w:val="00D74686"/>
    <w:rsid w:val="00DB7E47"/>
    <w:rsid w:val="00DC1E7D"/>
    <w:rsid w:val="00DE739B"/>
    <w:rsid w:val="00DF3B24"/>
    <w:rsid w:val="00E052D2"/>
    <w:rsid w:val="00E64C91"/>
    <w:rsid w:val="00E75AE8"/>
    <w:rsid w:val="00EB719B"/>
    <w:rsid w:val="00F06C6D"/>
    <w:rsid w:val="00F1175B"/>
    <w:rsid w:val="00F13794"/>
    <w:rsid w:val="00F31B55"/>
    <w:rsid w:val="00F36FA2"/>
    <w:rsid w:val="00FA7D5C"/>
    <w:rsid w:val="00FC2FA3"/>
    <w:rsid w:val="00FC5887"/>
    <w:rsid w:val="00FD420A"/>
    <w:rsid w:val="00FF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5A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0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06A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06A1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0C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C95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1C2AB5"/>
    <w:rPr>
      <w:rFonts w:ascii="Calibri" w:eastAsia="宋体" w:hAnsi="Calibri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AC709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C70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7AC1-5079-4621-9318-248EE6A6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3615</Characters>
  <Application>Microsoft Office Word</Application>
  <DocSecurity>4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崔巍</dc:creator>
  <cp:keywords/>
  <dc:description/>
  <cp:lastModifiedBy>ZHONGM</cp:lastModifiedBy>
  <cp:revision>2</cp:revision>
  <cp:lastPrinted>2026-03-30T11:38:00Z</cp:lastPrinted>
  <dcterms:created xsi:type="dcterms:W3CDTF">2026-03-30T16:08:00Z</dcterms:created>
  <dcterms:modified xsi:type="dcterms:W3CDTF">2026-03-30T16:08:00Z</dcterms:modified>
</cp:coreProperties>
</file>