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D82C2A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关于汇添富黄金及贵金属证券投资基金（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LOF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D82C2A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03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31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D82C2A" w:rsidP="00D82C2A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  <w:gridCol w:w="1328"/>
        <w:gridCol w:w="2818"/>
        <w:gridCol w:w="2818"/>
      </w:tblGrid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QDII-LOF-FOF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</w:tr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F61F1D">
        <w:tc>
          <w:tcPr>
            <w:tcW w:w="20000" w:type="dxa"/>
            <w:vMerge w:val="restart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F61F1D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(QDII-LOF-FOF)C</w:t>
            </w:r>
          </w:p>
        </w:tc>
      </w:tr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018543</w:t>
            </w:r>
          </w:p>
        </w:tc>
      </w:tr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</w:tr>
      <w:tr w:rsidR="00F61F1D">
        <w:tc>
          <w:tcPr>
            <w:tcW w:w="-25536" w:type="dxa"/>
            <w:gridSpan w:val="2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D82C2A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D82C2A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、本基金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类份额场内简称为黄金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D82C2A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26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</w:t>
      </w:r>
      <w:r w:rsidRPr="00745B42">
        <w:rPr>
          <w:rFonts w:ascii="宋体" w:eastAsia="宋体" w:hAnsi="宋体" w:cs="宋体"/>
          <w:color w:val="000000"/>
          <w:szCs w:val="21"/>
        </w:rPr>
        <w:t>人民币元，详见本公司于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25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日发布的《关于汇添富黄金及贵金属证券投资基金（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D82C2A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</w:t>
      </w:r>
      <w:r w:rsidRPr="00745B42">
        <w:rPr>
          <w:rFonts w:ascii="宋体" w:eastAsia="宋体" w:hAnsi="宋体" w:cs="宋体"/>
          <w:color w:val="000000"/>
          <w:szCs w:val="21"/>
        </w:rPr>
        <w:t>间将另行公告。</w:t>
      </w:r>
    </w:p>
    <w:p w:rsidR="00745B42" w:rsidRPr="00745B42" w:rsidRDefault="00D82C2A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D82C2A" w:rsidP="00D82C2A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D82C2A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D82C2A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</w:t>
      </w:r>
      <w:r>
        <w:rPr>
          <w:rFonts w:ascii="宋体" w:eastAsia="宋体" w:hAnsi="宋体" w:cs="宋体"/>
          <w:color w:val="000000"/>
          <w:sz w:val="24"/>
          <w:szCs w:val="24"/>
        </w:rPr>
        <w:t>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D82C2A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D82C2A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D82C2A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03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31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412BA"/>
    <w:rsid w:val="00D82C2A"/>
    <w:rsid w:val="00E61199"/>
    <w:rsid w:val="00E971A9"/>
    <w:rsid w:val="00F311D8"/>
    <w:rsid w:val="00F6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1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4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2026-03-30T16:09:00Z</dcterms:created>
  <dcterms:modified xsi:type="dcterms:W3CDTF">2026-03-30T16:09:00Z</dcterms:modified>
</cp:coreProperties>
</file>