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B4" w:rsidRDefault="008F0CC9" w:rsidP="008F0CC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博时基金管理有限公司旗下公募基金</w:t>
      </w:r>
      <w:r>
        <w:rPr>
          <w:rFonts w:ascii="仿宋" w:eastAsia="仿宋" w:hAnsi="仿宋" w:hint="eastAsia"/>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年度</w:t>
      </w:r>
      <w:r>
        <w:rPr>
          <w:rFonts w:ascii="仿宋" w:eastAsia="仿宋" w:hAnsi="仿宋" w:hint="eastAsia"/>
          <w:b/>
          <w:color w:val="000000" w:themeColor="text1"/>
          <w:sz w:val="32"/>
          <w:szCs w:val="32"/>
        </w:rPr>
        <w:t>报告提示性公告</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年度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博时安盈债券型证券投资基金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博时岁岁增利一年持有期债券型证券投资基金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博时裕益灵活配置混合型证券投资基金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博时内需增长灵活配置混</w:t>
      </w:r>
      <w:bookmarkStart w:id="0" w:name="_GoBack"/>
      <w:bookmarkEnd w:id="0"/>
      <w:r>
        <w:rPr>
          <w:rFonts w:ascii="仿宋" w:eastAsia="仿宋" w:hAnsi="仿宋" w:hint="eastAsia"/>
          <w:color w:val="000000" w:themeColor="text1"/>
          <w:sz w:val="32"/>
          <w:szCs w:val="32"/>
        </w:rPr>
        <w:t>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博时双月薪定期支付债券型证券投资基金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博时裕隆灵活配置混合型证券投资基金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博时现金宝货币市场基金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博时天天增利货币市场基金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博时季季享三个月持有期债券型证券投资基金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博时产业新动力灵活配置混合型发起式证券投资基金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博时互联网主题灵活配置混合型证券投资基金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博时沪港深优质企业灵活配置混合型证券投资基金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博时丝路主题股票型证券投资基金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博时中证淘金大数据</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博时国企改革主题股票型证券投资基金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博时外服货币市场基金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博时新策略灵活配置混合型证券投资基金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w:t>
      </w:r>
      <w:r>
        <w:rPr>
          <w:rFonts w:ascii="仿宋" w:eastAsia="仿宋" w:hAnsi="仿宋" w:hint="eastAsia"/>
          <w:color w:val="000000" w:themeColor="text1"/>
          <w:sz w:val="32"/>
          <w:szCs w:val="32"/>
        </w:rPr>
        <w:lastRenderedPageBreak/>
        <w:t>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博时裕盈纯债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博时裕瑞纯债债券型证券投资基金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博时裕恒纯债债券型</w:t>
      </w:r>
      <w:r>
        <w:rPr>
          <w:rFonts w:ascii="仿宋" w:eastAsia="仿宋" w:hAnsi="仿宋" w:hint="eastAsia"/>
          <w:color w:val="000000" w:themeColor="text1"/>
          <w:sz w:val="32"/>
          <w:szCs w:val="32"/>
        </w:rPr>
        <w:t>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博时裕荣纯债债券型证券投资基金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博时裕泰纯债债券型证券投资基金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博时新收益灵活配置混合型证券投资基金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博时裕诚纯债债券型证券投资基金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博时外延增长主题灵活配置混合型证券投资基金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博时裕坤纯债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博时裕乾纯债债券型证券投资基金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博时裕达纯债债券型证券投资基金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博时裕康纯债债券型证券投资基金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博时裕腾纯债债券型证券投资基金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博时裕新纯债债券型证券投资基金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博时裕景纯债债券型证券投资基金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博时裕发纯债债券型证券投资基金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博时裕弘纯债债券型证券投资基金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博时裕泉纯债债券型证券投资基金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博时工业</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主题股票型证券投资基金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博时黄金交易型开放式证券投资基金联接基金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博时安怡</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博时裕利纯债债券型证券投资基金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博时裕创纯债债券型证券投资基金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博时裕盛纯债债券型证券投资基金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博时景兴纯债债券型证券投资基金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博时聚瑞纯债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博时裕顺纯债债券型证券投资基金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博时安仁一年定期开放债券型发起</w:t>
      </w:r>
      <w:r>
        <w:rPr>
          <w:rFonts w:ascii="仿宋" w:eastAsia="仿宋" w:hAnsi="仿宋" w:hint="eastAsia"/>
          <w:color w:val="000000" w:themeColor="text1"/>
          <w:sz w:val="32"/>
          <w:szCs w:val="32"/>
        </w:rPr>
        <w:t>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博时聚盈纯债债券型证券投资基金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博时聚润纯债债券型证券投资基金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博时合利货币市场基金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博时裕昂纯债债券型证券投资基金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博时鑫源灵活配置混合型证券投资基金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博时富宁纯债债券型证券投资基金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博时聚源纯债债券型证券投资基金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博时合鑫货币市场基金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博时富发纯债债券型证券投资基金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博时智臻纯债债券型证券投资基金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博时富祥纯债债券型证券投资基金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博时利发纯债债券型证券投资基金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博时悦楚纯债债券型证券投资基金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博时乐臻定期开放混合型证券投资基金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博时富益纯债债券型证券投资基金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博时丰达纯债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博时安弘一年定期开放债券型发起式证券投资基金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博时富鑫纯债债券型证券投资基金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博时民丰纯债债券型证券投资基金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博时富华纯债债券型证券投资基金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博时富诚纯债债券型证券投资基金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博时慧选纯债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博时兴盛货币市场基金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博时沪港深价值优选灵活配置混合型证券投资基金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博时裕鹏纯债债券型证券投资基金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博时民泽纯债债券型证券投资基金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博时合惠货币市场基金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博时富嘉纯债债券型证券投资基金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博时富瑞纯债债券型证券投资基金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博时兴荣货币市场基金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博时富元纯债债券型证券投资基金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博时广利纯债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博时汇享纯债债券型证券投资基金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博时逆向投资混合型证券投资基金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博时汇智回报灵活配置混合型证券投资基金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博时华盈纯债债券型证券投资基金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博时富和纯债债券型证券投资基金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博时量化平衡混合型证券投资基金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博时新兴消费主题混合型证券投资基金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博时富腾纯债债券型证券投资基金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博时战略新兴产业混合型证券投资基金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博时丰庆纯债债券型证券投资基金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博时军工主题股票型证券投资基金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博时合晶货币市场基金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博时创新驱动灵活配置混合型证券投资基金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博时富乾纯债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博时量化多策略股票型证券投资基金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博时富兴纯债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博时量化价值股票型证券投资基金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博时荣享回报灵活配置定期开放混合型证券投资基金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博时富永纯债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年政策性金融债指数证券投资基金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博时富源纯债债券型证券投资基金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博时汇悦回报混合型证券投资基金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5-10</w:t>
      </w:r>
      <w:r>
        <w:rPr>
          <w:rFonts w:ascii="仿宋" w:eastAsia="仿宋" w:hAnsi="仿宋" w:hint="eastAsia"/>
          <w:color w:val="000000" w:themeColor="text1"/>
          <w:sz w:val="32"/>
          <w:szCs w:val="32"/>
        </w:rPr>
        <w:t>年农发行债券指数证券投资基金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博时富融纯债债券型证券投资基金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博时富淳纯债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博时富乐纯债债券型证券投资基金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博时颐泽平衡养老目标三年持有期混合型发起式基金中基金（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博时富汇纯债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年政策性金融债指数证券投资基金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博时富悦纯债债券型证券投资基金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博时富顺纯债债券型证券投资基金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博时稳欣</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富添纯债债券型证券投资基金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博时富信纯债债券型证券投资基金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博时富进纯债一年定期开放债券型发起式证券投资基金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博时稳悦</w:t>
      </w:r>
      <w:r>
        <w:rPr>
          <w:rFonts w:ascii="仿宋" w:eastAsia="仿宋" w:hAnsi="仿宋" w:hint="eastAsia"/>
          <w:color w:val="000000" w:themeColor="text1"/>
          <w:sz w:val="32"/>
          <w:szCs w:val="32"/>
        </w:rPr>
        <w:t>63</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博时富洋纯债一年定期开放债券型发起式证券投资基金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博时产业新趋势灵活配置混合型证券投资基金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博时成长优选灵活配置混合型证券投资基金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博时科技创新混合型证券投资基金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博时富灿纯债一年定期开放债券型发起式证券投资基金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博时荣丰回报灵活配置混合型证券投资基金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博时信用优选债券型证券投资基金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博时恒裕</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博时季季乐三个月持有期债券型证券投资基金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博时健康成长主题双周定期可赎回混合型证券投资基金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博时富盛纯债一年定期开放债券型发起式证券投资基金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博时研究精选一年持有期灵活配置混合型证券投资基金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博时女性消费主题混合型证券投资基金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博时恒盛一年持有期混合型证券投资基金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博时研究臻选三年持有期灵活配置混合型证券投资基金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博时价值臻选两年持有期灵活配置混合型证券投资基金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博时荣泰灵活配置混合型证券投资基金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博时双季享六个月持有期债券型证券投资基金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博时消费创新混合型证券投资基</w:t>
      </w:r>
      <w:r>
        <w:rPr>
          <w:rFonts w:ascii="仿宋" w:eastAsia="仿宋" w:hAnsi="仿宋" w:hint="eastAsia"/>
          <w:color w:val="000000" w:themeColor="text1"/>
          <w:sz w:val="32"/>
          <w:szCs w:val="32"/>
        </w:rPr>
        <w:t>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博时荣华灵活配置混合型证券投资基金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博时产业精选灵活配置混合型证券投资基金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博时恒进</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博时高端装备混合型证券投资基金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博时恒旭一年持有期混合型证券投资基金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博时成长领航灵活配置混合型证券投资基金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博时创新经济混合型证券投资基金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博时汇兴回报一年持有期灵活配置混合型证券投资基金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博时恒泽混合型证券投资基金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博时港股通领先趋势混合型证券投资基金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博时汇融回报一年持有期混合型证券投资基金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博时战略新材料主题混合型证券投资基金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博时恒元</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博时创新精选混合型证券投资基金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博时恒悦</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博时产业慧选混合型证券投资基金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博时成长精选混合型证券投资基金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博时产业优选灵活配置混合型证券投资基金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博时周期优选混合型证券投资基金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博时恒泰债券型证券投资基金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博时先进制造混合型证券投资基金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博时汇誉回报灵活配置混合型证券投资基金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博时新能源汽车主题混合型证券投资基金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博时数字经济混合型证券投资基金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博时健康生活混</w:t>
      </w:r>
      <w:r>
        <w:rPr>
          <w:rFonts w:ascii="仿宋" w:eastAsia="仿宋" w:hAnsi="仿宋" w:hint="eastAsia"/>
          <w:color w:val="000000" w:themeColor="text1"/>
          <w:sz w:val="32"/>
          <w:szCs w:val="32"/>
        </w:rPr>
        <w:t>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博时研究慧选混合型证券投资基金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博时乐享混合型证券投资基金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博时月月享</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天持有期短债债券型发起式证券投资基金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博时恒玺一年持有期混合型证券投资基金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博时汇荣回报灵活配置混合型证券投资基金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博时半导体主题混合型证券投资基金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博时移动互联主题混合型证券投资基金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博时双月享</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天滚动持有债券型证券投资基金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博时博盈稳健</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博时恒盈稳健一年</w:t>
      </w:r>
      <w:r>
        <w:rPr>
          <w:rFonts w:ascii="仿宋" w:eastAsia="仿宋" w:hAnsi="仿宋" w:hint="eastAsia"/>
          <w:color w:val="000000" w:themeColor="text1"/>
          <w:sz w:val="32"/>
          <w:szCs w:val="32"/>
        </w:rPr>
        <w:t>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博时核心资产精选混合型证券投资基金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博时凤凰领航混合型证券投资基金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博时智选量化多因子股票型证券投资基金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博时稳益</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个月持有期混合型证券投资基金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博时优质鑫选一年持有期混合型证券投资基金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博时时代消费混合型证券投资基金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博时富恒纯债一年定期开放债券型发起式证券投资基金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博时富璟纯债一年定期开放债券型证券投资基金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博时品质生活混合型证券投资基金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博时浦惠一年持有期混合型证券投资基金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博时专精特新主题混合型证券投资基金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博时恒生医疗保健交易型开放式指数证券投资基金发起式联接基金</w:t>
      </w:r>
      <w:r>
        <w:rPr>
          <w:rFonts w:ascii="仿宋" w:eastAsia="仿宋" w:hAnsi="仿宋" w:hint="eastAsia"/>
          <w:color w:val="000000" w:themeColor="text1"/>
          <w:sz w:val="32"/>
          <w:szCs w:val="32"/>
        </w:rPr>
        <w:t>(QDII)</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博时恒鑫稳健一年持有期混合型证券投资基金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博时成长臻选混合型证券投资基金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博时回报严选混合型证券投资基金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博时时代领航混合型证券投资基金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博时恒乐债券型证券投资基金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博时恒益稳健一年持有期混合型证券投资基金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w:t>
      </w:r>
      <w:r>
        <w:rPr>
          <w:rFonts w:ascii="仿宋" w:eastAsia="仿宋" w:hAnsi="仿宋" w:hint="eastAsia"/>
          <w:color w:val="000000" w:themeColor="text1"/>
          <w:sz w:val="32"/>
          <w:szCs w:val="32"/>
        </w:rPr>
        <w:t>时双季乐六个月持有期债券型证券投资基金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博时富鸿金融债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博时四月享</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博时优享回报混合型证券投资基金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博时月月乐同业存单</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博时优质精选混合型证券投资基金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博时富尊纯债一年定期开放债券型发起式证券投资基金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博时中证光伏产业指数证券投资基金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博时稳健优选三个月持有期混合型基金中基金（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博时恒耀债券型证券投资基金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博时富泽金融债债券型证券投资基金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博时均衡优选混合型证券投资基金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博时五月佳</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博时安悦短债债券型证券投资基金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博时富盈一年定期开放债券型发起式证券投资基金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博时信享一年持有期混合型证券投资基金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博时恒享债券型证券投资基金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7-10</w:t>
      </w:r>
      <w:r>
        <w:rPr>
          <w:rFonts w:ascii="仿宋" w:eastAsia="仿宋" w:hAnsi="仿宋" w:hint="eastAsia"/>
          <w:color w:val="000000" w:themeColor="text1"/>
          <w:sz w:val="32"/>
          <w:szCs w:val="32"/>
        </w:rPr>
        <w:t>年政策性金融债指数证券投资基金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博时中证机器人指数型发起式证券投资基金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ES</w:t>
      </w:r>
      <w:r>
        <w:rPr>
          <w:rFonts w:ascii="仿宋" w:eastAsia="仿宋" w:hAnsi="仿宋" w:hint="eastAsia"/>
          <w:color w:val="000000" w:themeColor="text1"/>
          <w:sz w:val="32"/>
          <w:szCs w:val="32"/>
        </w:rPr>
        <w:t>G</w:t>
      </w:r>
      <w:r>
        <w:rPr>
          <w:rFonts w:ascii="仿宋" w:eastAsia="仿宋" w:hAnsi="仿宋" w:hint="eastAsia"/>
          <w:color w:val="000000" w:themeColor="text1"/>
          <w:sz w:val="32"/>
          <w:szCs w:val="32"/>
        </w:rPr>
        <w:t>量化选股混合型证券投资基金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博时中证有色金属矿业主题指数证券投资基金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博时厚泽匠选一年持有期混合型证券投资基金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博时稳健增利债券型证券投资基金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博时集兴配置优选</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博时中证医疗指数型发起式证券投资基金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博时臻选楚汇三个月持有期债券型基金中基金（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博时富耀纯债一年定期开放债券型发起式证券投资基金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博时标普石油天然气勘探及生产精选行业指数型发起式证券投资基金（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博时双季益六个月持有期债券型证券投资基金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博时匠心优选混合型证券投资基金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博时卓越优选混合型证券投资基金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博时双月乐</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博时中证软件服务指数型发起式证券投资基金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博时稳合一年持有期混合型证券投资基金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博时中高等级信用债债券型证券投资基金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博时惠泽混合型发起式证券投资基金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博时中证传媒指数型发起式证</w:t>
      </w:r>
      <w:r>
        <w:rPr>
          <w:rFonts w:ascii="仿宋" w:eastAsia="仿宋" w:hAnsi="仿宋" w:hint="eastAsia"/>
          <w:color w:val="000000" w:themeColor="text1"/>
          <w:sz w:val="32"/>
          <w:szCs w:val="32"/>
        </w:rPr>
        <w:t>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博时锦源利率债债券型证券投资基金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博时中证基建工程指数型发起式证券投资基金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博时卓越成长混合型证券投资基金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博时国证粮食产业指数型发起式证券投资基金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博时中证全指通信设备指数型发起式证券投资基金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博时国证消费电子主题指数型发起式证券投资基金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博时中证汽车零部件主题指数型发起式证券投资基金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博时中证信息技术应用创新产业指数型发起式证券投资基金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博时科技驱动混合型证券投资基金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博时季季兴</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博时稳健恒利债券型证券投资基金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博时月月兴</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博时上证科创板人工智能交易型开放式指数证券投资基金发起式联接基金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博时四月兴</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博时上证综合指数增强型证券投资基金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博时上证科创板综合价格指数增强型证券投资基金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指数型证券投资基金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博时卓睿成长股票型证券投资基金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博时创业板指数增强型证券投资基金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博时裕富沪深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博时现金收益证券投资基金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博时精选混合型证券投资基金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博时稳定价值债券投资基金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博时平衡配置混合型证券投资基金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博时第三产业成长混合型证券投资基金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博时新兴成长混合型证券投资基金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博时特许价值混合型证券投资基金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博时策略灵活配置混合型证券投资基金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博时上证超级大盘交易型开放式指数证券投资基金联接基金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博时创业成长混合型证券投资基金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博时大中华亚太精选股票证券投资基金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博时宏观回报债券型证券投资基金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博时行业轮动混合型证券投资基金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博时转债增强债券型证券投资基金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博时抗通胀增强回报证券投资基金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博时回报灵活配置混合型证券投资基金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博时天颐债券型证券投资基金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博时上证自然资源交易型开放式指数证券投资基金联接基金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博时医疗</w:t>
      </w:r>
      <w:r>
        <w:rPr>
          <w:rFonts w:ascii="仿宋" w:eastAsia="仿宋" w:hAnsi="仿宋" w:hint="eastAsia"/>
          <w:color w:val="000000" w:themeColor="text1"/>
          <w:sz w:val="32"/>
          <w:szCs w:val="32"/>
        </w:rPr>
        <w:t>保健行业混合型证券投资基金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博时信用债纯债债券型证券投资基金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博时亚洲票息收益债券型证券投资基金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博时价值增长贰号证券投资基金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博时国证大盘成长交易型开放式指数证券投资基金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博时创业板综合交易型开放式指数证券投资基金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博时深证基准做市信用债交易型开放式指数证券投资基金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博时中证半导体产业交易型开放式指数证券投资基金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博时中证成渝地区双城经济圈成份交易型开放式指数证券投资基金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博时中证主要消费交易型开放式指数证券投资基金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w:t>
      </w:r>
      <w:r>
        <w:rPr>
          <w:rFonts w:ascii="仿宋" w:eastAsia="仿宋" w:hAnsi="仿宋" w:hint="eastAsia"/>
          <w:color w:val="000000" w:themeColor="text1"/>
          <w:sz w:val="32"/>
          <w:szCs w:val="32"/>
        </w:rPr>
        <w:t>(QDII)</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博时中证湖北新旧动能转换交易型开放式指数证券投资基金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5G</w:t>
      </w:r>
      <w:r>
        <w:rPr>
          <w:rFonts w:ascii="仿宋" w:eastAsia="仿宋" w:hAnsi="仿宋" w:hint="eastAsia"/>
          <w:color w:val="000000" w:themeColor="text1"/>
          <w:sz w:val="32"/>
          <w:szCs w:val="32"/>
        </w:rPr>
        <w:t>产业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博时中证医药</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博时主题行业混合型证券投资基金（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博时卓越品牌混合型证券投资基金（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博时稳健回报债券型证券投资基金（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博时中证全指证券公司交易型开放式指数证券投资基金联接基金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银行指数证券投资基金（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博时睿远事件驱动灵活配置混合型证券投资基金（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博时优势企业灵活配置混合型证券投资基金（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博时研究优选灵活配置混合型证券投资基金（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博时创业板两年定期开放混合型证券投资基金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博时科创主题灵活配置混合型证券投资基金（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博时安康</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博时科创板三年定期开放混合型证券投资基金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博时津开科工产业园封闭式基础设施证券投资基金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上证超级大盘交易型开放式指数证券投资基金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上证自然资源交易型开放式指数证券投资基金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年期国债交易型开放式指数证券投资基金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博时中证可转债及可交换债券交易型开放式指数证券投资基金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博时保证金实时交易型货币市场基金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博时中证全球中国教育主题交易型开放式指数证券投资基金</w:t>
      </w:r>
      <w:r>
        <w:rPr>
          <w:rFonts w:ascii="仿宋" w:eastAsia="仿宋" w:hAnsi="仿宋" w:hint="eastAsia"/>
          <w:color w:val="000000" w:themeColor="text1"/>
          <w:sz w:val="32"/>
          <w:szCs w:val="32"/>
        </w:rPr>
        <w:t>(QDII)</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博时中证可持续发展</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博时中证智能消费主题交易型开放式指数证券投资基金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博时恒生港股通创新药精选交易型开放式指数证券投资基金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科技创新公司债交易型开放式指数证券投资基金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博时中证全指自由现金流交易型开放式指数证券投资基金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博时上证科创板新材料交易型开放式指数证券投资基金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w:t>
      </w:r>
    </w:p>
    <w:p w:rsidR="00340FB4" w:rsidRDefault="008F0CC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博时上证科创板综合交易型开放式指数证券投资基金的</w:t>
      </w:r>
      <w:r>
        <w:rPr>
          <w:rFonts w:ascii="仿宋" w:eastAsia="仿宋" w:hAnsi="仿宋" w:hint="eastAsia"/>
          <w:color w:val="000000" w:themeColor="text1"/>
          <w:sz w:val="32"/>
          <w:szCs w:val="32"/>
        </w:rPr>
        <w:t>年度</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w:t>
      </w:r>
      <w:r>
        <w:rPr>
          <w:rFonts w:ascii="仿宋" w:eastAsia="仿宋" w:hAnsi="仿宋" w:hint="eastAsia"/>
          <w:color w:val="000000" w:themeColor="text1"/>
          <w:sz w:val="32"/>
          <w:szCs w:val="32"/>
        </w:rPr>
        <w:t>26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sz w:val="32"/>
            <w:szCs w:val="32"/>
          </w:rPr>
          <w:t>http</w:t>
        </w:r>
        <w:r>
          <w:rPr>
            <w:rStyle w:val="a9"/>
            <w:rFonts w:ascii="仿宋" w:eastAsia="仿宋" w:hAnsi="仿宋" w:hint="eastAsia"/>
            <w:sz w:val="32"/>
            <w:szCs w:val="32"/>
          </w:rPr>
          <w:t>s</w:t>
        </w:r>
        <w:r>
          <w:rPr>
            <w:rStyle w:val="a9"/>
            <w:rFonts w:ascii="仿宋" w:eastAsia="仿宋" w:hAnsi="仿宋"/>
            <w:sz w:val="32"/>
            <w:szCs w:val="32"/>
          </w:rPr>
          <w:t>://www.bosera.com</w:t>
        </w:r>
      </w:hyperlink>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95105568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340FB4" w:rsidRDefault="008F0CC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340FB4" w:rsidRDefault="008F0CC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340FB4" w:rsidRDefault="008F0CC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340FB4" w:rsidRDefault="00340FB4">
      <w:pPr>
        <w:spacing w:line="540" w:lineRule="exact"/>
        <w:ind w:firstLineChars="250" w:firstLine="800"/>
        <w:jc w:val="right"/>
        <w:rPr>
          <w:rFonts w:ascii="仿宋" w:eastAsia="仿宋" w:hAnsi="仿宋"/>
          <w:color w:val="000000" w:themeColor="text1"/>
          <w:sz w:val="32"/>
          <w:szCs w:val="32"/>
        </w:rPr>
      </w:pPr>
    </w:p>
    <w:p w:rsidR="00340FB4" w:rsidRDefault="008F0CC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博时基金管理</w:t>
      </w:r>
      <w:r>
        <w:rPr>
          <w:rFonts w:ascii="仿宋" w:eastAsia="仿宋" w:hAnsi="仿宋" w:hint="eastAsia"/>
          <w:color w:val="000000" w:themeColor="text1"/>
          <w:sz w:val="32"/>
          <w:szCs w:val="32"/>
        </w:rPr>
        <w:t>有限</w:t>
      </w:r>
      <w:r>
        <w:rPr>
          <w:rFonts w:ascii="仿宋" w:eastAsia="仿宋" w:hAnsi="仿宋"/>
          <w:color w:val="000000" w:themeColor="text1"/>
          <w:sz w:val="32"/>
          <w:szCs w:val="32"/>
        </w:rPr>
        <w:t>公司</w:t>
      </w:r>
    </w:p>
    <w:p w:rsidR="00340FB4" w:rsidRDefault="008F0CC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color w:val="000000" w:themeColor="text1"/>
          <w:sz w:val="32"/>
          <w:szCs w:val="32"/>
        </w:rPr>
        <w:t>日</w:t>
      </w:r>
    </w:p>
    <w:sectPr w:rsidR="00340FB4" w:rsidSect="00340FB4">
      <w:headerReference w:type="default" r:id="rId9"/>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FB4" w:rsidRDefault="00340FB4" w:rsidP="00340FB4">
      <w:r>
        <w:separator/>
      </w:r>
    </w:p>
  </w:endnote>
  <w:endnote w:type="continuationSeparator" w:id="0">
    <w:p w:rsidR="00340FB4" w:rsidRDefault="00340FB4" w:rsidP="00340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340FB4" w:rsidRDefault="00340FB4">
        <w:pPr>
          <w:pStyle w:val="a5"/>
          <w:jc w:val="center"/>
        </w:pPr>
        <w:r>
          <w:fldChar w:fldCharType="begin"/>
        </w:r>
        <w:r w:rsidR="008F0CC9">
          <w:instrText>PAGE   \* MERGEFORMAT</w:instrText>
        </w:r>
        <w:r>
          <w:fldChar w:fldCharType="separate"/>
        </w:r>
        <w:r w:rsidR="008F0CC9" w:rsidRPr="008F0CC9">
          <w:rPr>
            <w:noProof/>
            <w:lang w:val="zh-CN"/>
          </w:rPr>
          <w:t>2</w:t>
        </w:r>
        <w:r>
          <w:fldChar w:fldCharType="end"/>
        </w:r>
      </w:p>
    </w:sdtContent>
  </w:sdt>
  <w:p w:rsidR="00340FB4" w:rsidRDefault="00340F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340FB4" w:rsidRDefault="00340FB4">
        <w:pPr>
          <w:pStyle w:val="a5"/>
          <w:jc w:val="center"/>
        </w:pPr>
        <w:r>
          <w:fldChar w:fldCharType="begin"/>
        </w:r>
        <w:r w:rsidR="008F0CC9">
          <w:instrText>PAGE   \* MERGEFORMAT</w:instrText>
        </w:r>
        <w:r>
          <w:fldChar w:fldCharType="separate"/>
        </w:r>
        <w:r w:rsidR="008F0CC9" w:rsidRPr="008F0CC9">
          <w:rPr>
            <w:noProof/>
            <w:lang w:val="zh-CN"/>
          </w:rPr>
          <w:t>1</w:t>
        </w:r>
        <w:r>
          <w:fldChar w:fldCharType="end"/>
        </w:r>
      </w:p>
    </w:sdtContent>
  </w:sdt>
  <w:p w:rsidR="00340FB4" w:rsidRDefault="00340F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FB4" w:rsidRDefault="00340FB4" w:rsidP="00340FB4">
      <w:r>
        <w:separator/>
      </w:r>
    </w:p>
  </w:footnote>
  <w:footnote w:type="continuationSeparator" w:id="0">
    <w:p w:rsidR="00340FB4" w:rsidRDefault="00340FB4" w:rsidP="00340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FB4" w:rsidRDefault="00340FB4">
    <w:pPr>
      <w:pStyle w:val="a6"/>
    </w:pPr>
  </w:p>
  <w:p w:rsidR="00340FB4" w:rsidRDefault="00340FB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760"/>
    <w:rsid w:val="00010044"/>
    <w:rsid w:val="00022ABD"/>
    <w:rsid w:val="00025D40"/>
    <w:rsid w:val="000300E5"/>
    <w:rsid w:val="0003246C"/>
    <w:rsid w:val="00033010"/>
    <w:rsid w:val="00033204"/>
    <w:rsid w:val="000475F0"/>
    <w:rsid w:val="000539F6"/>
    <w:rsid w:val="00056EE0"/>
    <w:rsid w:val="00057323"/>
    <w:rsid w:val="000759F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612"/>
    <w:rsid w:val="00166B15"/>
    <w:rsid w:val="00172A27"/>
    <w:rsid w:val="00174C8C"/>
    <w:rsid w:val="0017571E"/>
    <w:rsid w:val="00175AED"/>
    <w:rsid w:val="00191702"/>
    <w:rsid w:val="00192262"/>
    <w:rsid w:val="001A593B"/>
    <w:rsid w:val="001C6943"/>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0FB4"/>
    <w:rsid w:val="003467B5"/>
    <w:rsid w:val="00355AEF"/>
    <w:rsid w:val="00355B7C"/>
    <w:rsid w:val="00361065"/>
    <w:rsid w:val="0036248F"/>
    <w:rsid w:val="00382BCB"/>
    <w:rsid w:val="00391944"/>
    <w:rsid w:val="00393949"/>
    <w:rsid w:val="003948AF"/>
    <w:rsid w:val="00394BBC"/>
    <w:rsid w:val="003A4AC6"/>
    <w:rsid w:val="003B46C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B6B"/>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09A9"/>
    <w:rsid w:val="00655229"/>
    <w:rsid w:val="00656B0C"/>
    <w:rsid w:val="0066309A"/>
    <w:rsid w:val="0066627D"/>
    <w:rsid w:val="006832A2"/>
    <w:rsid w:val="00684A20"/>
    <w:rsid w:val="00685C26"/>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7E1"/>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D5109"/>
    <w:rsid w:val="007E3EED"/>
    <w:rsid w:val="007F136D"/>
    <w:rsid w:val="007F60CB"/>
    <w:rsid w:val="0080104E"/>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94B81"/>
    <w:rsid w:val="008A1AFA"/>
    <w:rsid w:val="008A2CE2"/>
    <w:rsid w:val="008A3460"/>
    <w:rsid w:val="008A77F1"/>
    <w:rsid w:val="008B539C"/>
    <w:rsid w:val="008B77D5"/>
    <w:rsid w:val="008C155D"/>
    <w:rsid w:val="008D1059"/>
    <w:rsid w:val="008D4634"/>
    <w:rsid w:val="008E4CD7"/>
    <w:rsid w:val="008E58F7"/>
    <w:rsid w:val="008E6EC1"/>
    <w:rsid w:val="008F0CC9"/>
    <w:rsid w:val="00903815"/>
    <w:rsid w:val="00903C0A"/>
    <w:rsid w:val="009062C4"/>
    <w:rsid w:val="0090723B"/>
    <w:rsid w:val="00910193"/>
    <w:rsid w:val="0092312D"/>
    <w:rsid w:val="00933628"/>
    <w:rsid w:val="009465EA"/>
    <w:rsid w:val="0094712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433A"/>
    <w:rsid w:val="009E64F2"/>
    <w:rsid w:val="009E7875"/>
    <w:rsid w:val="009F72D1"/>
    <w:rsid w:val="00A144A6"/>
    <w:rsid w:val="00A171B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41D"/>
    <w:rsid w:val="00A87DCB"/>
    <w:rsid w:val="00A93A22"/>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38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2EA"/>
    <w:rsid w:val="00CB2CEE"/>
    <w:rsid w:val="00CB4DE3"/>
    <w:rsid w:val="00CC2F35"/>
    <w:rsid w:val="00CC40C3"/>
    <w:rsid w:val="00CD00C4"/>
    <w:rsid w:val="00CD42C4"/>
    <w:rsid w:val="00CE43F8"/>
    <w:rsid w:val="00CE7C8B"/>
    <w:rsid w:val="00CF01CC"/>
    <w:rsid w:val="00CF6D5C"/>
    <w:rsid w:val="00D073A7"/>
    <w:rsid w:val="00D10B1F"/>
    <w:rsid w:val="00D11E1F"/>
    <w:rsid w:val="00D20C81"/>
    <w:rsid w:val="00D25E39"/>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E6D0E"/>
    <w:rsid w:val="00DF3DF3"/>
    <w:rsid w:val="00DF5AA8"/>
    <w:rsid w:val="00E11D7D"/>
    <w:rsid w:val="00E1254C"/>
    <w:rsid w:val="00E1493F"/>
    <w:rsid w:val="00E16895"/>
    <w:rsid w:val="00E32614"/>
    <w:rsid w:val="00E33250"/>
    <w:rsid w:val="00E3526B"/>
    <w:rsid w:val="00E5059C"/>
    <w:rsid w:val="00E54C06"/>
    <w:rsid w:val="00E5664A"/>
    <w:rsid w:val="00E7407A"/>
    <w:rsid w:val="00E81A0A"/>
    <w:rsid w:val="00E964F7"/>
    <w:rsid w:val="00EA6F84"/>
    <w:rsid w:val="00EB0FFB"/>
    <w:rsid w:val="00EB5F37"/>
    <w:rsid w:val="00EB7931"/>
    <w:rsid w:val="00ED548C"/>
    <w:rsid w:val="00ED7F3F"/>
    <w:rsid w:val="00EE629E"/>
    <w:rsid w:val="00EF043C"/>
    <w:rsid w:val="00EF49B3"/>
    <w:rsid w:val="00EF56E1"/>
    <w:rsid w:val="00EF73FD"/>
    <w:rsid w:val="00F00561"/>
    <w:rsid w:val="00F01150"/>
    <w:rsid w:val="00F01E3D"/>
    <w:rsid w:val="00F04DC2"/>
    <w:rsid w:val="00F066D9"/>
    <w:rsid w:val="00F25F52"/>
    <w:rsid w:val="00F469D5"/>
    <w:rsid w:val="00F47FEE"/>
    <w:rsid w:val="00F527B3"/>
    <w:rsid w:val="00F55431"/>
    <w:rsid w:val="00F632AF"/>
    <w:rsid w:val="00F6382D"/>
    <w:rsid w:val="00F63F55"/>
    <w:rsid w:val="00F66378"/>
    <w:rsid w:val="00F71C51"/>
    <w:rsid w:val="00F77F4B"/>
    <w:rsid w:val="00F80D7B"/>
    <w:rsid w:val="00F9100C"/>
    <w:rsid w:val="00FA0934"/>
    <w:rsid w:val="00FA653D"/>
    <w:rsid w:val="00FB23EE"/>
    <w:rsid w:val="00FC34DF"/>
    <w:rsid w:val="00FC366A"/>
    <w:rsid w:val="00FD658E"/>
    <w:rsid w:val="00FE0C5A"/>
    <w:rsid w:val="00FE13A2"/>
    <w:rsid w:val="0A5174C7"/>
    <w:rsid w:val="1B4C0E3C"/>
    <w:rsid w:val="1C8B34B4"/>
    <w:rsid w:val="26122549"/>
    <w:rsid w:val="29F566E0"/>
    <w:rsid w:val="2B0744D8"/>
    <w:rsid w:val="2BA93B79"/>
    <w:rsid w:val="2EEC516F"/>
    <w:rsid w:val="32182BA4"/>
    <w:rsid w:val="3CFD1217"/>
    <w:rsid w:val="411A728E"/>
    <w:rsid w:val="4D3E0C1D"/>
    <w:rsid w:val="6F037A49"/>
    <w:rsid w:val="70A8438D"/>
    <w:rsid w:val="70BA6CD6"/>
    <w:rsid w:val="75E45FA4"/>
    <w:rsid w:val="760706E5"/>
    <w:rsid w:val="76951F31"/>
    <w:rsid w:val="784A7CDC"/>
    <w:rsid w:val="79991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F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40FB4"/>
    <w:pPr>
      <w:jc w:val="left"/>
    </w:pPr>
  </w:style>
  <w:style w:type="paragraph" w:styleId="a4">
    <w:name w:val="Balloon Text"/>
    <w:basedOn w:val="a"/>
    <w:link w:val="Char0"/>
    <w:uiPriority w:val="99"/>
    <w:semiHidden/>
    <w:unhideWhenUsed/>
    <w:qFormat/>
    <w:rsid w:val="00340FB4"/>
    <w:rPr>
      <w:sz w:val="18"/>
      <w:szCs w:val="18"/>
    </w:rPr>
  </w:style>
  <w:style w:type="paragraph" w:styleId="a5">
    <w:name w:val="footer"/>
    <w:basedOn w:val="a"/>
    <w:link w:val="Char1"/>
    <w:uiPriority w:val="99"/>
    <w:unhideWhenUsed/>
    <w:qFormat/>
    <w:rsid w:val="00340FB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40FB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340FB4"/>
    <w:pPr>
      <w:snapToGrid w:val="0"/>
      <w:jc w:val="left"/>
    </w:pPr>
    <w:rPr>
      <w:sz w:val="18"/>
      <w:szCs w:val="18"/>
    </w:rPr>
  </w:style>
  <w:style w:type="paragraph" w:styleId="a8">
    <w:name w:val="annotation subject"/>
    <w:basedOn w:val="a3"/>
    <w:next w:val="a3"/>
    <w:link w:val="Char4"/>
    <w:uiPriority w:val="99"/>
    <w:semiHidden/>
    <w:unhideWhenUsed/>
    <w:qFormat/>
    <w:rsid w:val="00340FB4"/>
    <w:rPr>
      <w:b/>
      <w:bCs/>
    </w:rPr>
  </w:style>
  <w:style w:type="character" w:styleId="a9">
    <w:name w:val="Hyperlink"/>
    <w:basedOn w:val="a0"/>
    <w:uiPriority w:val="99"/>
    <w:unhideWhenUsed/>
    <w:qFormat/>
    <w:rsid w:val="00340FB4"/>
    <w:rPr>
      <w:color w:val="0000FF" w:themeColor="hyperlink"/>
      <w:u w:val="single"/>
    </w:rPr>
  </w:style>
  <w:style w:type="character" w:styleId="aa">
    <w:name w:val="annotation reference"/>
    <w:basedOn w:val="a0"/>
    <w:uiPriority w:val="99"/>
    <w:semiHidden/>
    <w:unhideWhenUsed/>
    <w:qFormat/>
    <w:rsid w:val="00340FB4"/>
    <w:rPr>
      <w:sz w:val="21"/>
      <w:szCs w:val="21"/>
    </w:rPr>
  </w:style>
  <w:style w:type="character" w:styleId="ab">
    <w:name w:val="footnote reference"/>
    <w:basedOn w:val="a0"/>
    <w:uiPriority w:val="99"/>
    <w:semiHidden/>
    <w:unhideWhenUsed/>
    <w:qFormat/>
    <w:rsid w:val="00340FB4"/>
    <w:rPr>
      <w:vertAlign w:val="superscript"/>
    </w:rPr>
  </w:style>
  <w:style w:type="character" w:customStyle="1" w:styleId="Char2">
    <w:name w:val="页眉 Char"/>
    <w:basedOn w:val="a0"/>
    <w:link w:val="a6"/>
    <w:uiPriority w:val="99"/>
    <w:qFormat/>
    <w:rsid w:val="00340FB4"/>
    <w:rPr>
      <w:sz w:val="18"/>
      <w:szCs w:val="18"/>
    </w:rPr>
  </w:style>
  <w:style w:type="character" w:customStyle="1" w:styleId="Char1">
    <w:name w:val="页脚 Char"/>
    <w:basedOn w:val="a0"/>
    <w:link w:val="a5"/>
    <w:uiPriority w:val="99"/>
    <w:qFormat/>
    <w:rsid w:val="00340FB4"/>
    <w:rPr>
      <w:sz w:val="18"/>
      <w:szCs w:val="18"/>
    </w:rPr>
  </w:style>
  <w:style w:type="paragraph" w:styleId="ac">
    <w:name w:val="List Paragraph"/>
    <w:basedOn w:val="a"/>
    <w:uiPriority w:val="34"/>
    <w:qFormat/>
    <w:rsid w:val="00340FB4"/>
    <w:pPr>
      <w:ind w:firstLineChars="200" w:firstLine="420"/>
    </w:pPr>
  </w:style>
  <w:style w:type="character" w:customStyle="1" w:styleId="Char0">
    <w:name w:val="批注框文本 Char"/>
    <w:basedOn w:val="a0"/>
    <w:link w:val="a4"/>
    <w:uiPriority w:val="99"/>
    <w:semiHidden/>
    <w:qFormat/>
    <w:rsid w:val="00340FB4"/>
    <w:rPr>
      <w:sz w:val="18"/>
      <w:szCs w:val="18"/>
    </w:rPr>
  </w:style>
  <w:style w:type="character" w:customStyle="1" w:styleId="Char">
    <w:name w:val="批注文字 Char"/>
    <w:basedOn w:val="a0"/>
    <w:link w:val="a3"/>
    <w:uiPriority w:val="99"/>
    <w:semiHidden/>
    <w:qFormat/>
    <w:rsid w:val="00340FB4"/>
  </w:style>
  <w:style w:type="character" w:customStyle="1" w:styleId="Char4">
    <w:name w:val="批注主题 Char"/>
    <w:basedOn w:val="Char"/>
    <w:link w:val="a8"/>
    <w:uiPriority w:val="99"/>
    <w:semiHidden/>
    <w:qFormat/>
    <w:rsid w:val="00340FB4"/>
    <w:rPr>
      <w:b/>
      <w:bCs/>
    </w:rPr>
  </w:style>
  <w:style w:type="character" w:customStyle="1" w:styleId="Char3">
    <w:name w:val="脚注文本 Char"/>
    <w:basedOn w:val="a0"/>
    <w:link w:val="a7"/>
    <w:uiPriority w:val="99"/>
    <w:semiHidden/>
    <w:qFormat/>
    <w:rsid w:val="00340FB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736A-D9A9-411B-BB40-CA8D4E04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7425</Characters>
  <Application>Microsoft Office Word</Application>
  <DocSecurity>4</DocSecurity>
  <Lines>61</Lines>
  <Paragraphs>17</Paragraphs>
  <ScaleCrop>false</ScaleCrop>
  <Company>CNSTOCK</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2026-03-30T16:10:00Z</dcterms:created>
  <dcterms:modified xsi:type="dcterms:W3CDTF">2026-03-30T16:10:00Z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9060F5FDD18E427EB555CFF91DF09574_13</vt:lpwstr>
  </property>
</Properties>
</file>