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50BA6">
      <w:pPr>
        <w:jc w:val="center"/>
        <w:rPr>
          <w:b/>
          <w:sz w:val="30"/>
          <w:szCs w:val="30"/>
        </w:rPr>
      </w:pPr>
      <w:r>
        <w:rPr>
          <w:rFonts w:hint="eastAsia"/>
          <w:b/>
          <w:sz w:val="30"/>
          <w:szCs w:val="30"/>
        </w:rPr>
        <w:t xml:space="preserve"> </w:t>
      </w:r>
      <w:r>
        <w:rPr>
          <w:rFonts w:hint="eastAsia"/>
          <w:b/>
          <w:sz w:val="30"/>
          <w:szCs w:val="30"/>
        </w:rPr>
        <w:t>关于富国富钱包货币市场基金</w:t>
      </w:r>
      <w:r>
        <w:rPr>
          <w:rFonts w:hint="eastAsia"/>
          <w:b/>
          <w:sz w:val="30"/>
          <w:szCs w:val="30"/>
        </w:rPr>
        <w:t>202</w:t>
      </w:r>
      <w:r>
        <w:rPr>
          <w:rFonts w:hint="eastAsia"/>
          <w:b/>
          <w:sz w:val="30"/>
          <w:szCs w:val="30"/>
        </w:rPr>
        <w:t>6</w:t>
      </w:r>
      <w:r>
        <w:rPr>
          <w:rFonts w:hint="eastAsia"/>
          <w:b/>
          <w:sz w:val="30"/>
          <w:szCs w:val="30"/>
        </w:rPr>
        <w:t>年清明节假期前暂停通过部分代销机构的申购、定期定额投资及转换转入业务的公告</w:t>
      </w:r>
    </w:p>
    <w:p w:rsidR="00000000" w:rsidRDefault="00C50BA6">
      <w:pPr>
        <w:jc w:val="center"/>
        <w:rPr>
          <w:rFonts w:ascii="宋体" w:hAnsi="宋体" w:hint="eastAsia"/>
          <w:color w:val="000000"/>
          <w:sz w:val="24"/>
        </w:rPr>
      </w:pPr>
    </w:p>
    <w:p w:rsidR="00000000" w:rsidRDefault="00C50BA6">
      <w:pPr>
        <w:jc w:val="center"/>
        <w:rPr>
          <w:rFonts w:ascii="宋体" w:hAnsi="宋体"/>
          <w:color w:val="000000"/>
          <w:sz w:val="24"/>
        </w:rPr>
      </w:pPr>
      <w:r>
        <w:rPr>
          <w:rFonts w:ascii="宋体" w:hAnsi="宋体"/>
          <w:color w:val="000000"/>
          <w:sz w:val="24"/>
        </w:rPr>
        <w:t>202</w:t>
      </w:r>
      <w:r>
        <w:rPr>
          <w:rFonts w:ascii="宋体" w:hAnsi="宋体" w:hint="eastAsia"/>
          <w:color w:val="000000"/>
          <w:sz w:val="24"/>
        </w:rPr>
        <w:t>6</w:t>
      </w:r>
      <w:r>
        <w:rPr>
          <w:rFonts w:ascii="宋体" w:hAnsi="宋体"/>
          <w:color w:val="000000"/>
          <w:sz w:val="24"/>
        </w:rPr>
        <w:t>年</w:t>
      </w:r>
      <w:r>
        <w:rPr>
          <w:rFonts w:ascii="宋体" w:hAnsi="宋体" w:hint="eastAsia"/>
          <w:color w:val="000000"/>
          <w:sz w:val="24"/>
        </w:rPr>
        <w:t>3</w:t>
      </w:r>
      <w:r>
        <w:rPr>
          <w:rFonts w:ascii="宋体" w:hAnsi="宋体"/>
          <w:color w:val="000000"/>
          <w:sz w:val="24"/>
        </w:rPr>
        <w:t>月</w:t>
      </w:r>
      <w:r>
        <w:rPr>
          <w:rFonts w:ascii="宋体" w:hAnsi="宋体" w:hint="eastAsia"/>
          <w:color w:val="000000"/>
          <w:sz w:val="24"/>
        </w:rPr>
        <w:t>31</w:t>
      </w:r>
      <w:r>
        <w:rPr>
          <w:rFonts w:ascii="宋体" w:hAnsi="宋体"/>
          <w:color w:val="000000"/>
          <w:sz w:val="24"/>
        </w:rPr>
        <w:t>日</w:t>
      </w:r>
    </w:p>
    <w:p w:rsidR="00000000" w:rsidRDefault="00C50BA6">
      <w:pPr>
        <w:rPr>
          <w:rFonts w:ascii="宋体" w:hAnsi="宋体"/>
          <w:color w:val="000000"/>
          <w:sz w:val="24"/>
        </w:rPr>
      </w:pPr>
    </w:p>
    <w:p w:rsidR="00000000" w:rsidRDefault="00C50BA6">
      <w:pPr>
        <w:pStyle w:val="2"/>
        <w:numPr>
          <w:ilvl w:val="0"/>
          <w:numId w:val="1"/>
        </w:numPr>
        <w:tabs>
          <w:tab w:val="left" w:pos="425"/>
        </w:tabs>
        <w:rPr>
          <w:rFonts w:ascii="宋体" w:eastAsia="宋体" w:hAnsi="宋体"/>
          <w:bCs/>
          <w:color w:val="000000"/>
          <w:sz w:val="24"/>
          <w:szCs w:val="24"/>
        </w:rPr>
      </w:pPr>
      <w:bookmarkStart w:id="0" w:name="_Toc249263629"/>
      <w:r>
        <w:rPr>
          <w:rFonts w:ascii="宋体" w:eastAsia="宋体" w:hAnsi="宋体" w:hint="eastAsia"/>
          <w:bCs/>
          <w:color w:val="000000"/>
          <w:sz w:val="24"/>
          <w:szCs w:val="24"/>
        </w:rPr>
        <w:t>公告基本信息</w:t>
      </w:r>
    </w:p>
    <w:tbl>
      <w:tblPr>
        <w:tblW w:w="91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2877"/>
        <w:gridCol w:w="1854"/>
        <w:gridCol w:w="1607"/>
        <w:gridCol w:w="1402"/>
      </w:tblGrid>
      <w:tr w:rsidR="00000000">
        <w:tc>
          <w:tcPr>
            <w:tcW w:w="4245" w:type="dxa"/>
            <w:gridSpan w:val="2"/>
          </w:tcPr>
          <w:p w:rsidR="00000000" w:rsidRDefault="00C50BA6">
            <w:pPr>
              <w:rPr>
                <w:rFonts w:ascii="宋体" w:hAnsi="宋体"/>
                <w:color w:val="000000"/>
                <w:sz w:val="24"/>
              </w:rPr>
            </w:pPr>
            <w:r>
              <w:rPr>
                <w:rFonts w:ascii="宋体" w:hAnsi="宋体" w:hint="eastAsia"/>
                <w:color w:val="000000"/>
                <w:sz w:val="24"/>
              </w:rPr>
              <w:t>基金名称</w:t>
            </w:r>
          </w:p>
        </w:tc>
        <w:tc>
          <w:tcPr>
            <w:tcW w:w="4863" w:type="dxa"/>
            <w:gridSpan w:val="3"/>
          </w:tcPr>
          <w:p w:rsidR="00000000" w:rsidRDefault="00C50BA6">
            <w:pPr>
              <w:rPr>
                <w:rFonts w:ascii="宋体" w:hAnsi="宋体"/>
                <w:color w:val="000000"/>
                <w:sz w:val="24"/>
              </w:rPr>
            </w:pPr>
            <w:r>
              <w:rPr>
                <w:rFonts w:ascii="宋体" w:hAnsi="宋体" w:hint="eastAsia"/>
                <w:color w:val="000000"/>
                <w:sz w:val="24"/>
              </w:rPr>
              <w:t>富国富钱包货币市场基金</w:t>
            </w:r>
          </w:p>
        </w:tc>
      </w:tr>
      <w:tr w:rsidR="00000000">
        <w:tc>
          <w:tcPr>
            <w:tcW w:w="4245" w:type="dxa"/>
            <w:gridSpan w:val="2"/>
          </w:tcPr>
          <w:p w:rsidR="00000000" w:rsidRDefault="00C50BA6">
            <w:pPr>
              <w:rPr>
                <w:rFonts w:ascii="宋体" w:hAnsi="宋体"/>
                <w:color w:val="000000"/>
                <w:sz w:val="24"/>
              </w:rPr>
            </w:pPr>
            <w:r>
              <w:rPr>
                <w:rFonts w:ascii="宋体" w:hAnsi="宋体" w:hint="eastAsia"/>
                <w:color w:val="000000"/>
                <w:sz w:val="24"/>
              </w:rPr>
              <w:t>基金简称</w:t>
            </w:r>
          </w:p>
        </w:tc>
        <w:tc>
          <w:tcPr>
            <w:tcW w:w="4863" w:type="dxa"/>
            <w:gridSpan w:val="3"/>
          </w:tcPr>
          <w:p w:rsidR="00000000" w:rsidRDefault="00C50BA6">
            <w:pPr>
              <w:rPr>
                <w:rFonts w:ascii="宋体" w:hAnsi="宋体"/>
                <w:color w:val="000000"/>
                <w:sz w:val="24"/>
              </w:rPr>
            </w:pPr>
            <w:r>
              <w:rPr>
                <w:rFonts w:ascii="宋体" w:hAnsi="宋体" w:hint="eastAsia"/>
                <w:color w:val="000000"/>
                <w:sz w:val="24"/>
              </w:rPr>
              <w:t>富国富钱包货币</w:t>
            </w:r>
          </w:p>
        </w:tc>
      </w:tr>
      <w:tr w:rsidR="00000000">
        <w:tc>
          <w:tcPr>
            <w:tcW w:w="4245" w:type="dxa"/>
            <w:gridSpan w:val="2"/>
          </w:tcPr>
          <w:p w:rsidR="00000000" w:rsidRDefault="00C50BA6">
            <w:pPr>
              <w:rPr>
                <w:rFonts w:ascii="宋体" w:hAnsi="宋体"/>
                <w:color w:val="000000"/>
                <w:sz w:val="24"/>
              </w:rPr>
            </w:pPr>
            <w:r>
              <w:rPr>
                <w:rFonts w:ascii="宋体" w:hAnsi="宋体" w:hint="eastAsia"/>
                <w:color w:val="000000"/>
                <w:sz w:val="24"/>
              </w:rPr>
              <w:t>基金主代码</w:t>
            </w:r>
          </w:p>
        </w:tc>
        <w:tc>
          <w:tcPr>
            <w:tcW w:w="4863" w:type="dxa"/>
            <w:gridSpan w:val="3"/>
          </w:tcPr>
          <w:p w:rsidR="00000000" w:rsidRDefault="00C50BA6">
            <w:pPr>
              <w:rPr>
                <w:rFonts w:ascii="宋体" w:hAnsi="宋体"/>
                <w:color w:val="000000"/>
                <w:sz w:val="24"/>
              </w:rPr>
            </w:pPr>
            <w:r>
              <w:rPr>
                <w:rFonts w:ascii="宋体" w:hAnsi="宋体"/>
                <w:color w:val="000000"/>
                <w:sz w:val="24"/>
              </w:rPr>
              <w:t>000638</w:t>
            </w:r>
          </w:p>
        </w:tc>
      </w:tr>
      <w:tr w:rsidR="00000000">
        <w:tc>
          <w:tcPr>
            <w:tcW w:w="4245" w:type="dxa"/>
            <w:gridSpan w:val="2"/>
          </w:tcPr>
          <w:p w:rsidR="00000000" w:rsidRDefault="00C50BA6">
            <w:pPr>
              <w:rPr>
                <w:rFonts w:ascii="宋体" w:hAnsi="宋体"/>
                <w:color w:val="000000"/>
                <w:sz w:val="24"/>
              </w:rPr>
            </w:pPr>
            <w:r>
              <w:rPr>
                <w:rFonts w:ascii="宋体" w:hAnsi="宋体" w:hint="eastAsia"/>
                <w:color w:val="000000"/>
                <w:sz w:val="24"/>
              </w:rPr>
              <w:t>基金管理人名称</w:t>
            </w:r>
          </w:p>
        </w:tc>
        <w:tc>
          <w:tcPr>
            <w:tcW w:w="4863" w:type="dxa"/>
            <w:gridSpan w:val="3"/>
          </w:tcPr>
          <w:p w:rsidR="00000000" w:rsidRDefault="00C50BA6">
            <w:pPr>
              <w:rPr>
                <w:rFonts w:ascii="宋体" w:hAnsi="宋体"/>
                <w:color w:val="000000"/>
                <w:sz w:val="24"/>
              </w:rPr>
            </w:pPr>
            <w:r>
              <w:rPr>
                <w:rFonts w:ascii="宋体" w:hAnsi="宋体" w:hint="eastAsia"/>
                <w:color w:val="000000"/>
                <w:sz w:val="24"/>
              </w:rPr>
              <w:t>富国基金管理有限公司</w:t>
            </w:r>
          </w:p>
        </w:tc>
      </w:tr>
      <w:tr w:rsidR="00000000">
        <w:tc>
          <w:tcPr>
            <w:tcW w:w="4245" w:type="dxa"/>
            <w:gridSpan w:val="2"/>
          </w:tcPr>
          <w:p w:rsidR="00000000" w:rsidRDefault="00C50BA6">
            <w:pPr>
              <w:rPr>
                <w:rFonts w:ascii="宋体" w:hAnsi="宋体"/>
                <w:color w:val="000000"/>
                <w:sz w:val="24"/>
              </w:rPr>
            </w:pPr>
            <w:r>
              <w:rPr>
                <w:rFonts w:ascii="宋体" w:hAnsi="宋体" w:hint="eastAsia"/>
                <w:color w:val="000000"/>
                <w:sz w:val="24"/>
              </w:rPr>
              <w:t>公告依据</w:t>
            </w:r>
          </w:p>
        </w:tc>
        <w:tc>
          <w:tcPr>
            <w:tcW w:w="4863" w:type="dxa"/>
            <w:gridSpan w:val="3"/>
          </w:tcPr>
          <w:p w:rsidR="00000000" w:rsidRDefault="00C50BA6">
            <w:pPr>
              <w:rPr>
                <w:rFonts w:ascii="宋体" w:hAnsi="宋体"/>
                <w:color w:val="000000"/>
                <w:sz w:val="24"/>
              </w:rPr>
            </w:pPr>
            <w:r>
              <w:rPr>
                <w:rFonts w:ascii="宋体" w:hAnsi="宋体" w:hint="eastAsia"/>
                <w:color w:val="000000"/>
                <w:sz w:val="24"/>
              </w:rPr>
              <w:t>《中华人民共和国证券投资基金法》及配套法规、《富国富钱包货币市场基金基金合同》、《富国富钱包货币市场基金招募说明书》及其更新等</w:t>
            </w:r>
          </w:p>
        </w:tc>
      </w:tr>
      <w:tr w:rsidR="00000000">
        <w:tc>
          <w:tcPr>
            <w:tcW w:w="1368" w:type="dxa"/>
            <w:vMerge w:val="restart"/>
            <w:vAlign w:val="center"/>
          </w:tcPr>
          <w:p w:rsidR="00000000" w:rsidRDefault="00C50BA6">
            <w:pPr>
              <w:rPr>
                <w:rFonts w:ascii="宋体" w:hAnsi="宋体"/>
                <w:color w:val="000000"/>
                <w:sz w:val="24"/>
              </w:rPr>
            </w:pPr>
            <w:r>
              <w:rPr>
                <w:rFonts w:ascii="宋体" w:hAnsi="宋体" w:hint="eastAsia"/>
                <w:color w:val="000000"/>
                <w:sz w:val="24"/>
              </w:rPr>
              <w:t>暂停相关业务的起始日、金额及原因说明</w:t>
            </w:r>
          </w:p>
        </w:tc>
        <w:tc>
          <w:tcPr>
            <w:tcW w:w="2877" w:type="dxa"/>
          </w:tcPr>
          <w:p w:rsidR="00000000" w:rsidRDefault="00C50BA6">
            <w:pPr>
              <w:rPr>
                <w:rFonts w:ascii="宋体" w:hAnsi="宋体"/>
                <w:color w:val="000000"/>
                <w:sz w:val="24"/>
              </w:rPr>
            </w:pPr>
            <w:r>
              <w:rPr>
                <w:rFonts w:ascii="宋体" w:hAnsi="宋体" w:hint="eastAsia"/>
                <w:color w:val="000000"/>
                <w:sz w:val="24"/>
              </w:rPr>
              <w:t>暂停申购起始日</w:t>
            </w:r>
          </w:p>
        </w:tc>
        <w:tc>
          <w:tcPr>
            <w:tcW w:w="4863" w:type="dxa"/>
            <w:gridSpan w:val="3"/>
          </w:tcPr>
          <w:p w:rsidR="00000000" w:rsidRDefault="00C50BA6">
            <w:r>
              <w:rPr>
                <w:rFonts w:ascii="宋体" w:hAnsi="宋体" w:hint="eastAsia"/>
                <w:color w:val="000000"/>
                <w:sz w:val="24"/>
              </w:rPr>
              <w:t>202</w:t>
            </w:r>
            <w:r>
              <w:rPr>
                <w:rFonts w:ascii="宋体" w:hAnsi="宋体" w:hint="eastAsia"/>
                <w:color w:val="000000"/>
                <w:sz w:val="24"/>
              </w:rPr>
              <w:t>6</w:t>
            </w:r>
            <w:r>
              <w:rPr>
                <w:rFonts w:ascii="宋体" w:hAnsi="宋体" w:hint="eastAsia"/>
                <w:color w:val="000000"/>
                <w:sz w:val="24"/>
              </w:rPr>
              <w:t>年</w:t>
            </w:r>
            <w:r>
              <w:rPr>
                <w:rFonts w:ascii="宋体" w:hAnsi="宋体" w:hint="eastAsia"/>
                <w:color w:val="000000"/>
                <w:sz w:val="24"/>
              </w:rPr>
              <w:t>4</w:t>
            </w:r>
            <w:r>
              <w:rPr>
                <w:rFonts w:ascii="宋体" w:hAnsi="宋体" w:hint="eastAsia"/>
                <w:color w:val="000000"/>
                <w:sz w:val="24"/>
              </w:rPr>
              <w:t>月</w:t>
            </w:r>
            <w:r>
              <w:rPr>
                <w:rFonts w:ascii="宋体" w:hAnsi="宋体" w:hint="eastAsia"/>
                <w:color w:val="000000"/>
                <w:sz w:val="24"/>
              </w:rPr>
              <w:t>2</w:t>
            </w:r>
            <w:r>
              <w:rPr>
                <w:rFonts w:ascii="宋体" w:hAnsi="宋体" w:hint="eastAsia"/>
                <w:color w:val="000000"/>
                <w:sz w:val="24"/>
              </w:rPr>
              <w:t>日</w:t>
            </w:r>
          </w:p>
        </w:tc>
      </w:tr>
      <w:tr w:rsidR="00000000">
        <w:tc>
          <w:tcPr>
            <w:tcW w:w="1368" w:type="dxa"/>
            <w:vMerge/>
            <w:vAlign w:val="center"/>
          </w:tcPr>
          <w:p w:rsidR="00000000" w:rsidRDefault="00C50BA6">
            <w:pPr>
              <w:rPr>
                <w:rFonts w:ascii="宋体" w:hAnsi="宋体" w:hint="eastAsia"/>
                <w:color w:val="000000"/>
                <w:sz w:val="24"/>
              </w:rPr>
            </w:pPr>
          </w:p>
        </w:tc>
        <w:tc>
          <w:tcPr>
            <w:tcW w:w="2877" w:type="dxa"/>
          </w:tcPr>
          <w:p w:rsidR="00000000" w:rsidRDefault="00C50BA6">
            <w:pPr>
              <w:rPr>
                <w:rFonts w:ascii="宋体" w:hAnsi="宋体" w:hint="eastAsia"/>
                <w:color w:val="000000"/>
                <w:sz w:val="24"/>
              </w:rPr>
            </w:pPr>
            <w:r>
              <w:rPr>
                <w:rFonts w:ascii="宋体" w:hAnsi="宋体" w:hint="eastAsia"/>
                <w:color w:val="000000"/>
                <w:sz w:val="24"/>
              </w:rPr>
              <w:t>暂停转换转</w:t>
            </w:r>
            <w:r>
              <w:rPr>
                <w:rFonts w:ascii="宋体" w:hAnsi="宋体" w:hint="eastAsia"/>
                <w:color w:val="000000"/>
                <w:sz w:val="24"/>
              </w:rPr>
              <w:t>入起始日</w:t>
            </w:r>
          </w:p>
        </w:tc>
        <w:tc>
          <w:tcPr>
            <w:tcW w:w="4863" w:type="dxa"/>
            <w:gridSpan w:val="3"/>
          </w:tcPr>
          <w:p w:rsidR="00000000" w:rsidRDefault="00C50BA6">
            <w:r>
              <w:rPr>
                <w:rFonts w:ascii="宋体" w:hAnsi="宋体" w:hint="eastAsia"/>
                <w:color w:val="000000"/>
                <w:sz w:val="24"/>
              </w:rPr>
              <w:t>202</w:t>
            </w:r>
            <w:r>
              <w:rPr>
                <w:rFonts w:ascii="宋体" w:hAnsi="宋体" w:hint="eastAsia"/>
                <w:color w:val="000000"/>
                <w:sz w:val="24"/>
              </w:rPr>
              <w:t>6</w:t>
            </w:r>
            <w:r>
              <w:rPr>
                <w:rFonts w:ascii="宋体" w:hAnsi="宋体" w:hint="eastAsia"/>
                <w:color w:val="000000"/>
                <w:sz w:val="24"/>
              </w:rPr>
              <w:t>年</w:t>
            </w:r>
            <w:r>
              <w:rPr>
                <w:rFonts w:ascii="宋体" w:hAnsi="宋体" w:hint="eastAsia"/>
                <w:color w:val="000000"/>
                <w:sz w:val="24"/>
              </w:rPr>
              <w:t>4</w:t>
            </w:r>
            <w:r>
              <w:rPr>
                <w:rFonts w:ascii="宋体" w:hAnsi="宋体" w:hint="eastAsia"/>
                <w:color w:val="000000"/>
                <w:sz w:val="24"/>
              </w:rPr>
              <w:t>月</w:t>
            </w:r>
            <w:r>
              <w:rPr>
                <w:rFonts w:ascii="宋体" w:hAnsi="宋体" w:hint="eastAsia"/>
                <w:color w:val="000000"/>
                <w:sz w:val="24"/>
              </w:rPr>
              <w:t>2</w:t>
            </w:r>
            <w:r>
              <w:rPr>
                <w:rFonts w:ascii="宋体" w:hAnsi="宋体" w:hint="eastAsia"/>
                <w:color w:val="000000"/>
                <w:sz w:val="24"/>
              </w:rPr>
              <w:t>日</w:t>
            </w:r>
          </w:p>
        </w:tc>
      </w:tr>
      <w:tr w:rsidR="00000000">
        <w:tc>
          <w:tcPr>
            <w:tcW w:w="1368" w:type="dxa"/>
            <w:vMerge/>
          </w:tcPr>
          <w:p w:rsidR="00000000" w:rsidRDefault="00C50BA6">
            <w:pPr>
              <w:keepNext/>
              <w:keepLines/>
              <w:spacing w:before="260" w:after="260" w:line="416" w:lineRule="auto"/>
              <w:rPr>
                <w:rFonts w:ascii="宋体" w:hAnsi="宋体"/>
                <w:color w:val="000000"/>
                <w:sz w:val="24"/>
              </w:rPr>
            </w:pPr>
          </w:p>
        </w:tc>
        <w:tc>
          <w:tcPr>
            <w:tcW w:w="2877" w:type="dxa"/>
          </w:tcPr>
          <w:p w:rsidR="00000000" w:rsidRDefault="00C50BA6">
            <w:pPr>
              <w:rPr>
                <w:rFonts w:ascii="宋体" w:hAnsi="宋体"/>
                <w:color w:val="000000"/>
                <w:sz w:val="24"/>
              </w:rPr>
            </w:pPr>
            <w:r>
              <w:rPr>
                <w:rFonts w:ascii="宋体" w:hAnsi="宋体" w:hint="eastAsia"/>
                <w:color w:val="000000"/>
                <w:sz w:val="24"/>
              </w:rPr>
              <w:t>暂停定期定额投资起始日</w:t>
            </w:r>
          </w:p>
        </w:tc>
        <w:tc>
          <w:tcPr>
            <w:tcW w:w="4863" w:type="dxa"/>
            <w:gridSpan w:val="3"/>
          </w:tcPr>
          <w:p w:rsidR="00000000" w:rsidRDefault="00C50BA6">
            <w:r>
              <w:rPr>
                <w:rFonts w:ascii="宋体" w:hAnsi="宋体" w:hint="eastAsia"/>
                <w:color w:val="000000"/>
                <w:sz w:val="24"/>
              </w:rPr>
              <w:t>202</w:t>
            </w:r>
            <w:r>
              <w:rPr>
                <w:rFonts w:ascii="宋体" w:hAnsi="宋体" w:hint="eastAsia"/>
                <w:color w:val="000000"/>
                <w:sz w:val="24"/>
              </w:rPr>
              <w:t>6</w:t>
            </w:r>
            <w:r>
              <w:rPr>
                <w:rFonts w:ascii="宋体" w:hAnsi="宋体" w:hint="eastAsia"/>
                <w:color w:val="000000"/>
                <w:sz w:val="24"/>
              </w:rPr>
              <w:t>年</w:t>
            </w:r>
            <w:r>
              <w:rPr>
                <w:rFonts w:ascii="宋体" w:hAnsi="宋体" w:hint="eastAsia"/>
                <w:color w:val="000000"/>
                <w:sz w:val="24"/>
              </w:rPr>
              <w:t>4</w:t>
            </w:r>
            <w:r>
              <w:rPr>
                <w:rFonts w:ascii="宋体" w:hAnsi="宋体" w:hint="eastAsia"/>
                <w:color w:val="000000"/>
                <w:sz w:val="24"/>
              </w:rPr>
              <w:t>月</w:t>
            </w:r>
            <w:r>
              <w:rPr>
                <w:rFonts w:ascii="宋体" w:hAnsi="宋体" w:hint="eastAsia"/>
                <w:color w:val="000000"/>
                <w:sz w:val="24"/>
              </w:rPr>
              <w:t>2</w:t>
            </w:r>
            <w:r>
              <w:rPr>
                <w:rFonts w:ascii="宋体" w:hAnsi="宋体" w:hint="eastAsia"/>
                <w:color w:val="000000"/>
                <w:sz w:val="24"/>
              </w:rPr>
              <w:t>日</w:t>
            </w:r>
          </w:p>
        </w:tc>
      </w:tr>
      <w:tr w:rsidR="00000000">
        <w:tc>
          <w:tcPr>
            <w:tcW w:w="1368" w:type="dxa"/>
            <w:vMerge/>
          </w:tcPr>
          <w:p w:rsidR="00000000" w:rsidRDefault="00C50BA6">
            <w:pPr>
              <w:keepNext/>
              <w:keepLines/>
              <w:spacing w:before="260" w:after="260" w:line="416" w:lineRule="auto"/>
              <w:rPr>
                <w:rFonts w:ascii="宋体" w:hAnsi="宋体"/>
                <w:color w:val="000000"/>
                <w:sz w:val="24"/>
              </w:rPr>
            </w:pPr>
          </w:p>
        </w:tc>
        <w:tc>
          <w:tcPr>
            <w:tcW w:w="2877" w:type="dxa"/>
          </w:tcPr>
          <w:p w:rsidR="00000000" w:rsidRDefault="00C50BA6">
            <w:pPr>
              <w:rPr>
                <w:rFonts w:ascii="宋体" w:hAnsi="宋体"/>
                <w:color w:val="000000"/>
                <w:sz w:val="24"/>
              </w:rPr>
            </w:pPr>
            <w:r>
              <w:rPr>
                <w:rFonts w:ascii="宋体" w:hAnsi="宋体" w:hint="eastAsia"/>
                <w:color w:val="000000"/>
                <w:sz w:val="24"/>
              </w:rPr>
              <w:t>暂停申购、定期定额投资、转换转入的原因说明</w:t>
            </w:r>
          </w:p>
        </w:tc>
        <w:tc>
          <w:tcPr>
            <w:tcW w:w="4863" w:type="dxa"/>
            <w:gridSpan w:val="3"/>
          </w:tcPr>
          <w:p w:rsidR="00000000" w:rsidRDefault="00C50BA6">
            <w:pPr>
              <w:rPr>
                <w:rFonts w:ascii="宋体" w:hAnsi="宋体"/>
                <w:color w:val="000000"/>
                <w:sz w:val="24"/>
              </w:rPr>
            </w:pPr>
            <w:r>
              <w:rPr>
                <w:rFonts w:ascii="宋体" w:hAnsi="宋体" w:hint="eastAsia"/>
                <w:color w:val="000000"/>
                <w:sz w:val="24"/>
              </w:rPr>
              <w:t>按照《国务院办公厅关于</w:t>
            </w:r>
            <w:r>
              <w:rPr>
                <w:rFonts w:ascii="宋体" w:hAnsi="宋体" w:hint="eastAsia"/>
                <w:color w:val="000000"/>
                <w:sz w:val="24"/>
              </w:rPr>
              <w:t>202</w:t>
            </w:r>
            <w:r>
              <w:rPr>
                <w:rFonts w:ascii="宋体" w:hAnsi="宋体" w:hint="eastAsia"/>
                <w:color w:val="000000"/>
                <w:sz w:val="24"/>
              </w:rPr>
              <w:t>6</w:t>
            </w:r>
            <w:r>
              <w:rPr>
                <w:rFonts w:ascii="宋体" w:hAnsi="宋体" w:hint="eastAsia"/>
                <w:color w:val="000000"/>
                <w:sz w:val="24"/>
              </w:rPr>
              <w:t>年部分节假日安排的通知》（国办发明电〔</w:t>
            </w:r>
            <w:r>
              <w:rPr>
                <w:rFonts w:ascii="宋体" w:hAnsi="宋体" w:hint="eastAsia"/>
                <w:color w:val="000000"/>
                <w:sz w:val="24"/>
              </w:rPr>
              <w:t>202</w:t>
            </w:r>
            <w:r>
              <w:rPr>
                <w:rFonts w:ascii="宋体" w:hAnsi="宋体" w:hint="eastAsia"/>
                <w:color w:val="000000"/>
                <w:sz w:val="24"/>
              </w:rPr>
              <w:t>5</w:t>
            </w:r>
            <w:r>
              <w:rPr>
                <w:rFonts w:ascii="宋体" w:hAnsi="宋体" w:hint="eastAsia"/>
                <w:color w:val="000000"/>
                <w:sz w:val="24"/>
              </w:rPr>
              <w:t>〕</w:t>
            </w:r>
            <w:r>
              <w:rPr>
                <w:rFonts w:ascii="宋体" w:hAnsi="宋体" w:hint="eastAsia"/>
                <w:color w:val="000000"/>
                <w:sz w:val="24"/>
              </w:rPr>
              <w:t>7</w:t>
            </w:r>
            <w:r>
              <w:rPr>
                <w:rFonts w:ascii="宋体" w:hAnsi="宋体" w:hint="eastAsia"/>
                <w:color w:val="000000"/>
                <w:sz w:val="24"/>
              </w:rPr>
              <w:t>号），</w:t>
            </w:r>
            <w:r>
              <w:rPr>
                <w:rFonts w:ascii="宋体" w:hAnsi="宋体" w:hint="eastAsia"/>
                <w:color w:val="000000"/>
                <w:sz w:val="24"/>
              </w:rPr>
              <w:t>202</w:t>
            </w:r>
            <w:r>
              <w:rPr>
                <w:rFonts w:ascii="宋体" w:hAnsi="宋体" w:hint="eastAsia"/>
                <w:color w:val="000000"/>
                <w:sz w:val="24"/>
              </w:rPr>
              <w:t>6</w:t>
            </w:r>
            <w:r>
              <w:rPr>
                <w:rFonts w:ascii="宋体" w:hAnsi="宋体" w:hint="eastAsia"/>
                <w:color w:val="000000"/>
                <w:sz w:val="24"/>
              </w:rPr>
              <w:t>年</w:t>
            </w:r>
            <w:r>
              <w:rPr>
                <w:rFonts w:ascii="宋体" w:hAnsi="宋体" w:hint="eastAsia"/>
                <w:color w:val="000000"/>
                <w:sz w:val="24"/>
              </w:rPr>
              <w:t>4</w:t>
            </w:r>
            <w:r>
              <w:rPr>
                <w:rFonts w:ascii="宋体" w:hAnsi="宋体" w:hint="eastAsia"/>
                <w:color w:val="000000"/>
                <w:sz w:val="24"/>
              </w:rPr>
              <w:t>月</w:t>
            </w:r>
            <w:r>
              <w:rPr>
                <w:rFonts w:ascii="宋体" w:hAnsi="宋体" w:hint="eastAsia"/>
                <w:color w:val="000000"/>
                <w:sz w:val="24"/>
              </w:rPr>
              <w:t>4</w:t>
            </w:r>
            <w:r>
              <w:rPr>
                <w:rFonts w:ascii="宋体" w:hAnsi="宋体" w:hint="eastAsia"/>
                <w:color w:val="000000"/>
                <w:sz w:val="24"/>
              </w:rPr>
              <w:t>日至</w:t>
            </w:r>
            <w:r>
              <w:rPr>
                <w:rFonts w:ascii="宋体" w:hAnsi="宋体" w:hint="eastAsia"/>
                <w:color w:val="000000"/>
                <w:sz w:val="24"/>
              </w:rPr>
              <w:t>202</w:t>
            </w:r>
            <w:r>
              <w:rPr>
                <w:rFonts w:ascii="宋体" w:hAnsi="宋体" w:hint="eastAsia"/>
                <w:color w:val="000000"/>
                <w:sz w:val="24"/>
              </w:rPr>
              <w:t>6</w:t>
            </w:r>
            <w:r>
              <w:rPr>
                <w:rFonts w:ascii="宋体" w:hAnsi="宋体" w:hint="eastAsia"/>
                <w:color w:val="000000"/>
                <w:sz w:val="24"/>
              </w:rPr>
              <w:t>年</w:t>
            </w:r>
            <w:r>
              <w:rPr>
                <w:rFonts w:ascii="宋体" w:hAnsi="宋体" w:hint="eastAsia"/>
                <w:color w:val="000000"/>
                <w:sz w:val="24"/>
              </w:rPr>
              <w:t>4</w:t>
            </w:r>
            <w:r>
              <w:rPr>
                <w:rFonts w:ascii="宋体" w:hAnsi="宋体" w:hint="eastAsia"/>
                <w:color w:val="000000"/>
                <w:sz w:val="24"/>
              </w:rPr>
              <w:t>月</w:t>
            </w:r>
            <w:r>
              <w:rPr>
                <w:rFonts w:ascii="宋体" w:hAnsi="宋体" w:hint="eastAsia"/>
                <w:color w:val="000000"/>
                <w:sz w:val="24"/>
              </w:rPr>
              <w:t>6</w:t>
            </w:r>
            <w:r>
              <w:rPr>
                <w:rFonts w:ascii="宋体" w:hAnsi="宋体" w:hint="eastAsia"/>
                <w:color w:val="000000"/>
                <w:sz w:val="24"/>
              </w:rPr>
              <w:t>日为节假日，为保护投资者的利益，根据有关法律法规和基金合同的相关规定，基金管理人决定于</w:t>
            </w:r>
            <w:r>
              <w:rPr>
                <w:rFonts w:ascii="宋体" w:hAnsi="宋体" w:hint="eastAsia"/>
                <w:color w:val="000000"/>
                <w:sz w:val="24"/>
              </w:rPr>
              <w:t>202</w:t>
            </w:r>
            <w:r>
              <w:rPr>
                <w:rFonts w:ascii="宋体" w:hAnsi="宋体" w:hint="eastAsia"/>
                <w:color w:val="000000"/>
                <w:sz w:val="24"/>
              </w:rPr>
              <w:t>6</w:t>
            </w:r>
            <w:r>
              <w:rPr>
                <w:rFonts w:ascii="宋体" w:hAnsi="宋体" w:hint="eastAsia"/>
                <w:color w:val="000000"/>
                <w:sz w:val="24"/>
              </w:rPr>
              <w:t>年</w:t>
            </w:r>
            <w:r>
              <w:rPr>
                <w:rFonts w:ascii="宋体" w:hAnsi="宋体" w:hint="eastAsia"/>
                <w:color w:val="000000"/>
                <w:sz w:val="24"/>
              </w:rPr>
              <w:t>4</w:t>
            </w:r>
            <w:r>
              <w:rPr>
                <w:rFonts w:ascii="宋体" w:hAnsi="宋体" w:hint="eastAsia"/>
                <w:color w:val="000000"/>
                <w:sz w:val="24"/>
              </w:rPr>
              <w:t>月</w:t>
            </w:r>
            <w:r>
              <w:rPr>
                <w:rFonts w:ascii="宋体" w:hAnsi="宋体" w:hint="eastAsia"/>
                <w:color w:val="000000"/>
                <w:sz w:val="24"/>
              </w:rPr>
              <w:t>2</w:t>
            </w:r>
            <w:r>
              <w:rPr>
                <w:rFonts w:ascii="宋体" w:hAnsi="宋体" w:hint="eastAsia"/>
                <w:color w:val="000000"/>
                <w:sz w:val="24"/>
              </w:rPr>
              <w:t>日至</w:t>
            </w:r>
            <w:r>
              <w:rPr>
                <w:rFonts w:ascii="宋体" w:hAnsi="宋体" w:hint="eastAsia"/>
                <w:color w:val="000000"/>
                <w:sz w:val="24"/>
              </w:rPr>
              <w:t>202</w:t>
            </w:r>
            <w:r>
              <w:rPr>
                <w:rFonts w:ascii="宋体" w:hAnsi="宋体" w:hint="eastAsia"/>
                <w:color w:val="000000"/>
                <w:sz w:val="24"/>
              </w:rPr>
              <w:t>6</w:t>
            </w:r>
            <w:r>
              <w:rPr>
                <w:rFonts w:ascii="宋体" w:hAnsi="宋体" w:hint="eastAsia"/>
                <w:color w:val="000000"/>
                <w:sz w:val="24"/>
              </w:rPr>
              <w:t>年</w:t>
            </w:r>
            <w:r>
              <w:rPr>
                <w:rFonts w:ascii="宋体" w:hAnsi="宋体" w:hint="eastAsia"/>
                <w:color w:val="000000"/>
                <w:sz w:val="24"/>
              </w:rPr>
              <w:t>4</w:t>
            </w:r>
            <w:r>
              <w:rPr>
                <w:rFonts w:ascii="宋体" w:hAnsi="宋体" w:hint="eastAsia"/>
                <w:color w:val="000000"/>
                <w:sz w:val="24"/>
              </w:rPr>
              <w:t>月</w:t>
            </w:r>
            <w:r>
              <w:rPr>
                <w:rFonts w:ascii="宋体" w:hAnsi="宋体" w:hint="eastAsia"/>
                <w:color w:val="000000"/>
                <w:sz w:val="24"/>
              </w:rPr>
              <w:t>6</w:t>
            </w:r>
            <w:r>
              <w:rPr>
                <w:rFonts w:ascii="宋体" w:hAnsi="宋体" w:hint="eastAsia"/>
                <w:color w:val="000000"/>
                <w:sz w:val="24"/>
              </w:rPr>
              <w:t>日暂停办理通过部分代销机构对本基金的申购、定期定额投资及转换转入业务。</w:t>
            </w:r>
          </w:p>
        </w:tc>
      </w:tr>
      <w:tr w:rsidR="00000000">
        <w:trPr>
          <w:trHeight w:val="537"/>
        </w:trPr>
        <w:tc>
          <w:tcPr>
            <w:tcW w:w="4245" w:type="dxa"/>
            <w:gridSpan w:val="2"/>
            <w:vAlign w:val="center"/>
          </w:tcPr>
          <w:p w:rsidR="00000000" w:rsidRDefault="00C50BA6">
            <w:pPr>
              <w:rPr>
                <w:rFonts w:ascii="宋体" w:hAnsi="宋体"/>
                <w:color w:val="000000"/>
                <w:sz w:val="24"/>
              </w:rPr>
            </w:pPr>
            <w:r>
              <w:rPr>
                <w:rFonts w:ascii="宋体" w:hAnsi="宋体" w:hint="eastAsia"/>
                <w:color w:val="000000"/>
                <w:sz w:val="24"/>
              </w:rPr>
              <w:t>下属分级基金的基金简称</w:t>
            </w:r>
          </w:p>
        </w:tc>
        <w:tc>
          <w:tcPr>
            <w:tcW w:w="1854" w:type="dxa"/>
            <w:vAlign w:val="center"/>
          </w:tcPr>
          <w:p w:rsidR="00000000" w:rsidRDefault="00C50BA6">
            <w:pPr>
              <w:rPr>
                <w:rFonts w:ascii="宋体" w:hAnsi="宋体" w:hint="eastAsia"/>
                <w:color w:val="000000"/>
                <w:sz w:val="24"/>
              </w:rPr>
            </w:pPr>
            <w:r>
              <w:rPr>
                <w:rFonts w:ascii="宋体" w:hAnsi="宋体" w:hint="eastAsia"/>
                <w:color w:val="000000"/>
                <w:sz w:val="24"/>
              </w:rPr>
              <w:t>富国富钱包货币</w:t>
            </w:r>
            <w:r>
              <w:rPr>
                <w:rFonts w:ascii="宋体" w:hAnsi="宋体" w:hint="eastAsia"/>
                <w:color w:val="000000"/>
                <w:sz w:val="24"/>
              </w:rPr>
              <w:t>A</w:t>
            </w:r>
          </w:p>
        </w:tc>
        <w:tc>
          <w:tcPr>
            <w:tcW w:w="1607" w:type="dxa"/>
            <w:vAlign w:val="center"/>
          </w:tcPr>
          <w:p w:rsidR="00000000" w:rsidRDefault="00C50BA6">
            <w:pPr>
              <w:rPr>
                <w:rFonts w:ascii="宋体" w:hAnsi="宋体" w:hint="eastAsia"/>
                <w:color w:val="000000"/>
                <w:sz w:val="24"/>
              </w:rPr>
            </w:pPr>
            <w:r>
              <w:rPr>
                <w:rFonts w:ascii="宋体" w:hAnsi="宋体" w:hint="eastAsia"/>
                <w:color w:val="000000"/>
                <w:sz w:val="24"/>
              </w:rPr>
              <w:t>富国富钱包货币</w:t>
            </w:r>
            <w:r>
              <w:rPr>
                <w:rFonts w:ascii="宋体" w:hAnsi="宋体" w:hint="eastAsia"/>
                <w:color w:val="000000"/>
                <w:sz w:val="24"/>
              </w:rPr>
              <w:t>B</w:t>
            </w:r>
          </w:p>
        </w:tc>
        <w:tc>
          <w:tcPr>
            <w:tcW w:w="1402" w:type="dxa"/>
            <w:vAlign w:val="center"/>
          </w:tcPr>
          <w:p w:rsidR="00000000" w:rsidRDefault="00C50BA6">
            <w:pPr>
              <w:rPr>
                <w:rFonts w:ascii="宋体" w:hAnsi="宋体" w:hint="eastAsia"/>
                <w:color w:val="000000"/>
                <w:sz w:val="24"/>
              </w:rPr>
            </w:pPr>
            <w:r>
              <w:rPr>
                <w:rFonts w:ascii="宋体" w:hAnsi="宋体" w:hint="eastAsia"/>
                <w:color w:val="000000"/>
                <w:sz w:val="24"/>
              </w:rPr>
              <w:t>富国富钱</w:t>
            </w:r>
            <w:r>
              <w:rPr>
                <w:rFonts w:ascii="宋体" w:hAnsi="宋体" w:hint="eastAsia"/>
                <w:color w:val="000000"/>
                <w:sz w:val="24"/>
              </w:rPr>
              <w:t>包货币</w:t>
            </w:r>
            <w:r>
              <w:rPr>
                <w:rFonts w:ascii="宋体" w:hAnsi="宋体" w:hint="eastAsia"/>
                <w:color w:val="000000"/>
                <w:sz w:val="24"/>
              </w:rPr>
              <w:t>C</w:t>
            </w:r>
          </w:p>
        </w:tc>
      </w:tr>
      <w:tr w:rsidR="00000000">
        <w:trPr>
          <w:trHeight w:val="475"/>
        </w:trPr>
        <w:tc>
          <w:tcPr>
            <w:tcW w:w="4245" w:type="dxa"/>
            <w:gridSpan w:val="2"/>
            <w:vAlign w:val="center"/>
          </w:tcPr>
          <w:p w:rsidR="00000000" w:rsidRDefault="00C50BA6">
            <w:pPr>
              <w:rPr>
                <w:rFonts w:ascii="宋体" w:hAnsi="宋体" w:hint="eastAsia"/>
                <w:color w:val="000000"/>
                <w:sz w:val="24"/>
              </w:rPr>
            </w:pPr>
            <w:r>
              <w:rPr>
                <w:rFonts w:ascii="宋体" w:hAnsi="宋体" w:hint="eastAsia"/>
                <w:color w:val="000000"/>
                <w:sz w:val="24"/>
              </w:rPr>
              <w:t>下属分级基金的交易代码</w:t>
            </w:r>
          </w:p>
        </w:tc>
        <w:tc>
          <w:tcPr>
            <w:tcW w:w="1854" w:type="dxa"/>
            <w:vAlign w:val="center"/>
          </w:tcPr>
          <w:p w:rsidR="00000000" w:rsidRDefault="00C50BA6">
            <w:pPr>
              <w:rPr>
                <w:rFonts w:ascii="宋体" w:hAnsi="宋体" w:hint="eastAsia"/>
                <w:color w:val="000000"/>
                <w:sz w:val="24"/>
              </w:rPr>
            </w:pPr>
            <w:r>
              <w:rPr>
                <w:rFonts w:ascii="宋体" w:hAnsi="宋体"/>
                <w:color w:val="000000"/>
                <w:sz w:val="24"/>
              </w:rPr>
              <w:t>000638</w:t>
            </w:r>
          </w:p>
        </w:tc>
        <w:tc>
          <w:tcPr>
            <w:tcW w:w="1607" w:type="dxa"/>
            <w:vAlign w:val="center"/>
          </w:tcPr>
          <w:p w:rsidR="00000000" w:rsidRDefault="00C50BA6">
            <w:pPr>
              <w:rPr>
                <w:rFonts w:ascii="宋体" w:hAnsi="宋体" w:hint="eastAsia"/>
                <w:color w:val="000000"/>
                <w:sz w:val="24"/>
              </w:rPr>
            </w:pPr>
            <w:r>
              <w:rPr>
                <w:rFonts w:ascii="宋体" w:hAnsi="宋体"/>
                <w:color w:val="000000"/>
                <w:sz w:val="24"/>
              </w:rPr>
              <w:t>009586</w:t>
            </w:r>
          </w:p>
        </w:tc>
        <w:tc>
          <w:tcPr>
            <w:tcW w:w="1402" w:type="dxa"/>
            <w:vAlign w:val="center"/>
          </w:tcPr>
          <w:p w:rsidR="00000000" w:rsidRDefault="00C50BA6">
            <w:pPr>
              <w:rPr>
                <w:rFonts w:ascii="宋体" w:hAnsi="宋体"/>
                <w:color w:val="000000"/>
                <w:sz w:val="24"/>
              </w:rPr>
            </w:pPr>
            <w:r>
              <w:rPr>
                <w:rFonts w:ascii="宋体" w:hAnsi="宋体" w:hint="eastAsia"/>
                <w:color w:val="000000"/>
                <w:sz w:val="24"/>
              </w:rPr>
              <w:t>023850</w:t>
            </w:r>
          </w:p>
        </w:tc>
      </w:tr>
      <w:tr w:rsidR="00000000">
        <w:trPr>
          <w:trHeight w:val="297"/>
        </w:trPr>
        <w:tc>
          <w:tcPr>
            <w:tcW w:w="4245" w:type="dxa"/>
            <w:gridSpan w:val="2"/>
          </w:tcPr>
          <w:p w:rsidR="00000000" w:rsidRDefault="00C50BA6">
            <w:pPr>
              <w:rPr>
                <w:rFonts w:ascii="宋体" w:hAnsi="宋体" w:hint="eastAsia"/>
                <w:color w:val="000000"/>
                <w:sz w:val="24"/>
              </w:rPr>
            </w:pPr>
            <w:r>
              <w:rPr>
                <w:rFonts w:ascii="宋体" w:hAnsi="宋体" w:hint="eastAsia"/>
                <w:color w:val="000000"/>
                <w:sz w:val="24"/>
              </w:rPr>
              <w:t>该分级基金是否暂停申购、转换转入、定期定额投资</w:t>
            </w:r>
          </w:p>
        </w:tc>
        <w:tc>
          <w:tcPr>
            <w:tcW w:w="1854" w:type="dxa"/>
          </w:tcPr>
          <w:p w:rsidR="00000000" w:rsidRDefault="00C50BA6">
            <w:pPr>
              <w:rPr>
                <w:rFonts w:ascii="宋体" w:hAnsi="宋体"/>
                <w:color w:val="000000"/>
                <w:sz w:val="24"/>
              </w:rPr>
            </w:pPr>
            <w:r>
              <w:rPr>
                <w:rFonts w:ascii="宋体" w:hAnsi="宋体" w:hint="eastAsia"/>
                <w:color w:val="000000"/>
                <w:kern w:val="0"/>
                <w:sz w:val="24"/>
              </w:rPr>
              <w:t>是</w:t>
            </w:r>
          </w:p>
        </w:tc>
        <w:tc>
          <w:tcPr>
            <w:tcW w:w="1607" w:type="dxa"/>
          </w:tcPr>
          <w:p w:rsidR="00000000" w:rsidRDefault="00C50BA6">
            <w:pPr>
              <w:rPr>
                <w:rFonts w:ascii="宋体" w:hAnsi="宋体"/>
                <w:color w:val="000000"/>
                <w:sz w:val="24"/>
              </w:rPr>
            </w:pPr>
            <w:r>
              <w:rPr>
                <w:rFonts w:ascii="宋体" w:hAnsi="宋体" w:hint="eastAsia"/>
                <w:color w:val="000000"/>
                <w:kern w:val="0"/>
                <w:sz w:val="24"/>
              </w:rPr>
              <w:t>否</w:t>
            </w:r>
          </w:p>
        </w:tc>
        <w:tc>
          <w:tcPr>
            <w:tcW w:w="1402" w:type="dxa"/>
          </w:tcPr>
          <w:p w:rsidR="00000000" w:rsidRDefault="00C50BA6">
            <w:pPr>
              <w:rPr>
                <w:rFonts w:ascii="宋体" w:hAnsi="宋体"/>
                <w:color w:val="000000"/>
                <w:kern w:val="0"/>
                <w:sz w:val="24"/>
              </w:rPr>
            </w:pPr>
            <w:r>
              <w:rPr>
                <w:rFonts w:ascii="宋体" w:hAnsi="宋体" w:hint="eastAsia"/>
                <w:color w:val="000000"/>
                <w:kern w:val="0"/>
                <w:sz w:val="24"/>
              </w:rPr>
              <w:t>否</w:t>
            </w:r>
          </w:p>
        </w:tc>
      </w:tr>
    </w:tbl>
    <w:p w:rsidR="00000000" w:rsidRDefault="00C50BA6">
      <w:pPr>
        <w:pStyle w:val="2"/>
        <w:numPr>
          <w:ilvl w:val="0"/>
          <w:numId w:val="1"/>
        </w:numPr>
        <w:tabs>
          <w:tab w:val="left" w:pos="425"/>
        </w:tabs>
        <w:adjustRightInd w:val="0"/>
        <w:snapToGrid w:val="0"/>
        <w:spacing w:line="360" w:lineRule="auto"/>
        <w:contextualSpacing/>
        <w:rPr>
          <w:rFonts w:ascii="宋体" w:eastAsia="宋体" w:hAnsi="宋体"/>
          <w:bCs/>
          <w:color w:val="000000"/>
          <w:sz w:val="24"/>
          <w:szCs w:val="24"/>
        </w:rPr>
      </w:pPr>
      <w:r>
        <w:rPr>
          <w:rFonts w:ascii="宋体" w:eastAsia="宋体" w:hAnsi="宋体" w:hint="eastAsia"/>
          <w:bCs/>
          <w:color w:val="000000"/>
          <w:sz w:val="24"/>
          <w:szCs w:val="24"/>
        </w:rPr>
        <w:t>其他需要提示的事项</w:t>
      </w:r>
      <w:bookmarkEnd w:id="0"/>
    </w:p>
    <w:p w:rsidR="00000000" w:rsidRDefault="00C50BA6">
      <w:pPr>
        <w:widowControl/>
        <w:adjustRightInd w:val="0"/>
        <w:snapToGrid w:val="0"/>
        <w:spacing w:line="360" w:lineRule="auto"/>
        <w:ind w:firstLine="420"/>
        <w:contextualSpacing/>
        <w:jc w:val="left"/>
        <w:rPr>
          <w:color w:val="000000"/>
          <w:kern w:val="0"/>
          <w:sz w:val="24"/>
        </w:rPr>
      </w:pPr>
      <w:r>
        <w:rPr>
          <w:color w:val="000000"/>
          <w:kern w:val="0"/>
          <w:sz w:val="24"/>
        </w:rPr>
        <w:t>1</w:t>
      </w:r>
      <w:r>
        <w:rPr>
          <w:color w:val="000000"/>
          <w:kern w:val="0"/>
          <w:sz w:val="24"/>
        </w:rPr>
        <w:t>、本基金管理人决定</w:t>
      </w:r>
      <w:r>
        <w:rPr>
          <w:color w:val="000000"/>
          <w:sz w:val="24"/>
        </w:rPr>
        <w:t>于</w:t>
      </w:r>
      <w:r>
        <w:rPr>
          <w:color w:val="000000"/>
          <w:sz w:val="24"/>
        </w:rPr>
        <w:t>202</w:t>
      </w:r>
      <w:r>
        <w:rPr>
          <w:rFonts w:hint="eastAsia"/>
          <w:color w:val="000000"/>
          <w:sz w:val="24"/>
        </w:rPr>
        <w:t>6</w:t>
      </w:r>
      <w:r>
        <w:rPr>
          <w:color w:val="000000"/>
          <w:sz w:val="24"/>
        </w:rPr>
        <w:t>年</w:t>
      </w:r>
      <w:r>
        <w:rPr>
          <w:rFonts w:hint="eastAsia"/>
          <w:color w:val="000000"/>
          <w:sz w:val="24"/>
        </w:rPr>
        <w:t>4</w:t>
      </w:r>
      <w:r>
        <w:rPr>
          <w:color w:val="000000"/>
          <w:sz w:val="24"/>
        </w:rPr>
        <w:t>月</w:t>
      </w:r>
      <w:r>
        <w:rPr>
          <w:rFonts w:hint="eastAsia"/>
          <w:color w:val="000000"/>
          <w:sz w:val="24"/>
        </w:rPr>
        <w:t>2</w:t>
      </w:r>
      <w:r>
        <w:rPr>
          <w:color w:val="000000"/>
          <w:sz w:val="24"/>
        </w:rPr>
        <w:t>日至</w:t>
      </w:r>
      <w:r>
        <w:rPr>
          <w:color w:val="000000"/>
          <w:sz w:val="24"/>
        </w:rPr>
        <w:t>202</w:t>
      </w:r>
      <w:r>
        <w:rPr>
          <w:rFonts w:hint="eastAsia"/>
          <w:color w:val="000000"/>
          <w:sz w:val="24"/>
        </w:rPr>
        <w:t>6</w:t>
      </w:r>
      <w:r>
        <w:rPr>
          <w:color w:val="000000"/>
          <w:sz w:val="24"/>
        </w:rPr>
        <w:t>年</w:t>
      </w:r>
      <w:r>
        <w:rPr>
          <w:rFonts w:hint="eastAsia"/>
          <w:color w:val="000000"/>
          <w:sz w:val="24"/>
        </w:rPr>
        <w:t>4</w:t>
      </w:r>
      <w:r>
        <w:rPr>
          <w:color w:val="000000"/>
          <w:sz w:val="24"/>
        </w:rPr>
        <w:t>月</w:t>
      </w:r>
      <w:r>
        <w:rPr>
          <w:rFonts w:hint="eastAsia"/>
          <w:color w:val="000000"/>
          <w:sz w:val="24"/>
        </w:rPr>
        <w:t>6</w:t>
      </w:r>
      <w:r>
        <w:rPr>
          <w:color w:val="000000"/>
          <w:sz w:val="24"/>
        </w:rPr>
        <w:t>日</w:t>
      </w:r>
      <w:r>
        <w:rPr>
          <w:color w:val="000000"/>
          <w:kern w:val="0"/>
          <w:sz w:val="24"/>
        </w:rPr>
        <w:t>暂停通过代销机构（</w:t>
      </w:r>
      <w:r>
        <w:rPr>
          <w:sz w:val="24"/>
        </w:rPr>
        <w:t>腾安基金、蚂蚁基金、微众银行、同花顺、苏宁基金、雪球基金、天天基金、盈米基金</w:t>
      </w:r>
      <w:r>
        <w:rPr>
          <w:rFonts w:hint="eastAsia"/>
          <w:sz w:val="24"/>
        </w:rPr>
        <w:t>、</w:t>
      </w:r>
      <w:r>
        <w:rPr>
          <w:rFonts w:hint="eastAsia"/>
          <w:sz w:val="24"/>
        </w:rPr>
        <w:t>交通银行、民生银行</w:t>
      </w:r>
      <w:r>
        <w:rPr>
          <w:sz w:val="24"/>
        </w:rPr>
        <w:t>除外</w:t>
      </w:r>
      <w:r>
        <w:rPr>
          <w:color w:val="000000"/>
          <w:kern w:val="0"/>
          <w:sz w:val="24"/>
        </w:rPr>
        <w:t>）办理对本基金</w:t>
      </w:r>
      <w:r>
        <w:rPr>
          <w:color w:val="000000"/>
          <w:kern w:val="0"/>
          <w:sz w:val="24"/>
        </w:rPr>
        <w:t>A</w:t>
      </w:r>
      <w:r>
        <w:rPr>
          <w:color w:val="000000"/>
          <w:kern w:val="0"/>
          <w:sz w:val="24"/>
        </w:rPr>
        <w:t>类份额的申购、</w:t>
      </w:r>
      <w:r>
        <w:rPr>
          <w:color w:val="000000"/>
          <w:sz w:val="24"/>
        </w:rPr>
        <w:t>定期定额投资</w:t>
      </w:r>
      <w:r>
        <w:rPr>
          <w:color w:val="000000"/>
          <w:kern w:val="0"/>
          <w:sz w:val="24"/>
        </w:rPr>
        <w:t>及转换转入业务，直销机构不暂停申购、</w:t>
      </w:r>
      <w:r>
        <w:rPr>
          <w:color w:val="000000"/>
          <w:sz w:val="24"/>
        </w:rPr>
        <w:t>定期定额投资</w:t>
      </w:r>
      <w:r>
        <w:rPr>
          <w:color w:val="000000"/>
          <w:kern w:val="0"/>
          <w:sz w:val="24"/>
        </w:rPr>
        <w:t>及转换转入业</w:t>
      </w:r>
      <w:r>
        <w:rPr>
          <w:color w:val="000000"/>
          <w:kern w:val="0"/>
          <w:sz w:val="24"/>
        </w:rPr>
        <w:lastRenderedPageBreak/>
        <w:t>务。</w:t>
      </w:r>
      <w:r>
        <w:rPr>
          <w:color w:val="000000"/>
          <w:sz w:val="24"/>
        </w:rPr>
        <w:t>202</w:t>
      </w:r>
      <w:r>
        <w:rPr>
          <w:rFonts w:hint="eastAsia"/>
          <w:color w:val="000000"/>
          <w:sz w:val="24"/>
        </w:rPr>
        <w:t>6</w:t>
      </w:r>
      <w:r>
        <w:rPr>
          <w:color w:val="000000"/>
          <w:sz w:val="24"/>
        </w:rPr>
        <w:t>年</w:t>
      </w:r>
      <w:r>
        <w:rPr>
          <w:rFonts w:hint="eastAsia"/>
          <w:color w:val="000000"/>
          <w:sz w:val="24"/>
        </w:rPr>
        <w:t>4</w:t>
      </w:r>
      <w:r>
        <w:rPr>
          <w:color w:val="000000"/>
          <w:sz w:val="24"/>
        </w:rPr>
        <w:t>月</w:t>
      </w:r>
      <w:r>
        <w:rPr>
          <w:rFonts w:hint="eastAsia"/>
          <w:color w:val="000000"/>
          <w:sz w:val="24"/>
        </w:rPr>
        <w:t>4</w:t>
      </w:r>
      <w:r>
        <w:rPr>
          <w:color w:val="000000"/>
          <w:sz w:val="24"/>
        </w:rPr>
        <w:t>日至</w:t>
      </w:r>
      <w:r>
        <w:rPr>
          <w:color w:val="000000"/>
          <w:sz w:val="24"/>
        </w:rPr>
        <w:t>202</w:t>
      </w:r>
      <w:r>
        <w:rPr>
          <w:rFonts w:hint="eastAsia"/>
          <w:color w:val="000000"/>
          <w:sz w:val="24"/>
        </w:rPr>
        <w:t>6</w:t>
      </w:r>
      <w:r>
        <w:rPr>
          <w:color w:val="000000"/>
          <w:sz w:val="24"/>
        </w:rPr>
        <w:t>年</w:t>
      </w:r>
      <w:r>
        <w:rPr>
          <w:rFonts w:hint="eastAsia"/>
          <w:color w:val="000000"/>
          <w:sz w:val="24"/>
        </w:rPr>
        <w:t>4</w:t>
      </w:r>
      <w:r>
        <w:rPr>
          <w:color w:val="000000"/>
          <w:sz w:val="24"/>
        </w:rPr>
        <w:t>月</w:t>
      </w:r>
      <w:r>
        <w:rPr>
          <w:rFonts w:hint="eastAsia"/>
          <w:color w:val="000000"/>
          <w:sz w:val="24"/>
        </w:rPr>
        <w:t>6</w:t>
      </w:r>
      <w:r>
        <w:rPr>
          <w:color w:val="000000"/>
          <w:sz w:val="24"/>
        </w:rPr>
        <w:t>日</w:t>
      </w:r>
      <w:r>
        <w:rPr>
          <w:color w:val="000000"/>
          <w:kern w:val="0"/>
          <w:sz w:val="24"/>
        </w:rPr>
        <w:t>节假日期间投资者提交的开户、</w:t>
      </w:r>
      <w:r>
        <w:rPr>
          <w:color w:val="000000"/>
          <w:kern w:val="0"/>
          <w:sz w:val="24"/>
        </w:rPr>
        <w:t>申购、赎回、定期定额投资等申请及假期前未确认的交易申请、未到账的赎回款项等，将顺延到假期结束后进行处理。若投资者假期前或假期期间需要使用资金，请充分考虑资金到账所需时间，提前做好交易安排，避免因交易跨越假期而带来不便。</w:t>
      </w:r>
    </w:p>
    <w:p w:rsidR="00000000" w:rsidRDefault="00C50BA6">
      <w:pPr>
        <w:widowControl/>
        <w:adjustRightInd w:val="0"/>
        <w:snapToGrid w:val="0"/>
        <w:spacing w:line="360" w:lineRule="auto"/>
        <w:ind w:firstLine="420"/>
        <w:contextualSpacing/>
        <w:jc w:val="left"/>
        <w:rPr>
          <w:color w:val="000000"/>
          <w:kern w:val="0"/>
          <w:sz w:val="24"/>
        </w:rPr>
      </w:pPr>
      <w:r>
        <w:rPr>
          <w:color w:val="000000"/>
          <w:kern w:val="0"/>
          <w:sz w:val="24"/>
        </w:rPr>
        <w:t>2</w:t>
      </w:r>
      <w:r>
        <w:rPr>
          <w:color w:val="000000"/>
          <w:kern w:val="0"/>
          <w:sz w:val="24"/>
        </w:rPr>
        <w:t>、在暂停本基金</w:t>
      </w:r>
      <w:r>
        <w:rPr>
          <w:color w:val="000000"/>
          <w:kern w:val="0"/>
          <w:sz w:val="24"/>
        </w:rPr>
        <w:t>A</w:t>
      </w:r>
      <w:r>
        <w:rPr>
          <w:color w:val="000000"/>
          <w:kern w:val="0"/>
          <w:sz w:val="24"/>
        </w:rPr>
        <w:t>类份额通过部分代销机构的申购、</w:t>
      </w:r>
      <w:r>
        <w:rPr>
          <w:color w:val="000000"/>
          <w:sz w:val="24"/>
        </w:rPr>
        <w:t>定期定额投资</w:t>
      </w:r>
      <w:r>
        <w:rPr>
          <w:color w:val="000000"/>
          <w:kern w:val="0"/>
          <w:sz w:val="24"/>
        </w:rPr>
        <w:t>和转换转入业务期间，本基金赎回及转换转出等业务正常办理。自</w:t>
      </w:r>
      <w:r>
        <w:rPr>
          <w:color w:val="000000"/>
          <w:kern w:val="0"/>
          <w:sz w:val="24"/>
        </w:rPr>
        <w:t>202</w:t>
      </w:r>
      <w:r>
        <w:rPr>
          <w:rFonts w:hint="eastAsia"/>
          <w:color w:val="000000"/>
          <w:kern w:val="0"/>
          <w:sz w:val="24"/>
        </w:rPr>
        <w:t>6</w:t>
      </w:r>
      <w:r>
        <w:rPr>
          <w:color w:val="000000"/>
          <w:kern w:val="0"/>
          <w:sz w:val="24"/>
        </w:rPr>
        <w:t>年</w:t>
      </w:r>
      <w:r>
        <w:rPr>
          <w:rFonts w:hint="eastAsia"/>
          <w:color w:val="000000"/>
          <w:kern w:val="0"/>
          <w:sz w:val="24"/>
        </w:rPr>
        <w:t>4</w:t>
      </w:r>
      <w:r>
        <w:rPr>
          <w:color w:val="000000"/>
          <w:kern w:val="0"/>
          <w:sz w:val="24"/>
        </w:rPr>
        <w:t>月</w:t>
      </w:r>
      <w:r>
        <w:rPr>
          <w:rFonts w:hint="eastAsia"/>
          <w:color w:val="000000"/>
          <w:kern w:val="0"/>
          <w:sz w:val="24"/>
        </w:rPr>
        <w:t>7</w:t>
      </w:r>
      <w:r>
        <w:rPr>
          <w:color w:val="000000"/>
          <w:kern w:val="0"/>
          <w:sz w:val="24"/>
        </w:rPr>
        <w:t>日起恢复办理本基金</w:t>
      </w:r>
      <w:r>
        <w:rPr>
          <w:color w:val="000000"/>
          <w:kern w:val="0"/>
          <w:sz w:val="24"/>
        </w:rPr>
        <w:t>A</w:t>
      </w:r>
      <w:r>
        <w:rPr>
          <w:color w:val="000000"/>
          <w:kern w:val="0"/>
          <w:sz w:val="24"/>
        </w:rPr>
        <w:t>类份额通过代销机构的申购、</w:t>
      </w:r>
      <w:r>
        <w:rPr>
          <w:color w:val="000000"/>
          <w:sz w:val="24"/>
        </w:rPr>
        <w:t>定期定额投资</w:t>
      </w:r>
      <w:r>
        <w:rPr>
          <w:color w:val="000000"/>
          <w:kern w:val="0"/>
          <w:sz w:val="24"/>
        </w:rPr>
        <w:t>业务及转换转入业务，</w:t>
      </w:r>
      <w:r>
        <w:rPr>
          <w:sz w:val="24"/>
        </w:rPr>
        <w:t>但仍需遵循</w:t>
      </w:r>
      <w:r>
        <w:rPr>
          <w:sz w:val="24"/>
        </w:rPr>
        <w:t>1000</w:t>
      </w:r>
      <w:r>
        <w:rPr>
          <w:sz w:val="24"/>
        </w:rPr>
        <w:t>万元大额限制。</w:t>
      </w:r>
      <w:r>
        <w:rPr>
          <w:color w:val="000000"/>
          <w:kern w:val="0"/>
          <w:sz w:val="24"/>
        </w:rPr>
        <w:t>如单个基金账户日累计申请金额超过</w:t>
      </w:r>
      <w:r>
        <w:rPr>
          <w:color w:val="000000"/>
          <w:kern w:val="0"/>
          <w:sz w:val="24"/>
        </w:rPr>
        <w:t>1000</w:t>
      </w:r>
      <w:r>
        <w:rPr>
          <w:color w:val="000000"/>
          <w:kern w:val="0"/>
          <w:sz w:val="24"/>
        </w:rPr>
        <w:t>万元，本</w:t>
      </w:r>
      <w:r>
        <w:rPr>
          <w:color w:val="000000"/>
          <w:kern w:val="0"/>
          <w:sz w:val="24"/>
        </w:rPr>
        <w:t>基金管理人有权拒绝。如单日单笔或多笔的累计申请金额导致单个基金账户累计持有金额超过</w:t>
      </w:r>
      <w:r>
        <w:rPr>
          <w:color w:val="000000"/>
          <w:kern w:val="0"/>
          <w:sz w:val="24"/>
        </w:rPr>
        <w:t>3</w:t>
      </w:r>
      <w:r>
        <w:rPr>
          <w:color w:val="000000"/>
          <w:kern w:val="0"/>
          <w:sz w:val="24"/>
        </w:rPr>
        <w:t>亿元，基金管理人有权拒绝。</w:t>
      </w:r>
    </w:p>
    <w:p w:rsidR="00000000" w:rsidRDefault="00C50BA6">
      <w:pPr>
        <w:snapToGrid w:val="0"/>
        <w:spacing w:line="360" w:lineRule="auto"/>
        <w:ind w:firstLineChars="200" w:firstLine="480"/>
        <w:contextualSpacing/>
        <w:rPr>
          <w:color w:val="000000"/>
          <w:kern w:val="0"/>
          <w:sz w:val="24"/>
        </w:rPr>
      </w:pPr>
      <w:r>
        <w:rPr>
          <w:color w:val="000000"/>
          <w:kern w:val="0"/>
          <w:sz w:val="24"/>
        </w:rPr>
        <w:t>3</w:t>
      </w:r>
      <w:r>
        <w:rPr>
          <w:color w:val="000000"/>
          <w:kern w:val="0"/>
          <w:sz w:val="24"/>
        </w:rPr>
        <w:t>、根据中国证监会《货币市场基金监督管理办法》（证监会令</w:t>
      </w:r>
      <w:r>
        <w:rPr>
          <w:color w:val="000000"/>
          <w:kern w:val="0"/>
          <w:sz w:val="24"/>
        </w:rPr>
        <w:t>[</w:t>
      </w:r>
      <w:r>
        <w:rPr>
          <w:color w:val="000000"/>
          <w:kern w:val="0"/>
          <w:sz w:val="24"/>
        </w:rPr>
        <w:t>第</w:t>
      </w:r>
      <w:r>
        <w:rPr>
          <w:color w:val="000000"/>
          <w:kern w:val="0"/>
          <w:sz w:val="24"/>
        </w:rPr>
        <w:t>120</w:t>
      </w:r>
      <w:r>
        <w:rPr>
          <w:color w:val="000000"/>
          <w:kern w:val="0"/>
          <w:sz w:val="24"/>
        </w:rPr>
        <w:t>号</w:t>
      </w:r>
      <w:r>
        <w:rPr>
          <w:color w:val="000000"/>
          <w:kern w:val="0"/>
          <w:sz w:val="24"/>
        </w:rPr>
        <w:t>]</w:t>
      </w:r>
      <w:r>
        <w:rPr>
          <w:color w:val="000000"/>
          <w:kern w:val="0"/>
          <w:sz w:val="24"/>
        </w:rPr>
        <w:t>）的规定</w:t>
      </w:r>
      <w:r>
        <w:rPr>
          <w:color w:val="000000"/>
          <w:kern w:val="0"/>
          <w:sz w:val="24"/>
        </w:rPr>
        <w:t>“</w:t>
      </w:r>
      <w:r>
        <w:rPr>
          <w:color w:val="000000"/>
          <w:kern w:val="0"/>
          <w:sz w:val="24"/>
        </w:rPr>
        <w:t>当日赎回的基金份额自下一个交易日起不享有基金的分配权益，但中国证监会认定的特殊货币市场基金品种除外</w:t>
      </w:r>
      <w:r>
        <w:rPr>
          <w:color w:val="000000"/>
          <w:kern w:val="0"/>
          <w:sz w:val="24"/>
        </w:rPr>
        <w:t>”</w:t>
      </w:r>
      <w:r>
        <w:rPr>
          <w:color w:val="000000"/>
          <w:kern w:val="0"/>
          <w:sz w:val="24"/>
        </w:rPr>
        <w:t>，投资者于</w:t>
      </w:r>
      <w:r>
        <w:rPr>
          <w:kern w:val="0"/>
          <w:sz w:val="24"/>
        </w:rPr>
        <w:t>202</w:t>
      </w:r>
      <w:r>
        <w:rPr>
          <w:rFonts w:hint="eastAsia"/>
          <w:kern w:val="0"/>
          <w:sz w:val="24"/>
        </w:rPr>
        <w:t>6</w:t>
      </w:r>
      <w:r>
        <w:rPr>
          <w:kern w:val="0"/>
          <w:sz w:val="24"/>
        </w:rPr>
        <w:t>年</w:t>
      </w:r>
      <w:r>
        <w:rPr>
          <w:rFonts w:hint="eastAsia"/>
          <w:kern w:val="0"/>
          <w:sz w:val="24"/>
        </w:rPr>
        <w:t>4</w:t>
      </w:r>
      <w:r>
        <w:rPr>
          <w:kern w:val="0"/>
          <w:sz w:val="24"/>
        </w:rPr>
        <w:t>月</w:t>
      </w:r>
      <w:r>
        <w:rPr>
          <w:rFonts w:hint="eastAsia"/>
          <w:kern w:val="0"/>
          <w:sz w:val="24"/>
        </w:rPr>
        <w:t>3</w:t>
      </w:r>
      <w:r>
        <w:rPr>
          <w:kern w:val="0"/>
          <w:sz w:val="24"/>
        </w:rPr>
        <w:t>日赎回的基金份额享有该日和整个假期期间的收益，于下一个交易日（即</w:t>
      </w:r>
      <w:r>
        <w:rPr>
          <w:kern w:val="0"/>
          <w:sz w:val="24"/>
        </w:rPr>
        <w:t>202</w:t>
      </w:r>
      <w:r>
        <w:rPr>
          <w:rFonts w:hint="eastAsia"/>
          <w:kern w:val="0"/>
          <w:sz w:val="24"/>
        </w:rPr>
        <w:t>6</w:t>
      </w:r>
      <w:r>
        <w:rPr>
          <w:kern w:val="0"/>
          <w:sz w:val="24"/>
        </w:rPr>
        <w:t>年</w:t>
      </w:r>
      <w:r>
        <w:rPr>
          <w:rFonts w:hint="eastAsia"/>
          <w:kern w:val="0"/>
          <w:sz w:val="24"/>
        </w:rPr>
        <w:t>4</w:t>
      </w:r>
      <w:r>
        <w:rPr>
          <w:kern w:val="0"/>
          <w:sz w:val="24"/>
        </w:rPr>
        <w:t>月</w:t>
      </w:r>
      <w:r>
        <w:rPr>
          <w:rFonts w:hint="eastAsia"/>
          <w:kern w:val="0"/>
          <w:sz w:val="24"/>
        </w:rPr>
        <w:t>7</w:t>
      </w:r>
      <w:r>
        <w:rPr>
          <w:kern w:val="0"/>
          <w:sz w:val="24"/>
        </w:rPr>
        <w:t>日）起不再享受本基金的分配权益。敬请投资者留意。</w:t>
      </w:r>
    </w:p>
    <w:p w:rsidR="00000000" w:rsidRDefault="00C50BA6">
      <w:pPr>
        <w:snapToGrid w:val="0"/>
        <w:spacing w:line="360" w:lineRule="auto"/>
        <w:ind w:firstLineChars="200" w:firstLine="480"/>
        <w:contextualSpacing/>
        <w:rPr>
          <w:color w:val="000000"/>
          <w:kern w:val="0"/>
          <w:sz w:val="24"/>
        </w:rPr>
      </w:pPr>
      <w:r>
        <w:rPr>
          <w:color w:val="000000"/>
          <w:kern w:val="0"/>
          <w:sz w:val="24"/>
        </w:rPr>
        <w:t>4</w:t>
      </w:r>
      <w:r>
        <w:rPr>
          <w:color w:val="000000"/>
          <w:kern w:val="0"/>
          <w:sz w:val="24"/>
        </w:rPr>
        <w:t>、投资者可以登陆富国基金管理有限公司网站</w:t>
      </w:r>
      <w:r>
        <w:rPr>
          <w:color w:val="000000"/>
          <w:kern w:val="0"/>
          <w:sz w:val="24"/>
        </w:rPr>
        <w:t>www.fullgoa</w:t>
      </w:r>
      <w:r>
        <w:rPr>
          <w:color w:val="000000"/>
          <w:kern w:val="0"/>
          <w:sz w:val="24"/>
        </w:rPr>
        <w:t>l.com.cn</w:t>
      </w:r>
      <w:r>
        <w:rPr>
          <w:color w:val="000000"/>
          <w:kern w:val="0"/>
          <w:sz w:val="24"/>
        </w:rPr>
        <w:t>或拨打富国基金管理有限公司客户服务热线</w:t>
      </w:r>
      <w:r>
        <w:rPr>
          <w:color w:val="000000"/>
          <w:kern w:val="0"/>
          <w:sz w:val="24"/>
        </w:rPr>
        <w:t>95105686</w:t>
      </w:r>
      <w:r>
        <w:rPr>
          <w:color w:val="000000"/>
          <w:kern w:val="0"/>
          <w:sz w:val="24"/>
        </w:rPr>
        <w:t>、</w:t>
      </w:r>
      <w:r>
        <w:rPr>
          <w:color w:val="000000"/>
          <w:kern w:val="0"/>
          <w:sz w:val="24"/>
        </w:rPr>
        <w:t>4008880688</w:t>
      </w:r>
      <w:r>
        <w:rPr>
          <w:color w:val="000000"/>
          <w:kern w:val="0"/>
          <w:sz w:val="24"/>
        </w:rPr>
        <w:t>（全国统一，均免长途费）进行相关咨询。</w:t>
      </w:r>
    </w:p>
    <w:p w:rsidR="00000000" w:rsidRDefault="00C50BA6">
      <w:pPr>
        <w:snapToGrid w:val="0"/>
        <w:spacing w:line="360" w:lineRule="auto"/>
        <w:ind w:firstLineChars="200" w:firstLine="480"/>
        <w:contextualSpacing/>
        <w:rPr>
          <w:color w:val="000000"/>
          <w:kern w:val="0"/>
          <w:sz w:val="24"/>
        </w:rPr>
      </w:pPr>
      <w:r>
        <w:rPr>
          <w:color w:val="000000"/>
          <w:kern w:val="0"/>
          <w:sz w:val="24"/>
        </w:rPr>
        <w:t>5</w:t>
      </w:r>
      <w:r>
        <w:rPr>
          <w:color w:val="000000"/>
          <w:kern w:val="0"/>
          <w:sz w:val="24"/>
        </w:rPr>
        <w:t>、风险提示：本公司承诺以诚实信用、勤勉尽责的原则管理和运用基金资产，不保证基金一定盈利，也不保证最低收益。投资者购买货币市场基金并不等于将资金作为存款存放在银行或存款类金融机构。敬请投资者注意投资风险。投资者投资于本基金前应认真阅读基金的基金合同、更新的招募说明书及相关公告。</w:t>
      </w:r>
    </w:p>
    <w:p w:rsidR="00000000" w:rsidRDefault="00C50BA6">
      <w:pPr>
        <w:snapToGrid w:val="0"/>
        <w:spacing w:line="360" w:lineRule="auto"/>
        <w:ind w:firstLineChars="200" w:firstLine="480"/>
        <w:contextualSpacing/>
        <w:rPr>
          <w:color w:val="000000"/>
          <w:sz w:val="24"/>
        </w:rPr>
      </w:pPr>
      <w:r>
        <w:rPr>
          <w:color w:val="000000"/>
          <w:kern w:val="0"/>
          <w:sz w:val="24"/>
        </w:rPr>
        <w:t>特此公告。</w:t>
      </w:r>
    </w:p>
    <w:p w:rsidR="00000000" w:rsidRDefault="00C50BA6">
      <w:pPr>
        <w:snapToGrid w:val="0"/>
        <w:spacing w:line="360" w:lineRule="auto"/>
        <w:contextualSpacing/>
        <w:rPr>
          <w:color w:val="000000"/>
        </w:rPr>
      </w:pPr>
    </w:p>
    <w:p w:rsidR="00000000" w:rsidRDefault="00C50BA6">
      <w:pPr>
        <w:snapToGrid w:val="0"/>
        <w:spacing w:line="360" w:lineRule="auto"/>
        <w:ind w:left="425" w:right="120"/>
        <w:contextualSpacing/>
        <w:jc w:val="right"/>
        <w:rPr>
          <w:color w:val="000000"/>
          <w:kern w:val="0"/>
          <w:sz w:val="24"/>
        </w:rPr>
      </w:pPr>
      <w:r>
        <w:rPr>
          <w:color w:val="000000"/>
          <w:kern w:val="0"/>
          <w:sz w:val="24"/>
        </w:rPr>
        <w:t>富国基金管理有限公司</w:t>
      </w:r>
    </w:p>
    <w:p w:rsidR="00000000" w:rsidRDefault="00C50BA6">
      <w:pPr>
        <w:snapToGrid w:val="0"/>
        <w:spacing w:line="360" w:lineRule="auto"/>
        <w:ind w:left="425" w:right="120"/>
        <w:contextualSpacing/>
        <w:jc w:val="right"/>
      </w:pPr>
      <w:r>
        <w:rPr>
          <w:color w:val="000000"/>
          <w:sz w:val="24"/>
        </w:rPr>
        <w:t>202</w:t>
      </w:r>
      <w:r>
        <w:rPr>
          <w:rFonts w:hint="eastAsia"/>
          <w:color w:val="000000"/>
          <w:sz w:val="24"/>
        </w:rPr>
        <w:t>6</w:t>
      </w:r>
      <w:r>
        <w:rPr>
          <w:color w:val="000000"/>
          <w:sz w:val="24"/>
        </w:rPr>
        <w:t>年</w:t>
      </w:r>
      <w:r>
        <w:rPr>
          <w:rFonts w:hint="eastAsia"/>
          <w:color w:val="000000"/>
          <w:sz w:val="24"/>
        </w:rPr>
        <w:t>3</w:t>
      </w:r>
      <w:r>
        <w:rPr>
          <w:color w:val="000000"/>
          <w:sz w:val="24"/>
        </w:rPr>
        <w:t>月</w:t>
      </w:r>
      <w:r>
        <w:rPr>
          <w:rFonts w:hint="eastAsia"/>
          <w:color w:val="000000"/>
          <w:sz w:val="24"/>
        </w:rPr>
        <w:t>31</w:t>
      </w:r>
      <w:r>
        <w:rPr>
          <w:color w:val="000000"/>
          <w:sz w:val="24"/>
        </w:rPr>
        <w:t>日</w:t>
      </w: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D04FC"/>
    <w:multiLevelType w:val="multilevel"/>
    <w:tmpl w:val="61ED04F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eastAsia="宋体" w:hint="eastAsia"/>
        <w:b w:val="0"/>
        <w:i w:val="0"/>
        <w:sz w:val="24"/>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6D30"/>
    <w:rsid w:val="000003AA"/>
    <w:rsid w:val="00007AF8"/>
    <w:rsid w:val="00017EA4"/>
    <w:rsid w:val="00021DA9"/>
    <w:rsid w:val="00026A25"/>
    <w:rsid w:val="00027B74"/>
    <w:rsid w:val="00036EAB"/>
    <w:rsid w:val="00054157"/>
    <w:rsid w:val="00062403"/>
    <w:rsid w:val="00071C17"/>
    <w:rsid w:val="00074A29"/>
    <w:rsid w:val="00094117"/>
    <w:rsid w:val="000A27BA"/>
    <w:rsid w:val="000A60A6"/>
    <w:rsid w:val="000B5319"/>
    <w:rsid w:val="000B66F6"/>
    <w:rsid w:val="000C1E59"/>
    <w:rsid w:val="000D2081"/>
    <w:rsid w:val="000E6746"/>
    <w:rsid w:val="000E676D"/>
    <w:rsid w:val="000E7B8F"/>
    <w:rsid w:val="000F4D79"/>
    <w:rsid w:val="00104FB5"/>
    <w:rsid w:val="0011045E"/>
    <w:rsid w:val="00117F1D"/>
    <w:rsid w:val="0013018F"/>
    <w:rsid w:val="00142F0A"/>
    <w:rsid w:val="0014587A"/>
    <w:rsid w:val="001539D8"/>
    <w:rsid w:val="00166FA7"/>
    <w:rsid w:val="00182B2B"/>
    <w:rsid w:val="00185AD1"/>
    <w:rsid w:val="001B0343"/>
    <w:rsid w:val="001C0DD7"/>
    <w:rsid w:val="001D4E53"/>
    <w:rsid w:val="001D66B0"/>
    <w:rsid w:val="001E127A"/>
    <w:rsid w:val="001E2BE7"/>
    <w:rsid w:val="001E3F6F"/>
    <w:rsid w:val="001F4564"/>
    <w:rsid w:val="00203629"/>
    <w:rsid w:val="00217A1F"/>
    <w:rsid w:val="002366FA"/>
    <w:rsid w:val="00240389"/>
    <w:rsid w:val="00246694"/>
    <w:rsid w:val="002512D3"/>
    <w:rsid w:val="0025145F"/>
    <w:rsid w:val="00253029"/>
    <w:rsid w:val="00261F6D"/>
    <w:rsid w:val="00272A83"/>
    <w:rsid w:val="00275FFC"/>
    <w:rsid w:val="002843F5"/>
    <w:rsid w:val="00293F52"/>
    <w:rsid w:val="002B3FEF"/>
    <w:rsid w:val="002B75F0"/>
    <w:rsid w:val="002C7A16"/>
    <w:rsid w:val="002D4335"/>
    <w:rsid w:val="002E3D84"/>
    <w:rsid w:val="002F0BD5"/>
    <w:rsid w:val="003039E1"/>
    <w:rsid w:val="00304DC5"/>
    <w:rsid w:val="00321663"/>
    <w:rsid w:val="003327B0"/>
    <w:rsid w:val="003377F0"/>
    <w:rsid w:val="00350EA8"/>
    <w:rsid w:val="00352797"/>
    <w:rsid w:val="00372DD4"/>
    <w:rsid w:val="00373F50"/>
    <w:rsid w:val="003779AF"/>
    <w:rsid w:val="00391FCA"/>
    <w:rsid w:val="003972EF"/>
    <w:rsid w:val="003B30D7"/>
    <w:rsid w:val="003C1E1F"/>
    <w:rsid w:val="003D0BD8"/>
    <w:rsid w:val="003D6AC1"/>
    <w:rsid w:val="003F26DD"/>
    <w:rsid w:val="003F3F46"/>
    <w:rsid w:val="00401562"/>
    <w:rsid w:val="00407A47"/>
    <w:rsid w:val="00417D8A"/>
    <w:rsid w:val="0042596B"/>
    <w:rsid w:val="00432036"/>
    <w:rsid w:val="00444E94"/>
    <w:rsid w:val="004463BF"/>
    <w:rsid w:val="00482D27"/>
    <w:rsid w:val="004A054F"/>
    <w:rsid w:val="004B4927"/>
    <w:rsid w:val="004C5894"/>
    <w:rsid w:val="004D0433"/>
    <w:rsid w:val="004E3421"/>
    <w:rsid w:val="004F141E"/>
    <w:rsid w:val="004F379E"/>
    <w:rsid w:val="004F4CA1"/>
    <w:rsid w:val="004F5EEC"/>
    <w:rsid w:val="00500AF6"/>
    <w:rsid w:val="00506A73"/>
    <w:rsid w:val="00506FC2"/>
    <w:rsid w:val="0053173C"/>
    <w:rsid w:val="005325CC"/>
    <w:rsid w:val="00533651"/>
    <w:rsid w:val="005411BD"/>
    <w:rsid w:val="005421D2"/>
    <w:rsid w:val="00547FB3"/>
    <w:rsid w:val="005709AC"/>
    <w:rsid w:val="00571A3E"/>
    <w:rsid w:val="00575DCC"/>
    <w:rsid w:val="005959D1"/>
    <w:rsid w:val="005977F0"/>
    <w:rsid w:val="005A358C"/>
    <w:rsid w:val="005B38A8"/>
    <w:rsid w:val="005B4753"/>
    <w:rsid w:val="005B4FDC"/>
    <w:rsid w:val="005B5B4C"/>
    <w:rsid w:val="005C1797"/>
    <w:rsid w:val="005C1B50"/>
    <w:rsid w:val="005D0E71"/>
    <w:rsid w:val="005D48CD"/>
    <w:rsid w:val="005D640E"/>
    <w:rsid w:val="005E51EB"/>
    <w:rsid w:val="005F570B"/>
    <w:rsid w:val="00602F2D"/>
    <w:rsid w:val="00604C55"/>
    <w:rsid w:val="00610B3E"/>
    <w:rsid w:val="0062353A"/>
    <w:rsid w:val="00625102"/>
    <w:rsid w:val="006351E7"/>
    <w:rsid w:val="0063678A"/>
    <w:rsid w:val="0067357E"/>
    <w:rsid w:val="0068566E"/>
    <w:rsid w:val="006A3A35"/>
    <w:rsid w:val="006A5455"/>
    <w:rsid w:val="006C78BB"/>
    <w:rsid w:val="006C7DD2"/>
    <w:rsid w:val="006D3709"/>
    <w:rsid w:val="006D3A89"/>
    <w:rsid w:val="006E5056"/>
    <w:rsid w:val="006E71AE"/>
    <w:rsid w:val="006F5EE5"/>
    <w:rsid w:val="00702566"/>
    <w:rsid w:val="00706AA1"/>
    <w:rsid w:val="007114DE"/>
    <w:rsid w:val="0071163F"/>
    <w:rsid w:val="007170AD"/>
    <w:rsid w:val="00721DC5"/>
    <w:rsid w:val="00731787"/>
    <w:rsid w:val="00745C78"/>
    <w:rsid w:val="00754FC5"/>
    <w:rsid w:val="00771BAF"/>
    <w:rsid w:val="007741F3"/>
    <w:rsid w:val="007859F1"/>
    <w:rsid w:val="0079078A"/>
    <w:rsid w:val="007907E2"/>
    <w:rsid w:val="00790E24"/>
    <w:rsid w:val="00793320"/>
    <w:rsid w:val="007B1726"/>
    <w:rsid w:val="007B3940"/>
    <w:rsid w:val="007D760E"/>
    <w:rsid w:val="007E6E40"/>
    <w:rsid w:val="007F58D2"/>
    <w:rsid w:val="00800EC2"/>
    <w:rsid w:val="0082378C"/>
    <w:rsid w:val="0082572A"/>
    <w:rsid w:val="00825D94"/>
    <w:rsid w:val="00826EA6"/>
    <w:rsid w:val="00827F4C"/>
    <w:rsid w:val="00830D9A"/>
    <w:rsid w:val="00846059"/>
    <w:rsid w:val="00846AA1"/>
    <w:rsid w:val="00874503"/>
    <w:rsid w:val="008768A4"/>
    <w:rsid w:val="00877D3B"/>
    <w:rsid w:val="008876DA"/>
    <w:rsid w:val="008965BB"/>
    <w:rsid w:val="008B0B98"/>
    <w:rsid w:val="008B1400"/>
    <w:rsid w:val="008B343E"/>
    <w:rsid w:val="008B7FDF"/>
    <w:rsid w:val="008C0A5B"/>
    <w:rsid w:val="008C2DF7"/>
    <w:rsid w:val="008D66ED"/>
    <w:rsid w:val="008D67E2"/>
    <w:rsid w:val="008E74C8"/>
    <w:rsid w:val="008F516A"/>
    <w:rsid w:val="00914824"/>
    <w:rsid w:val="0091768A"/>
    <w:rsid w:val="00922295"/>
    <w:rsid w:val="009233B5"/>
    <w:rsid w:val="00924843"/>
    <w:rsid w:val="009276C2"/>
    <w:rsid w:val="00932FE3"/>
    <w:rsid w:val="009334E8"/>
    <w:rsid w:val="00944583"/>
    <w:rsid w:val="00946D30"/>
    <w:rsid w:val="0094791B"/>
    <w:rsid w:val="00947A60"/>
    <w:rsid w:val="009518E6"/>
    <w:rsid w:val="0095572E"/>
    <w:rsid w:val="009663FB"/>
    <w:rsid w:val="009756D1"/>
    <w:rsid w:val="00976E87"/>
    <w:rsid w:val="00981C1E"/>
    <w:rsid w:val="009911F5"/>
    <w:rsid w:val="00993536"/>
    <w:rsid w:val="009A6272"/>
    <w:rsid w:val="009C45F4"/>
    <w:rsid w:val="009E0C44"/>
    <w:rsid w:val="009E54BF"/>
    <w:rsid w:val="009E5C6A"/>
    <w:rsid w:val="009F24A2"/>
    <w:rsid w:val="009F439F"/>
    <w:rsid w:val="00A00288"/>
    <w:rsid w:val="00A00835"/>
    <w:rsid w:val="00A023B0"/>
    <w:rsid w:val="00A026C5"/>
    <w:rsid w:val="00A04A93"/>
    <w:rsid w:val="00A057E2"/>
    <w:rsid w:val="00A11883"/>
    <w:rsid w:val="00A1274F"/>
    <w:rsid w:val="00A255E5"/>
    <w:rsid w:val="00A27A23"/>
    <w:rsid w:val="00A33E41"/>
    <w:rsid w:val="00A351D6"/>
    <w:rsid w:val="00A36FFE"/>
    <w:rsid w:val="00A430F4"/>
    <w:rsid w:val="00A57C73"/>
    <w:rsid w:val="00A62430"/>
    <w:rsid w:val="00A7020B"/>
    <w:rsid w:val="00A73716"/>
    <w:rsid w:val="00A73ECF"/>
    <w:rsid w:val="00A758CE"/>
    <w:rsid w:val="00A768A3"/>
    <w:rsid w:val="00A855F7"/>
    <w:rsid w:val="00A874E1"/>
    <w:rsid w:val="00AA4CB4"/>
    <w:rsid w:val="00AB0B64"/>
    <w:rsid w:val="00AB1793"/>
    <w:rsid w:val="00AC070B"/>
    <w:rsid w:val="00AC358F"/>
    <w:rsid w:val="00AC687C"/>
    <w:rsid w:val="00AC6F05"/>
    <w:rsid w:val="00AD1DC0"/>
    <w:rsid w:val="00AE54CD"/>
    <w:rsid w:val="00AE7A81"/>
    <w:rsid w:val="00AF3D43"/>
    <w:rsid w:val="00AF7D56"/>
    <w:rsid w:val="00B023A6"/>
    <w:rsid w:val="00B11941"/>
    <w:rsid w:val="00B12214"/>
    <w:rsid w:val="00B162B4"/>
    <w:rsid w:val="00B1633B"/>
    <w:rsid w:val="00B24DD6"/>
    <w:rsid w:val="00B324BF"/>
    <w:rsid w:val="00B35628"/>
    <w:rsid w:val="00B37F42"/>
    <w:rsid w:val="00B44383"/>
    <w:rsid w:val="00B50E5E"/>
    <w:rsid w:val="00B51618"/>
    <w:rsid w:val="00B666F4"/>
    <w:rsid w:val="00B939F0"/>
    <w:rsid w:val="00B967AC"/>
    <w:rsid w:val="00B96969"/>
    <w:rsid w:val="00BA0C07"/>
    <w:rsid w:val="00BA0C4B"/>
    <w:rsid w:val="00BB232E"/>
    <w:rsid w:val="00BC2CD2"/>
    <w:rsid w:val="00BD209C"/>
    <w:rsid w:val="00BF3663"/>
    <w:rsid w:val="00C03DA7"/>
    <w:rsid w:val="00C33559"/>
    <w:rsid w:val="00C33FB6"/>
    <w:rsid w:val="00C41110"/>
    <w:rsid w:val="00C43D0B"/>
    <w:rsid w:val="00C50BA6"/>
    <w:rsid w:val="00C642B4"/>
    <w:rsid w:val="00C921D3"/>
    <w:rsid w:val="00C97813"/>
    <w:rsid w:val="00CA074C"/>
    <w:rsid w:val="00CA1766"/>
    <w:rsid w:val="00CA259C"/>
    <w:rsid w:val="00CA6687"/>
    <w:rsid w:val="00CB68B2"/>
    <w:rsid w:val="00CD49D5"/>
    <w:rsid w:val="00CE5337"/>
    <w:rsid w:val="00CF5B61"/>
    <w:rsid w:val="00D05ACB"/>
    <w:rsid w:val="00D301C6"/>
    <w:rsid w:val="00D430B5"/>
    <w:rsid w:val="00D459FF"/>
    <w:rsid w:val="00D47390"/>
    <w:rsid w:val="00D51B56"/>
    <w:rsid w:val="00D57D5C"/>
    <w:rsid w:val="00D612E2"/>
    <w:rsid w:val="00D7133B"/>
    <w:rsid w:val="00D84DCB"/>
    <w:rsid w:val="00DA33A2"/>
    <w:rsid w:val="00DA3CCF"/>
    <w:rsid w:val="00DC3AF5"/>
    <w:rsid w:val="00DC5B6A"/>
    <w:rsid w:val="00DC5E00"/>
    <w:rsid w:val="00DE09A8"/>
    <w:rsid w:val="00DF1519"/>
    <w:rsid w:val="00DF2897"/>
    <w:rsid w:val="00DF561B"/>
    <w:rsid w:val="00E050EE"/>
    <w:rsid w:val="00E5578F"/>
    <w:rsid w:val="00E61166"/>
    <w:rsid w:val="00E70323"/>
    <w:rsid w:val="00E71B5A"/>
    <w:rsid w:val="00E77139"/>
    <w:rsid w:val="00E83CFF"/>
    <w:rsid w:val="00E9439A"/>
    <w:rsid w:val="00E97C8D"/>
    <w:rsid w:val="00EA2AE8"/>
    <w:rsid w:val="00EB1440"/>
    <w:rsid w:val="00EB459F"/>
    <w:rsid w:val="00EC0A82"/>
    <w:rsid w:val="00EE4149"/>
    <w:rsid w:val="00EE6E23"/>
    <w:rsid w:val="00EF4A65"/>
    <w:rsid w:val="00F366C5"/>
    <w:rsid w:val="00F40127"/>
    <w:rsid w:val="00F43D2D"/>
    <w:rsid w:val="00F4486E"/>
    <w:rsid w:val="00F6204E"/>
    <w:rsid w:val="00F770BC"/>
    <w:rsid w:val="00F777ED"/>
    <w:rsid w:val="00F86601"/>
    <w:rsid w:val="00F93944"/>
    <w:rsid w:val="00F956B8"/>
    <w:rsid w:val="00F96CB8"/>
    <w:rsid w:val="00FA06E5"/>
    <w:rsid w:val="00FA0827"/>
    <w:rsid w:val="00FC1D5A"/>
    <w:rsid w:val="00FC7E59"/>
    <w:rsid w:val="00FD6F5F"/>
    <w:rsid w:val="00FF0C1A"/>
    <w:rsid w:val="01EF5BA6"/>
    <w:rsid w:val="036803A4"/>
    <w:rsid w:val="04E7565C"/>
    <w:rsid w:val="05C64E5C"/>
    <w:rsid w:val="07806A0D"/>
    <w:rsid w:val="07862999"/>
    <w:rsid w:val="08583A3F"/>
    <w:rsid w:val="0ACB407F"/>
    <w:rsid w:val="0B7A2363"/>
    <w:rsid w:val="0B7B6E3E"/>
    <w:rsid w:val="0FCC5CBB"/>
    <w:rsid w:val="11067A7B"/>
    <w:rsid w:val="120D3532"/>
    <w:rsid w:val="124D5C89"/>
    <w:rsid w:val="12C119AD"/>
    <w:rsid w:val="16287169"/>
    <w:rsid w:val="18B17E7F"/>
    <w:rsid w:val="1CFF6E22"/>
    <w:rsid w:val="1FAD224E"/>
    <w:rsid w:val="21255437"/>
    <w:rsid w:val="226E2973"/>
    <w:rsid w:val="24102138"/>
    <w:rsid w:val="247026F4"/>
    <w:rsid w:val="25FE1963"/>
    <w:rsid w:val="26BB226C"/>
    <w:rsid w:val="27451C7A"/>
    <w:rsid w:val="27493F03"/>
    <w:rsid w:val="27600550"/>
    <w:rsid w:val="28156FAC"/>
    <w:rsid w:val="28416416"/>
    <w:rsid w:val="28B60F25"/>
    <w:rsid w:val="292A6617"/>
    <w:rsid w:val="2A4925D8"/>
    <w:rsid w:val="2B9278DC"/>
    <w:rsid w:val="2FAA4DDF"/>
    <w:rsid w:val="32A228D7"/>
    <w:rsid w:val="32D54349"/>
    <w:rsid w:val="33212B7D"/>
    <w:rsid w:val="33C24ADF"/>
    <w:rsid w:val="36D00B48"/>
    <w:rsid w:val="384D3002"/>
    <w:rsid w:val="3AB31ADC"/>
    <w:rsid w:val="3ABE36F1"/>
    <w:rsid w:val="3D313EBB"/>
    <w:rsid w:val="3E6670B2"/>
    <w:rsid w:val="40E10E63"/>
    <w:rsid w:val="41B830B4"/>
    <w:rsid w:val="42C22B17"/>
    <w:rsid w:val="46DE70D4"/>
    <w:rsid w:val="48220665"/>
    <w:rsid w:val="4A5A099E"/>
    <w:rsid w:val="4B2444D5"/>
    <w:rsid w:val="4C603F1D"/>
    <w:rsid w:val="4D276770"/>
    <w:rsid w:val="4D8F5E4F"/>
    <w:rsid w:val="4DE46930"/>
    <w:rsid w:val="4EA72ACC"/>
    <w:rsid w:val="517B4D55"/>
    <w:rsid w:val="533C1FF3"/>
    <w:rsid w:val="57FF69DC"/>
    <w:rsid w:val="5A89105A"/>
    <w:rsid w:val="5AAF3758"/>
    <w:rsid w:val="5B1C2A87"/>
    <w:rsid w:val="5BCA4877"/>
    <w:rsid w:val="5C146B65"/>
    <w:rsid w:val="5DC246DF"/>
    <w:rsid w:val="5DCD5873"/>
    <w:rsid w:val="61DD4E36"/>
    <w:rsid w:val="6210426E"/>
    <w:rsid w:val="623E3959"/>
    <w:rsid w:val="63026803"/>
    <w:rsid w:val="63BB6372"/>
    <w:rsid w:val="65DB0E2C"/>
    <w:rsid w:val="67E460F1"/>
    <w:rsid w:val="6D3971A8"/>
    <w:rsid w:val="6D51057C"/>
    <w:rsid w:val="6E372E5F"/>
    <w:rsid w:val="6FAB4091"/>
    <w:rsid w:val="72740C55"/>
    <w:rsid w:val="730317BE"/>
    <w:rsid w:val="74221C16"/>
    <w:rsid w:val="746B1BF9"/>
    <w:rsid w:val="74C554AB"/>
    <w:rsid w:val="76D93FAD"/>
    <w:rsid w:val="78795361"/>
    <w:rsid w:val="78B2182E"/>
    <w:rsid w:val="7A8E221F"/>
    <w:rsid w:val="7CD633DE"/>
    <w:rsid w:val="7D172772"/>
    <w:rsid w:val="7EEF71C5"/>
    <w:rsid w:val="7F124B2B"/>
    <w:rsid w:val="7FB156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Document Map" w:semiHidden="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kern w:val="0"/>
      <w:sz w:val="32"/>
      <w:szCs w:val="20"/>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2Char">
    <w:name w:val="标题 2 Char"/>
    <w:link w:val="2"/>
    <w:rPr>
      <w:rFonts w:ascii="Arial" w:eastAsia="黑体" w:hAnsi="Arial" w:cs="Times New Roman"/>
      <w:b/>
      <w:sz w:val="32"/>
      <w:szCs w:val="20"/>
    </w:rPr>
  </w:style>
  <w:style w:type="paragraph" w:styleId="a3">
    <w:name w:val="Document Map"/>
    <w:basedOn w:val="a"/>
    <w:link w:val="Char"/>
    <w:uiPriority w:val="99"/>
    <w:unhideWhenUsed/>
    <w:rPr>
      <w:rFonts w:ascii="宋体"/>
      <w:sz w:val="18"/>
      <w:szCs w:val="18"/>
    </w:rPr>
  </w:style>
  <w:style w:type="character" w:customStyle="1" w:styleId="Char">
    <w:name w:val="文档结构图 Char"/>
    <w:link w:val="a3"/>
    <w:uiPriority w:val="99"/>
    <w:semiHidden/>
    <w:rPr>
      <w:rFonts w:ascii="宋体" w:hAnsi="Times New Roman"/>
      <w:kern w:val="2"/>
      <w:sz w:val="18"/>
      <w:szCs w:val="18"/>
    </w:rPr>
  </w:style>
  <w:style w:type="paragraph" w:styleId="a4">
    <w:name w:val="annotation text"/>
    <w:basedOn w:val="a"/>
    <w:link w:val="Char0"/>
    <w:uiPriority w:val="99"/>
    <w:unhideWhenUsed/>
    <w:pPr>
      <w:jc w:val="left"/>
    </w:pPr>
    <w:rPr>
      <w:kern w:val="0"/>
      <w:sz w:val="20"/>
    </w:rPr>
  </w:style>
  <w:style w:type="character" w:customStyle="1" w:styleId="Char0">
    <w:name w:val="批注文字 Char"/>
    <w:link w:val="a4"/>
    <w:uiPriority w:val="99"/>
    <w:semiHidden/>
    <w:rPr>
      <w:rFonts w:ascii="Times New Roman" w:eastAsia="宋体" w:hAnsi="Times New Roman" w:cs="Times New Roman"/>
      <w:szCs w:val="24"/>
    </w:rPr>
  </w:style>
  <w:style w:type="paragraph" w:styleId="a5">
    <w:name w:val="Date"/>
    <w:basedOn w:val="a"/>
    <w:next w:val="a"/>
    <w:link w:val="Char1"/>
    <w:uiPriority w:val="99"/>
    <w:unhideWhenUsed/>
    <w:pPr>
      <w:ind w:leftChars="2500" w:left="100"/>
    </w:pPr>
  </w:style>
  <w:style w:type="character" w:customStyle="1" w:styleId="Char1">
    <w:name w:val="日期 Char"/>
    <w:link w:val="a5"/>
    <w:uiPriority w:val="99"/>
    <w:semiHidden/>
    <w:rPr>
      <w:rFonts w:ascii="Times New Roman" w:hAnsi="Times New Roman"/>
      <w:kern w:val="2"/>
      <w:sz w:val="21"/>
      <w:szCs w:val="24"/>
    </w:rPr>
  </w:style>
  <w:style w:type="paragraph" w:styleId="a6">
    <w:name w:val="Balloon Text"/>
    <w:basedOn w:val="a"/>
    <w:link w:val="Char2"/>
    <w:uiPriority w:val="99"/>
    <w:unhideWhenUsed/>
    <w:rPr>
      <w:kern w:val="0"/>
      <w:sz w:val="18"/>
      <w:szCs w:val="18"/>
    </w:rPr>
  </w:style>
  <w:style w:type="character" w:customStyle="1" w:styleId="Char2">
    <w:name w:val="批注框文本 Char"/>
    <w:link w:val="a6"/>
    <w:uiPriority w:val="99"/>
    <w:semiHidden/>
    <w:rPr>
      <w:rFonts w:ascii="Times New Roman" w:eastAsia="宋体" w:hAnsi="Times New Roman" w:cs="Times New Roman"/>
      <w:sz w:val="18"/>
      <w:szCs w:val="18"/>
    </w:rPr>
  </w:style>
  <w:style w:type="paragraph" w:styleId="a7">
    <w:name w:val="footer"/>
    <w:basedOn w:val="a"/>
    <w:link w:val="Char3"/>
    <w:uiPriority w:val="99"/>
    <w:unhideWhenUsed/>
    <w:pPr>
      <w:tabs>
        <w:tab w:val="center" w:pos="4153"/>
        <w:tab w:val="right" w:pos="8306"/>
      </w:tabs>
      <w:snapToGrid w:val="0"/>
      <w:jc w:val="left"/>
    </w:pPr>
    <w:rPr>
      <w:kern w:val="0"/>
      <w:sz w:val="18"/>
      <w:szCs w:val="18"/>
    </w:rPr>
  </w:style>
  <w:style w:type="character" w:customStyle="1" w:styleId="Char3">
    <w:name w:val="页脚 Char"/>
    <w:link w:val="a7"/>
    <w:uiPriority w:val="99"/>
    <w:rPr>
      <w:rFonts w:ascii="Times New Roman" w:eastAsia="宋体" w:hAnsi="Times New Roman" w:cs="Times New Roman"/>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4">
    <w:name w:val="页眉 Char"/>
    <w:link w:val="a8"/>
    <w:uiPriority w:val="99"/>
    <w:rPr>
      <w:rFonts w:ascii="Times New Roman" w:eastAsia="宋体" w:hAnsi="Times New Roman" w:cs="Times New Roman"/>
      <w:sz w:val="18"/>
      <w:szCs w:val="18"/>
    </w:rPr>
  </w:style>
  <w:style w:type="paragraph" w:styleId="a9">
    <w:name w:val="annotation subject"/>
    <w:basedOn w:val="a4"/>
    <w:next w:val="a4"/>
    <w:link w:val="Char5"/>
    <w:uiPriority w:val="99"/>
    <w:unhideWhenUsed/>
    <w:rPr>
      <w:b/>
      <w:bCs/>
    </w:rPr>
  </w:style>
  <w:style w:type="character" w:customStyle="1" w:styleId="Char5">
    <w:name w:val="批注主题 Char"/>
    <w:link w:val="a9"/>
    <w:uiPriority w:val="99"/>
    <w:semiHidden/>
    <w:rPr>
      <w:rFonts w:ascii="Times New Roman" w:eastAsia="宋体" w:hAnsi="Times New Roman" w:cs="Times New Roman"/>
      <w:b/>
      <w:bCs/>
      <w:szCs w:val="24"/>
    </w:rPr>
  </w:style>
  <w:style w:type="character" w:styleId="aa">
    <w:name w:val="Strong"/>
    <w:uiPriority w:val="22"/>
    <w:qFormat/>
    <w:rPr>
      <w:b/>
      <w:bCs/>
    </w:rPr>
  </w:style>
  <w:style w:type="character" w:styleId="ab">
    <w:name w:val="annotation reference"/>
    <w:uiPriority w:val="99"/>
    <w:unhideWhenUsed/>
    <w:rPr>
      <w:sz w:val="21"/>
      <w:szCs w:val="21"/>
    </w:rPr>
  </w:style>
  <w:style w:type="paragraph" w:customStyle="1" w:styleId="ac">
    <w:name w:val="合同正文"/>
    <w:basedOn w:val="a"/>
    <w:link w:val="Char6"/>
    <w:qFormat/>
    <w:pPr>
      <w:spacing w:line="360" w:lineRule="auto"/>
      <w:ind w:firstLineChars="200" w:firstLine="200"/>
    </w:pPr>
    <w:rPr>
      <w:bCs/>
      <w:kern w:val="0"/>
      <w:sz w:val="24"/>
      <w:szCs w:val="20"/>
    </w:rPr>
  </w:style>
  <w:style w:type="character" w:customStyle="1" w:styleId="Char6">
    <w:name w:val="合同正文 Char"/>
    <w:link w:val="ac"/>
    <w:rPr>
      <w:rFonts w:ascii="Times New Roman" w:eastAsia="宋体" w:hAnsi="Times New Roman" w:cs="Times New Roman"/>
      <w:bCs/>
      <w:sz w:val="24"/>
      <w:szCs w:val="20"/>
    </w:rPr>
  </w:style>
  <w:style w:type="paragraph" w:styleId="ad">
    <w:name w:val="Revision"/>
    <w:uiPriority w:val="99"/>
    <w:semiHidden/>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226</Words>
  <Characters>1289</Characters>
  <Application>Microsoft Office Word</Application>
  <DocSecurity>4</DocSecurity>
  <Lines>10</Lines>
  <Paragraphs>3</Paragraphs>
  <ScaleCrop>false</ScaleCrop>
  <Company>fullgoal</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cp:lastModifiedBy>ZHONGM</cp:lastModifiedBy>
  <cp:revision>2</cp:revision>
  <dcterms:created xsi:type="dcterms:W3CDTF">2026-03-30T16:06:00Z</dcterms:created>
  <dcterms:modified xsi:type="dcterms:W3CDTF">2026-03-30T16:06:00Z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41C413390DEB43FB8E9D5813C6DEF252</vt:lpwstr>
  </property>
</Properties>
</file>