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DBB" w:rsidRDefault="0040466D" w:rsidP="0040466D">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鹏华基金</w:t>
      </w:r>
      <w:r>
        <w:rPr>
          <w:rFonts w:ascii="仿宋" w:eastAsia="仿宋" w:hAnsi="仿宋"/>
          <w:b/>
          <w:color w:val="000000" w:themeColor="text1"/>
          <w:sz w:val="32"/>
          <w:szCs w:val="32"/>
        </w:rPr>
        <w:t>管理有限</w:t>
      </w:r>
      <w:r>
        <w:rPr>
          <w:rFonts w:ascii="仿宋" w:eastAsia="仿宋" w:hAnsi="仿宋" w:hint="eastAsia"/>
          <w:b/>
          <w:color w:val="000000" w:themeColor="text1"/>
          <w:sz w:val="32"/>
          <w:szCs w:val="32"/>
        </w:rPr>
        <w:t>公司旗下</w:t>
      </w:r>
      <w:r>
        <w:rPr>
          <w:rFonts w:ascii="仿宋" w:eastAsia="仿宋" w:hAnsi="仿宋"/>
          <w:b/>
          <w:color w:val="000000" w:themeColor="text1"/>
          <w:sz w:val="32"/>
          <w:szCs w:val="32"/>
        </w:rPr>
        <w:t>基金</w:t>
      </w:r>
      <w:r>
        <w:rPr>
          <w:rFonts w:ascii="仿宋" w:eastAsia="仿宋" w:hAnsi="仿宋" w:hint="eastAsia"/>
          <w:b/>
          <w:color w:val="000000" w:themeColor="text1"/>
          <w:sz w:val="32"/>
          <w:szCs w:val="32"/>
        </w:rPr>
        <w:t>2025</w:t>
      </w:r>
      <w:r>
        <w:rPr>
          <w:rFonts w:ascii="仿宋" w:eastAsia="仿宋" w:hAnsi="仿宋" w:hint="eastAsia"/>
          <w:b/>
          <w:color w:val="000000" w:themeColor="text1"/>
          <w:sz w:val="32"/>
          <w:szCs w:val="32"/>
        </w:rPr>
        <w:t>年年度报告提示性公告</w:t>
      </w:r>
    </w:p>
    <w:p w:rsidR="00621DBB" w:rsidRDefault="00621DBB" w:rsidP="0040466D">
      <w:pPr>
        <w:spacing w:line="540" w:lineRule="exact"/>
        <w:ind w:firstLineChars="50" w:firstLine="160"/>
        <w:jc w:val="center"/>
        <w:rPr>
          <w:rFonts w:ascii="仿宋" w:eastAsia="仿宋" w:hAnsi="仿宋"/>
          <w:b/>
          <w:color w:val="000000" w:themeColor="text1"/>
          <w:sz w:val="32"/>
          <w:szCs w:val="32"/>
        </w:rPr>
      </w:pPr>
      <w:bookmarkStart w:id="0" w:name="_GoBack"/>
      <w:bookmarkEnd w:id="0"/>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本公司董事会及董事保证旗下</w:t>
      </w:r>
      <w:r>
        <w:rPr>
          <w:rFonts w:ascii="仿宋" w:eastAsia="仿宋" w:hAnsi="仿宋"/>
          <w:color w:val="000000" w:themeColor="text1"/>
          <w:sz w:val="32"/>
          <w:szCs w:val="32"/>
        </w:rPr>
        <w:t>证券投资</w:t>
      </w:r>
      <w:r>
        <w:rPr>
          <w:rFonts w:ascii="仿宋" w:eastAsia="仿宋" w:hAnsi="仿宋" w:hint="eastAsia"/>
          <w:color w:val="000000" w:themeColor="text1"/>
          <w:sz w:val="32"/>
          <w:szCs w:val="32"/>
        </w:rPr>
        <w:t>基金</w:t>
      </w:r>
      <w:r>
        <w:rPr>
          <w:rFonts w:ascii="仿宋" w:eastAsia="仿宋" w:hAnsi="仿宋" w:hint="eastAsia"/>
          <w:color w:val="000000" w:themeColor="text1"/>
          <w:sz w:val="32"/>
          <w:szCs w:val="32"/>
        </w:rPr>
        <w:t>2025</w:t>
      </w:r>
      <w:r>
        <w:rPr>
          <w:rFonts w:ascii="仿宋" w:eastAsia="仿宋" w:hAnsi="仿宋" w:hint="eastAsia"/>
          <w:color w:val="000000" w:themeColor="text1"/>
          <w:sz w:val="32"/>
          <w:szCs w:val="32"/>
        </w:rPr>
        <w:t>年年度报告所载资料不存在虚假记载、误导性陈述或重大遗漏，并对其内容的真实性、准确性和完整性承担个别及连带责任。</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鹏华基金管理有限</w:t>
      </w:r>
      <w:r>
        <w:rPr>
          <w:rFonts w:ascii="仿宋" w:eastAsia="仿宋" w:hAnsi="仿宋"/>
          <w:color w:val="000000" w:themeColor="text1"/>
          <w:sz w:val="32"/>
          <w:szCs w:val="32"/>
        </w:rPr>
        <w:t>公司</w:t>
      </w:r>
      <w:r>
        <w:rPr>
          <w:rFonts w:ascii="仿宋" w:eastAsia="仿宋" w:hAnsi="仿宋" w:hint="eastAsia"/>
          <w:color w:val="000000" w:themeColor="text1"/>
          <w:sz w:val="32"/>
          <w:szCs w:val="32"/>
        </w:rPr>
        <w:t>旗下：</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鹏华弘泰灵活配置混合型证券投资基金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鹏华普天债券证券投资基金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鹏华普天收益证券投资基金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鹏华中国</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开放式证券投资基金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鹏华货币市场证券投资基金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鹏华价值优势混合型证券投资基金（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鹏华动力增长混合型证券投资基金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鹏华优质治理混合型证券投资基金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鹏华丰收债券型证券投资基金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鹏华盛世创新混合型证券投资基金（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交易型开放式指数证券投资基金联接基金（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鹏华精选成长混合型证券投资基金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鹏华信用增利债券型证券投资基金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鹏华全球中短债债券型证券投资基金（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鹏华丰润债券型证券投资基金（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鹏华消费优选混合型证券投资基金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鹏华丰盛稳固收益债券型证券投资基金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鹏华新兴产业混合型证券投资基金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鹏华美国房地产证券投资基金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鹏华丰泽债券型证券投</w:t>
      </w:r>
      <w:r>
        <w:rPr>
          <w:rFonts w:ascii="仿宋" w:eastAsia="仿宋" w:hAnsi="仿宋" w:hint="eastAsia"/>
          <w:color w:val="000000" w:themeColor="text1"/>
          <w:sz w:val="32"/>
          <w:szCs w:val="32"/>
        </w:rPr>
        <w:t>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鹏华价值精选股票型证券投资基金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鹏华宏观灵活配置混合型证券投资基金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鹏华纯债债券型证券投资基金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w:t>
      </w:r>
      <w:r>
        <w:rPr>
          <w:rFonts w:ascii="仿宋" w:eastAsia="仿宋" w:hAnsi="仿宋" w:hint="eastAsia"/>
          <w:color w:val="000000" w:themeColor="text1"/>
          <w:sz w:val="32"/>
          <w:szCs w:val="32"/>
        </w:rPr>
        <w:t>股资源产业指数型证券投资基金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鹏华丰和债券型证券投资基金（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鹏华产业债债券型证券投资基金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鹏华双债增利债券型证券投资基金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鹏华丰利债券型证券投资基金（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鹏华永诚一年定期开放债券型证券投资基金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鹏华双债加利债券型证券投资基金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鹏华量化先锋混合型证券投资基金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鹏华丰实定期开放债券型证券投资基金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鹏华双债保利债券型证券投资基金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鹏华丰泰定期开放债券型证券投资基金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鹏华全球高收益债债券型证券投资基金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鹏华丰融定期开放债券型证券投资基金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鹏华消费领先灵活配置混合型证券投资基金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鹏华品牌传承灵活配置混合型证券投资基金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鹏华增值宝货币市场基金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鹏华环保产业股票型证券投资基金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证券保险指数型证券投资基金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鹏华中证信息技术指数型证券投资基金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鹏华策略优选灵活配置混合型证券投资基金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地产指数型证券投资基金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鹏华医疗保健股票型证券投资基金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鹏华先进制造股票型证券投资基金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鹏华中证国防指数型证券投资基金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鹏华养老产业</w:t>
      </w:r>
      <w:r>
        <w:rPr>
          <w:rFonts w:ascii="仿宋" w:eastAsia="仿宋" w:hAnsi="仿宋" w:hint="eastAsia"/>
          <w:color w:val="000000" w:themeColor="text1"/>
          <w:sz w:val="32"/>
          <w:szCs w:val="32"/>
        </w:rPr>
        <w:t>股票型证券投资基金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鹏华中证传媒指数型证券投资基金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鹏华安盈宝货币市场基金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鹏华可转债债券型证券投资基金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鹏华弘盛灵活配置混合型证券投资基金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鹏华弘利灵活配置混合型证券投资基金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鹏华弘泽灵活配置混合型证券投资基金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鹏华弘润灵活配置混合型证券投资基金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鹏华中证银行指数型证券投资基金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鹏华改革红利股票型证券投资基金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鹏华中证酒指数型证券投资基金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鹏华中证全指证券公司指数型证券投资基金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鹏华中证一带一路主题指数型证券投资基金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鹏华外延成长灵活配置混合型证券投资基金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鹏华弘和灵活配置混合型证券投资基金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鹏华弘华灵活配置混合型证券投资基金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鹏华弘实灵活配置混合型证券投资基金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鹏华弘信灵活配置混合型证券投资基金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鹏华中证高铁产业指数型证券投资基金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鹏华弘益灵活配置混合型证券投资基金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鹏华医药科技股票型证券投资基金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鹏华中证环保产业指数型证券投资基金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鹏华中证移动互联网指数型证券投资基金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鹏华弘鑫灵活配置混合型证券投资基金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鹏华丰锐债券型证券投资基金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鹏华添利宝货币市场基金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鹏华国证钢铁行业指数型证券投资基金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指数增强型证券投资基金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鹏华中证医药卫生指数证券投资基金（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鹏华弘安灵活配置混合型证券投资基金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鹏华丰华债券型证券投资基金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鹏华健康环保灵活配置混合型证券投资基金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鹏华文化传媒娱乐股票型证券投资基金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鹏华添利交易型货币市场基金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鹏华丰尚定期开放债券型证券投资基金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鹏华永达中短债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鹏华金城灵活配置混合型证券投资基金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鹏华丰茂债券型证券投资基金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鹏华弘达灵活配置混合型证券投资基金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鹏华弘嘉灵活配置混合型证券投资基金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鹏华丰饶定期开放债券型证券投资基金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鹏华增瑞灵活配置混合型证券投资基金（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鹏华丰恒债券型证券投资基金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鹏华弘惠灵活配置混合型证券投资基金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鹏华弘康灵活配置混合型证券投资基金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鹏华弘尚灵活配置混合型证券投资基金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鹏华丰禄债券型证券投资基金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鹏华港股通中证香港银行投资指数证券投资基金（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鹏华丰盈债券型证券投资基金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鹏华沪深港新兴成长灵活配置混合型证券投资基金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鹏华丰惠债券型证券投资基金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鹏华永盛一年定期开</w:t>
      </w:r>
      <w:r>
        <w:rPr>
          <w:rFonts w:ascii="仿宋" w:eastAsia="仿宋" w:hAnsi="仿宋" w:hint="eastAsia"/>
          <w:color w:val="000000" w:themeColor="text1"/>
          <w:sz w:val="32"/>
          <w:szCs w:val="32"/>
        </w:rPr>
        <w:t>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鹏华安益增强混合型证券投资基金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鹏华丰享债券型证券投资基金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鹏华丰玉债券型证券投资基金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鹏华永安</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鹏华丰康债券型证券投资基金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鹏华沪深港互联网股票型证券投资基金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鹏华丰瑞债券型证券投资基金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鹏华聚财通货币市场基金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鹏华永泰</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鹏华丰源债券型证券投资基金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鹏华盈余宝货币市场基金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鹏华中证空天一体军工指数证券投资基金（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鹏华金元宝货币市场基金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鹏华兴鑫宝货币市场基金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鹏华策略回报灵活配置混合型证券投资基金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鹏华研究精选灵活配置混合型证券投资基金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鹏华香港美国互联网股票型证券投资基金（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鹏华优势企业股票型证券投资基金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鹏华永泽</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鹏华尊惠</w:t>
      </w:r>
      <w:r>
        <w:rPr>
          <w:rFonts w:ascii="仿宋" w:eastAsia="仿宋" w:hAnsi="仿宋" w:hint="eastAsia"/>
          <w:color w:val="000000" w:themeColor="text1"/>
          <w:sz w:val="32"/>
          <w:szCs w:val="32"/>
        </w:rPr>
        <w:t>18</w:t>
      </w:r>
      <w:r>
        <w:rPr>
          <w:rFonts w:ascii="仿宋" w:eastAsia="仿宋" w:hAnsi="仿宋" w:hint="eastAsia"/>
          <w:color w:val="000000" w:themeColor="text1"/>
          <w:sz w:val="32"/>
          <w:szCs w:val="32"/>
        </w:rPr>
        <w:t>个月定期开放混合型证券投资基金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鹏华产业精选灵活配置混合型证券投资基金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鹏华尊悦</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鹏华睿投灵活配置混合型证券投资基金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鹏华创新驱动混合型证券投资基金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鹏华尊享</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鹏华研究驱动混合型证券投资基金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鹏华中短债</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w:t>
      </w:r>
      <w:r>
        <w:rPr>
          <w:rFonts w:ascii="仿宋" w:eastAsia="仿宋" w:hAnsi="仿宋" w:hint="eastAsia"/>
          <w:color w:val="000000" w:themeColor="text1"/>
          <w:sz w:val="32"/>
          <w:szCs w:val="32"/>
        </w:rPr>
        <w:t>2035</w:t>
      </w:r>
      <w:r>
        <w:rPr>
          <w:rFonts w:ascii="仿宋" w:eastAsia="仿宋" w:hAnsi="仿宋" w:hint="eastAsia"/>
          <w:color w:val="000000" w:themeColor="text1"/>
          <w:sz w:val="32"/>
          <w:szCs w:val="32"/>
        </w:rPr>
        <w:t>三年持有期混合型基金中基金（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鹏华优选回报灵活配置混合型证券投资基金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鹏华永融一年定期开放债券型证券投资基金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年国开行债券指数证券投资基金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鹏华永润一年定期开放债券型证券投资基金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鹏华核心优势混合型证券投资基金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鹏华中证酒交易型开放式指数证券投资基金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w:t>
      </w:r>
      <w:r>
        <w:rPr>
          <w:rFonts w:ascii="仿宋" w:eastAsia="仿宋" w:hAnsi="仿宋" w:hint="eastAsia"/>
          <w:color w:val="000000" w:themeColor="text1"/>
          <w:sz w:val="32"/>
          <w:szCs w:val="32"/>
        </w:rPr>
        <w:t>2045</w:t>
      </w:r>
      <w:r>
        <w:rPr>
          <w:rFonts w:ascii="仿宋" w:eastAsia="仿宋" w:hAnsi="仿宋" w:hint="eastAsia"/>
          <w:color w:val="000000" w:themeColor="text1"/>
          <w:sz w:val="32"/>
          <w:szCs w:val="32"/>
        </w:rPr>
        <w:t>三年持有期混合型发起式基金中基金（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鹏华研究智选混合型证券投资基金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鹏华创新动力灵活配置混合型证券投资基金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鹏华尊诚</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鹏华尊晟</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鹏华中证国防交易型开放式指数证券投资基金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鹏华金利债券型证券投资基金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鹏华丰登债券型证券投资基金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w:t>
      </w:r>
      <w:r>
        <w:rPr>
          <w:rFonts w:ascii="仿宋" w:eastAsia="仿宋" w:hAnsi="仿宋" w:hint="eastAsia"/>
          <w:color w:val="000000" w:themeColor="text1"/>
          <w:sz w:val="32"/>
          <w:szCs w:val="32"/>
        </w:rPr>
        <w:t>年期地方政府债交易型开放式指数证券投资基金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鹏华浮动净值型发起式货币市场基金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鹏华尊信</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鹏华锦利两年定期开放债券型证券投资基金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鹏华丰鑫债券型证券投资基金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鹏华丰庆债券型证券投资基金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鹏华稳利短债债券型证券投资基金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鹏华金享混合型证券投资基金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鹏华价值驱动混合型证券投资基金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鹏华优选价值股票型证券投资基金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鹏华中证银行交易型开放式指数证券投资基金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w:t>
      </w:r>
      <w:r>
        <w:rPr>
          <w:rFonts w:ascii="仿宋" w:eastAsia="仿宋" w:hAnsi="仿宋" w:hint="eastAsia"/>
          <w:color w:val="000000" w:themeColor="text1"/>
          <w:sz w:val="32"/>
          <w:szCs w:val="32"/>
        </w:rPr>
        <w:t>0-5</w:t>
      </w:r>
      <w:r>
        <w:rPr>
          <w:rFonts w:ascii="仿宋" w:eastAsia="仿宋" w:hAnsi="仿宋" w:hint="eastAsia"/>
          <w:color w:val="000000" w:themeColor="text1"/>
          <w:sz w:val="32"/>
          <w:szCs w:val="32"/>
        </w:rPr>
        <w:t>年利率债债券型发起式证券投资基金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鹏华尊泰一年定期开放债券型发起式证券投资基金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鹏华国证证券龙头交易型开放式指数证券投资基金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交易型开放式指数证券投资基金联接基金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鹏华科技创新混合型证券投资基金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鹏华价值成长混合型证券投资基金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鹏华尊裕一年定期开放债券型发起式证券投资基金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鹏华优质回报两年定期开放混合型证券投资基金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证券保险交易型开放式指数证券投资基金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鹏华中证传媒交易型开放式指数证券投资基金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鹏华丰诚债券型证券投资基金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鹏华安泽混合型证券投资基金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鹏华稳健回报混合型证券投资基金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鹏华国证半导体芯片交易型开放式指数证券投资基金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w:t>
      </w:r>
      <w:r>
        <w:rPr>
          <w:rFonts w:ascii="仿宋" w:eastAsia="仿宋" w:hAnsi="仿宋" w:hint="eastAsia"/>
          <w:color w:val="000000" w:themeColor="text1"/>
          <w:sz w:val="32"/>
          <w:szCs w:val="32"/>
        </w:rPr>
        <w:t>3-5</w:t>
      </w:r>
      <w:r>
        <w:rPr>
          <w:rFonts w:ascii="仿宋" w:eastAsia="仿宋" w:hAnsi="仿宋" w:hint="eastAsia"/>
          <w:color w:val="000000" w:themeColor="text1"/>
          <w:sz w:val="32"/>
          <w:szCs w:val="32"/>
        </w:rPr>
        <w:t>年国开行债券指数证券投资基金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鹏华价值共赢两年持有期混合型证券投资基金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鹏华股息精选混合型证券投资基金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鹏华成长价值混合型证券投资基金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鹏华尊达一年定期开放债券型发起式证券投资基金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鹏华优质企业混合型证券投资基金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鹏华普利债券型证券投资基金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鹏华安和混合型证券投资基金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鹏华安庆混合型证券投资基金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鹏华安惠混合型证券投资基金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鹏华匠心精选混合型证券投资基金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w:t>
      </w:r>
      <w:r>
        <w:rPr>
          <w:rFonts w:ascii="仿宋" w:eastAsia="仿宋" w:hAnsi="仿宋" w:hint="eastAsia"/>
          <w:color w:val="000000" w:themeColor="text1"/>
          <w:sz w:val="32"/>
          <w:szCs w:val="32"/>
        </w:rPr>
        <w:t>新兴成长混合型证券投资基金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鹏华锦润</w:t>
      </w:r>
      <w:r>
        <w:rPr>
          <w:rFonts w:ascii="仿宋" w:eastAsia="仿宋" w:hAnsi="仿宋" w:hint="eastAsia"/>
          <w:color w:val="000000" w:themeColor="text1"/>
          <w:sz w:val="32"/>
          <w:szCs w:val="32"/>
        </w:rPr>
        <w:t>86</w:t>
      </w:r>
      <w:r>
        <w:rPr>
          <w:rFonts w:ascii="仿宋" w:eastAsia="仿宋" w:hAnsi="仿宋" w:hint="eastAsia"/>
          <w:color w:val="000000" w:themeColor="text1"/>
          <w:sz w:val="32"/>
          <w:szCs w:val="32"/>
        </w:rPr>
        <w:t>个月定期开放债券型证券投资基金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鹏华安睿两年持有期混合型证券投资基金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0-4</w:t>
      </w:r>
      <w:r>
        <w:rPr>
          <w:rFonts w:ascii="仿宋" w:eastAsia="仿宋" w:hAnsi="仿宋" w:hint="eastAsia"/>
          <w:color w:val="000000" w:themeColor="text1"/>
          <w:sz w:val="32"/>
          <w:szCs w:val="32"/>
        </w:rPr>
        <w:t>年期地方政府债交易型开放式指数证券投资基金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w:t>
      </w: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年农发行债券指数证券投资基金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鹏华招华一年持有期混合型证券投资基金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鹏华年年红一年持有期债券型证券投资基金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w:t>
      </w:r>
      <w:r>
        <w:rPr>
          <w:rFonts w:ascii="仿宋" w:eastAsia="仿宋" w:hAnsi="仿宋" w:hint="eastAsia"/>
          <w:color w:val="000000" w:themeColor="text1"/>
          <w:sz w:val="32"/>
          <w:szCs w:val="32"/>
        </w:rPr>
        <w:t>AA+</w:t>
      </w:r>
      <w:r>
        <w:rPr>
          <w:rFonts w:ascii="仿宋" w:eastAsia="仿宋" w:hAnsi="仿宋" w:hint="eastAsia"/>
          <w:color w:val="000000" w:themeColor="text1"/>
          <w:sz w:val="32"/>
          <w:szCs w:val="32"/>
        </w:rPr>
        <w:t>优选信用债指数证券投资基金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鹏华启航混合型证券投资基金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鹏华创新未来混合型证券投资基金</w:t>
      </w:r>
      <w:r>
        <w:rPr>
          <w:rFonts w:ascii="仿宋" w:eastAsia="仿宋" w:hAnsi="仿宋" w:hint="eastAsia"/>
          <w:color w:val="000000" w:themeColor="text1"/>
          <w:sz w:val="32"/>
          <w:szCs w:val="32"/>
        </w:rPr>
        <w:t>(LOF)</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鹏华成长智选混合型证券投资基金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鹏华丰颐债券型证券投资基金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鹏华高质量增长混合型证券投资基金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鹏华优选成长混合型证券投资基金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鹏华尊和一年定期开放债券型发起式证券投资基金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鹏华安润混合型证券投资基金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鹏华安享一年持有期混合型证券投资基金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鹏华汇智优选混合型证券投资基金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鹏华弘裕一年持有期混合型证券投资基金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鹏华安悦一年持有期混合型证券投资基金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鹏华品质优选混合型证券投资基金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鹏华中证光伏产业交易型开放式指数证券投资基金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鹏华中证细分化工产业主题交易型开放式指数证券投资基金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鹏华中证畜牧养殖交易型开放式指数证券投资基金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鹏华国证有色金属行业交易型开放式指数证券投资基金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鹏华宁华一年持有期混合型证券投资基金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鹏华创新成长混合型证券投资基金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鹏华致远成长混合型证券投资基金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鹏华远见回报三年持有期混合型证券投资基金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鹏华民丰盈和</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鹏华中证内地低碳经济主题交易型开放式指数证券投资基金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鹏华鑫远价值一年持有期混合型证券投资基金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鹏华远见成长混合型证券投资基金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鹏华永益</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鹏华中证车联网主题交易型开放式指数证券投资基金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鹏华创新升级混合型证券投资基金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鹏华领航一年持有期混合型证券投资基金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鹏华稳泰</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天滚动持有债券型证券投资基金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鹏华中证内地低碳经济主题交易型开放式指数证券投资基金联接基金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鹏华中证港股通医药卫生综合交易型开放式指数证券投资基金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鹏华新能源精选混合型证券投资基金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鹏华丰宁债券型证券投资基金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鹏华中证港股通消费主题交易型开放式指数证券投资基金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鹏华品质成长混合型证券投资基金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鹏华长治稳健养老目标一年持有期混合型基金中基金（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鹏华国证半导体芯片交易型开放式指数证券投资基金联接基金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鹏华稳健鸿利一年持有期混合型证券投资基金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鹏华产业升级混合型证券投资基金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鹏华安诚混合型证券</w:t>
      </w:r>
      <w:r>
        <w:rPr>
          <w:rFonts w:ascii="仿宋" w:eastAsia="仿宋" w:hAnsi="仿宋" w:hint="eastAsia"/>
          <w:color w:val="000000" w:themeColor="text1"/>
          <w:sz w:val="32"/>
          <w:szCs w:val="32"/>
        </w:rPr>
        <w:t>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w:t>
      </w:r>
      <w:r>
        <w:rPr>
          <w:rFonts w:ascii="仿宋" w:eastAsia="仿宋" w:hAnsi="仿宋" w:hint="eastAsia"/>
          <w:color w:val="000000" w:themeColor="text1"/>
          <w:sz w:val="32"/>
          <w:szCs w:val="32"/>
        </w:rPr>
        <w:t>ESG300</w:t>
      </w:r>
      <w:r>
        <w:rPr>
          <w:rFonts w:ascii="仿宋" w:eastAsia="仿宋" w:hAnsi="仿宋" w:hint="eastAsia"/>
          <w:color w:val="000000" w:themeColor="text1"/>
          <w:sz w:val="32"/>
          <w:szCs w:val="32"/>
        </w:rPr>
        <w:t>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鹏华安荣混合型证券投资基金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鹏华精选群英一年持有期灵活配置混合型管理人中管理人（</w:t>
      </w:r>
      <w:r>
        <w:rPr>
          <w:rFonts w:ascii="仿宋" w:eastAsia="仿宋" w:hAnsi="仿宋" w:hint="eastAsia"/>
          <w:color w:val="000000" w:themeColor="text1"/>
          <w:sz w:val="32"/>
          <w:szCs w:val="32"/>
        </w:rPr>
        <w:t>MOM</w:t>
      </w:r>
      <w:r>
        <w:rPr>
          <w:rFonts w:ascii="仿宋" w:eastAsia="仿宋" w:hAnsi="仿宋" w:hint="eastAsia"/>
          <w:color w:val="000000" w:themeColor="text1"/>
          <w:sz w:val="32"/>
          <w:szCs w:val="32"/>
        </w:rPr>
        <w:t>）证券投资基金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鹏华品质精选混合型证券投资基金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鹏华上华一年持有期混合型证券投资基金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鹏华安康一年持有期混合型证券投资基金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鹏华安颐混合型证券投资基金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鹏华稳华</w:t>
      </w:r>
      <w:r>
        <w:rPr>
          <w:rFonts w:ascii="仿宋" w:eastAsia="仿宋" w:hAnsi="仿宋" w:hint="eastAsia"/>
          <w:color w:val="000000" w:themeColor="text1"/>
          <w:sz w:val="32"/>
          <w:szCs w:val="32"/>
        </w:rPr>
        <w:t>90</w:t>
      </w:r>
      <w:r>
        <w:rPr>
          <w:rFonts w:ascii="仿宋" w:eastAsia="仿宋" w:hAnsi="仿宋" w:hint="eastAsia"/>
          <w:color w:val="000000" w:themeColor="text1"/>
          <w:sz w:val="32"/>
          <w:szCs w:val="32"/>
        </w:rPr>
        <w:t>天滚动持有债券型证券投资基金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鹏华中证云计算与大数据主题交易型开放式指数证券投资基金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鹏华中证沪港深科技龙头指数证券投资基金（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鹏华中证港股通科技交易型开放式指数证券投资基金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鹏华中证同业存单</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指数</w:t>
      </w: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天持有期证券投资基金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鹏华沃鑫混合型证券投资基金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鹏华稳瑞中短债债券型证券投资基金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指数增强型证券投资基金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鹏华成长领航两年持有期混合型证券投资基金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鹏华中证工业互联网主题交易型开放式指数证券投资基金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鹏华价值远航</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鹏华中证细分化工产业主题交易型开放式指数证券投资基金联接基金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鹏华双季享</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天持有期债券型证券投资基金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鹏华永宁</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鹏华创新增长一年持有期混合型证券投资基金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鹏华深圳能源清洁能源封闭式基础设施证券投资基金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鹏华稳享一年持有期混合型证券投资基金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鹏华中证中药交易型开放式指数证券投资基金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鹏华新能源汽车主题混合型证券投资基金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鹏华永平</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鹏华增华混合型证券投资基金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鹏华丰启债券型证券投资基金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鹏华畅享债券型证券投资基金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鹏华创兴增利债券型证券投资基金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鹏华稳福中短债债券型证券投资基金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鹏华永鑫一年定期开放债券型证券投资基金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鹏华中证中药交易型开放式指数证券投资基金联接基金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成份增强策略交易型开放式指数证券投资基金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w:t>
      </w:r>
      <w:r>
        <w:rPr>
          <w:rFonts w:ascii="仿宋" w:eastAsia="仿宋" w:hAnsi="仿宋" w:hint="eastAsia"/>
          <w:color w:val="000000" w:themeColor="text1"/>
          <w:sz w:val="32"/>
          <w:szCs w:val="32"/>
        </w:rPr>
        <w:t>创业板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指数增强型证券投资基金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鹏华稳健增利债券型证券投资基金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鹏华稳健恒利债券型证券投资基金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鹏华睿进一年持有期混合型证券投资基金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w:t>
      </w:r>
      <w:r>
        <w:rPr>
          <w:rFonts w:ascii="仿宋" w:eastAsia="仿宋" w:hAnsi="仿宋" w:hint="eastAsia"/>
          <w:color w:val="000000" w:themeColor="text1"/>
          <w:sz w:val="32"/>
          <w:szCs w:val="32"/>
        </w:rPr>
        <w:t>2000</w:t>
      </w:r>
      <w:r>
        <w:rPr>
          <w:rFonts w:ascii="仿宋" w:eastAsia="仿宋" w:hAnsi="仿宋" w:hint="eastAsia"/>
          <w:color w:val="000000" w:themeColor="text1"/>
          <w:sz w:val="32"/>
          <w:szCs w:val="32"/>
        </w:rPr>
        <w:t>指数增强型证券投资基金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鹏华国证疫苗与生物科技交易型开放式指数证券投资基金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鹏华丰尊债券型证券投资基金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鹏华安锦一年持有期混合型证券投资基金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鹏华汽车产业混合型发起式证券投资基金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鹏华新材料混合型发起式证券投资基金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鹏华国证石油天然气交易型开放式指数证券投资基金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鹏华稳健添利债券型证券投资基金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鹏华碳中和主题混合型证券投资基金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鹏华中证港股通消费主题交易型开放式指数证券投资基金联接基金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鹏华芯片产业混合型发起式证券投资基金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鹏华丰顺债券型证券投资基金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鹏华睿见混合型证券投资基金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鹏华高端装备一年持有期混合型证券投资基金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鹏华国证粮食产业交易型开放式指数证券投资基金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交易型开放式指数证券投资基金联接基金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鹏华信用债</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个月持有期债券型证券投资基金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1000</w:t>
      </w:r>
      <w:r>
        <w:rPr>
          <w:rFonts w:ascii="仿宋" w:eastAsia="仿宋" w:hAnsi="仿宋" w:hint="eastAsia"/>
          <w:color w:val="000000" w:themeColor="text1"/>
          <w:sz w:val="32"/>
          <w:szCs w:val="32"/>
        </w:rPr>
        <w:t>增强策略交易型开放式指数证券投资基金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鹏华养老目标日期</w:t>
      </w:r>
      <w:r>
        <w:rPr>
          <w:rFonts w:ascii="仿宋" w:eastAsia="仿宋" w:hAnsi="仿宋" w:hint="eastAsia"/>
          <w:color w:val="000000" w:themeColor="text1"/>
          <w:sz w:val="32"/>
          <w:szCs w:val="32"/>
        </w:rPr>
        <w:t>2050</w:t>
      </w:r>
      <w:r>
        <w:rPr>
          <w:rFonts w:ascii="仿宋" w:eastAsia="仿宋" w:hAnsi="仿宋" w:hint="eastAsia"/>
          <w:color w:val="000000" w:themeColor="text1"/>
          <w:sz w:val="32"/>
          <w:szCs w:val="32"/>
        </w:rPr>
        <w:t>五年持有期混合型发起式基金中基金（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鹏华易诚积极</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鹏华远见精选混合型发起式证券投资基金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100</w:t>
      </w:r>
      <w:r>
        <w:rPr>
          <w:rFonts w:ascii="仿宋" w:eastAsia="仿宋" w:hAnsi="仿宋" w:hint="eastAsia"/>
          <w:color w:val="000000" w:themeColor="text1"/>
          <w:sz w:val="32"/>
          <w:szCs w:val="32"/>
        </w:rPr>
        <w:t>交易型开放式指数证券投资基金联接基金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鹏华易选积极</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鹏华丰景债券型证券投资基金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鹏华道琼斯工业平均交易型开放式指数证券投资基金（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鹏华智投</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鹏华双季红</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天持有期债券型证券投资基金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鹏华稳益</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天持有期债券型</w:t>
      </w:r>
      <w:r>
        <w:rPr>
          <w:rFonts w:ascii="仿宋" w:eastAsia="仿宋" w:hAnsi="仿宋" w:hint="eastAsia"/>
          <w:color w:val="000000" w:themeColor="text1"/>
          <w:sz w:val="32"/>
          <w:szCs w:val="32"/>
        </w:rPr>
        <w:t>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鹏华中证电信主题交易型开放式指数证券投资基金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鹏华中证车联网主题交易型开放式指数证券投资基金发起式联接基金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鹏华恒生中国央企交易型开放式指数证券投资基金（</w:t>
      </w:r>
      <w:r>
        <w:rPr>
          <w:rFonts w:ascii="仿宋" w:eastAsia="仿宋" w:hAnsi="仿宋" w:hint="eastAsia"/>
          <w:color w:val="000000" w:themeColor="text1"/>
          <w:sz w:val="32"/>
          <w:szCs w:val="32"/>
        </w:rPr>
        <w:t>QDII</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鹏华双季乐</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天持有期债券型证券投资基金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鹏华国证石油天然气交易型开放式指数证券投资基金联接基金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鹏华永兴债券型证券投资基金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鹏华智投数字经济混合型证券投资基金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鹏华品质甄选混合型证券投资基金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鹏华创新医药混合型证券投资基金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鹏华精新添利债券型证券投资基金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w:t>
      </w:r>
      <w:r>
        <w:rPr>
          <w:rFonts w:ascii="仿宋" w:eastAsia="仿宋" w:hAnsi="仿宋" w:hint="eastAsia"/>
          <w:color w:val="000000" w:themeColor="text1"/>
          <w:sz w:val="32"/>
          <w:szCs w:val="32"/>
        </w:rPr>
        <w:t>ESG300</w:t>
      </w:r>
      <w:r>
        <w:rPr>
          <w:rFonts w:ascii="仿宋" w:eastAsia="仿宋" w:hAnsi="仿宋" w:hint="eastAsia"/>
          <w:color w:val="000000" w:themeColor="text1"/>
          <w:sz w:val="32"/>
          <w:szCs w:val="32"/>
        </w:rPr>
        <w:t>交易型开放式指数证券投资基金联接基金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鹏华中证工业互联网主题交易型开放式指数证券投资基金发起式联接基金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鹏华中证港股通科技交易型开放式指数证券投资基金发起式联接基金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鹏华中证港股通医药卫生综合交易型开放式指数证券投资基金发起式联接基金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鹏华上证科创板新能源交易型开放式指数证券投资基金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鹏华成长先锋混合型证券投资基金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成份增强策略交易型开放式指数证券投资基金发起式联接基金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鹏华科技驱动混合型发起式证券投资基金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鹏华中证云计算与大数据主题交易型开放式指数证券投资基金发起式联接基金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w:t>
      </w:r>
      <w:r>
        <w:rPr>
          <w:rFonts w:ascii="仿宋" w:eastAsia="仿宋" w:hAnsi="仿宋" w:hint="eastAsia"/>
          <w:color w:val="000000" w:themeColor="text1"/>
          <w:sz w:val="32"/>
          <w:szCs w:val="32"/>
        </w:rPr>
        <w:t>证粮食产业交易型开放式指数证券投资基金发起式联接基金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鹏华国证有色金属行业交易型开放式指数证券投资基金发起式联接基金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鹏华中证光伏产业交易型开放式指数证券投资基金发起式联接基金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鹏华国证疫苗与生物科技交易型开放式指数证券投资基金发起式联接基金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鹏华中债</w:t>
      </w:r>
      <w:r>
        <w:rPr>
          <w:rFonts w:ascii="仿宋" w:eastAsia="仿宋" w:hAnsi="仿宋" w:hint="eastAsia"/>
          <w:color w:val="000000" w:themeColor="text1"/>
          <w:sz w:val="32"/>
          <w:szCs w:val="32"/>
        </w:rPr>
        <w:t>0-3</w:t>
      </w:r>
      <w:r>
        <w:rPr>
          <w:rFonts w:ascii="仿宋" w:eastAsia="仿宋" w:hAnsi="仿宋" w:hint="eastAsia"/>
          <w:color w:val="000000" w:themeColor="text1"/>
          <w:sz w:val="32"/>
          <w:szCs w:val="32"/>
        </w:rPr>
        <w:t>年政策性金融债指数证券投资基金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鹏华北证</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成份指数发起式证券投资基金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鹏华绿色债券债券型证券投资基金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鹏华中证全指公用事业交易型开放式指数证券投资基金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交易型开放式指数证券投资基金联接基金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w:t>
      </w:r>
      <w:r>
        <w:rPr>
          <w:rFonts w:ascii="仿宋" w:eastAsia="仿宋" w:hAnsi="仿宋" w:hint="eastAsia"/>
          <w:color w:val="000000" w:themeColor="text1"/>
          <w:sz w:val="32"/>
          <w:szCs w:val="32"/>
        </w:rPr>
        <w:t>180</w:t>
      </w:r>
      <w:r>
        <w:rPr>
          <w:rFonts w:ascii="仿宋" w:eastAsia="仿宋" w:hAnsi="仿宋" w:hint="eastAsia"/>
          <w:color w:val="000000" w:themeColor="text1"/>
          <w:sz w:val="32"/>
          <w:szCs w:val="32"/>
        </w:rPr>
        <w:t>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鹏华添泽</w:t>
      </w:r>
      <w:r>
        <w:rPr>
          <w:rFonts w:ascii="仿宋" w:eastAsia="仿宋" w:hAnsi="仿宋" w:hint="eastAsia"/>
          <w:color w:val="000000" w:themeColor="text1"/>
          <w:sz w:val="32"/>
          <w:szCs w:val="32"/>
        </w:rPr>
        <w:t>120</w:t>
      </w:r>
      <w:r>
        <w:rPr>
          <w:rFonts w:ascii="仿宋" w:eastAsia="仿宋" w:hAnsi="仿宋" w:hint="eastAsia"/>
          <w:color w:val="000000" w:themeColor="text1"/>
          <w:sz w:val="32"/>
          <w:szCs w:val="32"/>
        </w:rPr>
        <w:t>天滚动持有债券型证券投资基金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鹏华恒生港股通高股息率指数发起式证券投资基金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200</w:t>
      </w:r>
      <w:r>
        <w:rPr>
          <w:rFonts w:ascii="仿宋" w:eastAsia="仿宋" w:hAnsi="仿宋" w:hint="eastAsia"/>
          <w:color w:val="000000" w:themeColor="text1"/>
          <w:sz w:val="32"/>
          <w:szCs w:val="32"/>
        </w:rPr>
        <w:t>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鹏华添和</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天持有期债券型证券投资基金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鹏华沪深</w:t>
      </w:r>
      <w:r>
        <w:rPr>
          <w:rFonts w:ascii="仿宋" w:eastAsia="仿宋" w:hAnsi="仿宋" w:hint="eastAsia"/>
          <w:color w:val="000000" w:themeColor="text1"/>
          <w:sz w:val="32"/>
          <w:szCs w:val="32"/>
        </w:rPr>
        <w:t>300</w:t>
      </w:r>
      <w:r>
        <w:rPr>
          <w:rFonts w:ascii="仿宋" w:eastAsia="仿宋" w:hAnsi="仿宋" w:hint="eastAsia"/>
          <w:color w:val="000000" w:themeColor="text1"/>
          <w:sz w:val="32"/>
          <w:szCs w:val="32"/>
        </w:rPr>
        <w:t>指数量化增强型证券投资基金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鹏华上证科创板综合交易型开放式指数证券投资基金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鹏华恒生中国央企交易型开放式指数证券投资基金发起式联接基金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鹏华上证科创板生物医药交易型开放式指数证券投资基金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鹏华上证科创板新能</w:t>
      </w:r>
      <w:r>
        <w:rPr>
          <w:rFonts w:ascii="仿宋" w:eastAsia="仿宋" w:hAnsi="仿宋" w:hint="eastAsia"/>
          <w:color w:val="000000" w:themeColor="text1"/>
          <w:sz w:val="32"/>
          <w:szCs w:val="32"/>
        </w:rPr>
        <w:t>源交易型开放式指数证券投资基金发起式联接基金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A50</w:t>
      </w:r>
      <w:r>
        <w:rPr>
          <w:rFonts w:ascii="仿宋" w:eastAsia="仿宋" w:hAnsi="仿宋" w:hint="eastAsia"/>
          <w:color w:val="000000" w:themeColor="text1"/>
          <w:sz w:val="32"/>
          <w:szCs w:val="32"/>
        </w:rPr>
        <w:t>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50</w:t>
      </w:r>
      <w:r>
        <w:rPr>
          <w:rFonts w:ascii="仿宋" w:eastAsia="仿宋" w:hAnsi="仿宋" w:hint="eastAsia"/>
          <w:color w:val="000000" w:themeColor="text1"/>
          <w:sz w:val="32"/>
          <w:szCs w:val="32"/>
        </w:rPr>
        <w:t>成份交易型开放式指数证券投资基金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鹏华上证科创板综合交易型开放式指数证券投资基金联接基金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自由现金流交易型开放式指数证券投资基金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指数增强型证券投资基金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w:t>
      </w:r>
      <w:r>
        <w:rPr>
          <w:rFonts w:ascii="仿宋" w:eastAsia="仿宋" w:hAnsi="仿宋" w:hint="eastAsia"/>
          <w:color w:val="000000" w:themeColor="text1"/>
          <w:sz w:val="32"/>
          <w:szCs w:val="32"/>
        </w:rPr>
        <w:t>200</w:t>
      </w:r>
      <w:r>
        <w:rPr>
          <w:rFonts w:ascii="仿宋" w:eastAsia="仿宋" w:hAnsi="仿宋" w:hint="eastAsia"/>
          <w:color w:val="000000" w:themeColor="text1"/>
          <w:sz w:val="32"/>
          <w:szCs w:val="32"/>
        </w:rPr>
        <w:t>交易型开放式指数证券投资基金联接基金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鹏华中证全指自由现金流交易型开放式指数证券投资基金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鹏华国证港股通消费主题交易型开放式指数证券投资基金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鹏华共赢未来混合型证券投资基金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鹏华创业板新能源交易型开放式指数证券投资基金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w:t>
      </w:r>
      <w:r>
        <w:rPr>
          <w:rFonts w:ascii="仿宋" w:eastAsia="仿宋" w:hAnsi="仿宋" w:hint="eastAsia"/>
          <w:color w:val="000000" w:themeColor="text1"/>
          <w:sz w:val="32"/>
          <w:szCs w:val="32"/>
        </w:rPr>
        <w:t>AAA</w:t>
      </w:r>
      <w:r>
        <w:rPr>
          <w:rFonts w:ascii="仿宋" w:eastAsia="仿宋" w:hAnsi="仿宋" w:hint="eastAsia"/>
          <w:color w:val="000000" w:themeColor="text1"/>
          <w:sz w:val="32"/>
          <w:szCs w:val="32"/>
        </w:rPr>
        <w:t>科技创新公司债交易型开放式指数证券投资基金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鹏华上证科创板芯片交易型开放式指数证券投资基金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w:t>
      </w:r>
      <w:r>
        <w:rPr>
          <w:rFonts w:ascii="仿宋" w:eastAsia="仿宋" w:hAnsi="仿宋" w:hint="eastAsia"/>
          <w:color w:val="000000" w:themeColor="text1"/>
          <w:sz w:val="32"/>
          <w:szCs w:val="32"/>
        </w:rPr>
        <w:t>800</w:t>
      </w:r>
      <w:r>
        <w:rPr>
          <w:rFonts w:ascii="仿宋" w:eastAsia="仿宋" w:hAnsi="仿宋" w:hint="eastAsia"/>
          <w:color w:val="000000" w:themeColor="text1"/>
          <w:sz w:val="32"/>
          <w:szCs w:val="32"/>
        </w:rPr>
        <w:t>自由现金流交易型开放式指数证券投资基金联接基金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鹏华恒生交易型开放式指数证券投资基金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鹏华国证机器人产业交易型开放式指数证券投资基金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鹏华上证科创板人工智能交易型开放式指数证券投资基金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鹏华国证港股通创新药交易型开放式指数证券投资基金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鹏华上证科创板半导体材料设备主题交易型开放式指数证券投资基金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鹏华上证科创板生物医药交易型开放式指数证券投资基金发起式联接基金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鹏华创业板综合交易型开放式指数证券投资基金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鹏华中证电信主题交易型开放式指数证券投资基金发起式联接基金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鹏华中证金融科技主题交易型开放式指数证券投资基金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鹏华标普港股通低波红利交易型开放式指数证券投资基金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鹏华制造升级混合型证券投资基金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鹏华上证科创板综合指数增强型证券投资基金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鹏华国证机器人产业交易型开放式指数证券投资基金发起式联接基金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鹏华睿丰债券型证券投资基金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鹏华安泰中短债债券型证券投资基金</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鹏华易选平衡</w:t>
      </w:r>
      <w:r>
        <w:rPr>
          <w:rFonts w:ascii="仿宋" w:eastAsia="仿宋" w:hAnsi="仿宋" w:hint="eastAsia"/>
          <w:color w:val="000000" w:themeColor="text1"/>
          <w:sz w:val="32"/>
          <w:szCs w:val="32"/>
        </w:rPr>
        <w:t>3</w:t>
      </w:r>
      <w:r>
        <w:rPr>
          <w:rFonts w:ascii="仿宋" w:eastAsia="仿宋" w:hAnsi="仿宋" w:hint="eastAsia"/>
          <w:color w:val="000000" w:themeColor="text1"/>
          <w:sz w:val="32"/>
          <w:szCs w:val="32"/>
        </w:rPr>
        <w:t>个月持有期混合型基金中基金（</w:t>
      </w:r>
      <w:r>
        <w:rPr>
          <w:rFonts w:ascii="仿宋" w:eastAsia="仿宋" w:hAnsi="仿宋" w:hint="eastAsia"/>
          <w:color w:val="000000" w:themeColor="text1"/>
          <w:sz w:val="32"/>
          <w:szCs w:val="32"/>
        </w:rPr>
        <w:t>FOF</w:t>
      </w:r>
      <w:r>
        <w:rPr>
          <w:rFonts w:ascii="仿宋" w:eastAsia="仿宋" w:hAnsi="仿宋" w:hint="eastAsia"/>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2025</w:t>
      </w:r>
      <w:r>
        <w:rPr>
          <w:rFonts w:ascii="仿宋" w:eastAsia="仿宋" w:hAnsi="仿宋" w:hint="eastAsia"/>
          <w:color w:val="000000" w:themeColor="text1"/>
          <w:sz w:val="32"/>
          <w:szCs w:val="32"/>
        </w:rPr>
        <w:t>年年度</w:t>
      </w:r>
      <w:r>
        <w:rPr>
          <w:rFonts w:ascii="仿宋" w:eastAsia="仿宋" w:hAnsi="仿宋"/>
          <w:color w:val="000000" w:themeColor="text1"/>
          <w:sz w:val="32"/>
          <w:szCs w:val="32"/>
        </w:rPr>
        <w:t>报告全文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w:t>
      </w:r>
      <w:r>
        <w:rPr>
          <w:rFonts w:ascii="仿宋" w:eastAsia="仿宋" w:hAnsi="仿宋"/>
          <w:color w:val="000000" w:themeColor="text1"/>
          <w:sz w:val="32"/>
          <w:szCs w:val="32"/>
        </w:rPr>
        <w:t>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color w:val="000000" w:themeColor="text1"/>
          <w:sz w:val="32"/>
          <w:szCs w:val="32"/>
        </w:rPr>
        <w:t>3</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r>
        <w:rPr>
          <w:rFonts w:ascii="仿宋" w:eastAsia="仿宋" w:hAnsi="仿宋"/>
          <w:color w:val="000000" w:themeColor="text1"/>
          <w:sz w:val="32"/>
          <w:szCs w:val="32"/>
        </w:rPr>
        <w:t>http://www.phfund.com.cn</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7" w:history="1">
        <w:r>
          <w:rPr>
            <w:rStyle w:val="aa"/>
            <w:rFonts w:ascii="仿宋" w:eastAsia="仿宋" w:hAnsi="仿宋" w:hint="eastAsia"/>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color w:val="000000" w:themeColor="text1"/>
          <w:sz w:val="32"/>
          <w:szCs w:val="32"/>
        </w:rPr>
        <w:t>400-6788-999</w:t>
      </w:r>
      <w:r>
        <w:rPr>
          <w:rFonts w:ascii="仿宋" w:eastAsia="仿宋" w:hAnsi="仿宋" w:hint="eastAsia"/>
          <w:color w:val="000000" w:themeColor="text1"/>
          <w:sz w:val="32"/>
          <w:szCs w:val="32"/>
        </w:rPr>
        <w:t>/</w:t>
      </w:r>
      <w:r>
        <w:t xml:space="preserve"> </w:t>
      </w:r>
      <w:r>
        <w:rPr>
          <w:rFonts w:ascii="仿宋" w:eastAsia="仿宋" w:hAnsi="仿宋"/>
          <w:color w:val="000000" w:themeColor="text1"/>
          <w:sz w:val="32"/>
          <w:szCs w:val="32"/>
        </w:rPr>
        <w:t>400-6788-533</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本基金管理人承诺以诚实信用、勤勉尽责的原则管理和运用基金资产，但不</w:t>
      </w:r>
      <w:r>
        <w:rPr>
          <w:rFonts w:ascii="仿宋" w:eastAsia="仿宋" w:hAnsi="仿宋" w:hint="eastAsia"/>
          <w:color w:val="000000" w:themeColor="text1"/>
          <w:sz w:val="32"/>
          <w:szCs w:val="32"/>
        </w:rPr>
        <w:t>保证基金一定盈利，也不保证最低收益。请充分了解基金的风险收益特征，审慎做出投资决定。</w:t>
      </w:r>
    </w:p>
    <w:p w:rsidR="00621DBB" w:rsidRDefault="0040466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621DBB" w:rsidRDefault="00621DBB">
      <w:pPr>
        <w:spacing w:line="540" w:lineRule="exact"/>
        <w:ind w:firstLineChars="200" w:firstLine="640"/>
        <w:rPr>
          <w:rFonts w:ascii="仿宋" w:eastAsia="仿宋" w:hAnsi="仿宋"/>
          <w:color w:val="000000" w:themeColor="text1"/>
          <w:sz w:val="32"/>
          <w:szCs w:val="32"/>
        </w:rPr>
      </w:pPr>
    </w:p>
    <w:p w:rsidR="00621DBB" w:rsidRDefault="0040466D">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鹏华基金管理有限</w:t>
      </w:r>
      <w:r>
        <w:rPr>
          <w:rFonts w:ascii="仿宋" w:eastAsia="仿宋" w:hAnsi="仿宋"/>
          <w:color w:val="000000" w:themeColor="text1"/>
          <w:sz w:val="32"/>
          <w:szCs w:val="32"/>
        </w:rPr>
        <w:t>公司</w:t>
      </w:r>
    </w:p>
    <w:p w:rsidR="00621DBB" w:rsidRDefault="0040466D">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2</w:t>
      </w:r>
      <w:r>
        <w:rPr>
          <w:rFonts w:ascii="仿宋" w:eastAsia="仿宋" w:hAnsi="仿宋"/>
          <w:color w:val="000000" w:themeColor="text1"/>
          <w:sz w:val="32"/>
          <w:szCs w:val="32"/>
        </w:rPr>
        <w:t>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color w:val="000000" w:themeColor="text1"/>
          <w:sz w:val="32"/>
          <w:szCs w:val="32"/>
        </w:rPr>
        <w:t>3</w:t>
      </w:r>
      <w:r>
        <w:rPr>
          <w:rFonts w:ascii="仿宋" w:eastAsia="仿宋" w:hAnsi="仿宋" w:hint="eastAsia"/>
          <w:color w:val="000000" w:themeColor="text1"/>
          <w:sz w:val="32"/>
          <w:szCs w:val="32"/>
        </w:rPr>
        <w:t>月</w:t>
      </w:r>
      <w:r>
        <w:rPr>
          <w:rFonts w:ascii="仿宋" w:eastAsia="仿宋" w:hAnsi="仿宋" w:hint="eastAsia"/>
          <w:color w:val="000000" w:themeColor="text1"/>
          <w:sz w:val="32"/>
          <w:szCs w:val="32"/>
        </w:rPr>
        <w:t>30</w:t>
      </w:r>
      <w:r>
        <w:rPr>
          <w:rFonts w:ascii="仿宋" w:eastAsia="仿宋" w:hAnsi="仿宋" w:hint="eastAsia"/>
          <w:color w:val="000000" w:themeColor="text1"/>
          <w:sz w:val="32"/>
          <w:szCs w:val="32"/>
        </w:rPr>
        <w:t>日</w:t>
      </w:r>
    </w:p>
    <w:sectPr w:rsidR="00621DBB" w:rsidSect="00621DBB">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DBB" w:rsidRDefault="00621DBB" w:rsidP="00621DBB">
      <w:r>
        <w:separator/>
      </w:r>
    </w:p>
  </w:endnote>
  <w:endnote w:type="continuationSeparator" w:id="0">
    <w:p w:rsidR="00621DBB" w:rsidRDefault="00621DBB" w:rsidP="00621D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621DBB" w:rsidRDefault="00621DBB">
        <w:pPr>
          <w:pStyle w:val="a5"/>
          <w:jc w:val="center"/>
        </w:pPr>
        <w:r>
          <w:fldChar w:fldCharType="begin"/>
        </w:r>
        <w:r w:rsidR="0040466D">
          <w:instrText>PAGE   \* MERGEFORMAT</w:instrText>
        </w:r>
        <w:r>
          <w:fldChar w:fldCharType="separate"/>
        </w:r>
        <w:r w:rsidR="0040466D">
          <w:rPr>
            <w:lang w:val="zh-CN"/>
          </w:rPr>
          <w:t>16</w:t>
        </w:r>
        <w:r>
          <w:fldChar w:fldCharType="end"/>
        </w:r>
      </w:p>
    </w:sdtContent>
  </w:sdt>
  <w:p w:rsidR="00621DBB" w:rsidRDefault="00621DB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621DBB" w:rsidRDefault="00621DBB">
        <w:pPr>
          <w:pStyle w:val="a5"/>
          <w:jc w:val="center"/>
        </w:pPr>
        <w:r>
          <w:fldChar w:fldCharType="begin"/>
        </w:r>
        <w:r w:rsidR="0040466D">
          <w:instrText>PAGE   \* MERGEFORMAT</w:instrText>
        </w:r>
        <w:r>
          <w:fldChar w:fldCharType="separate"/>
        </w:r>
        <w:r w:rsidR="0040466D" w:rsidRPr="0040466D">
          <w:rPr>
            <w:noProof/>
            <w:lang w:val="zh-CN"/>
          </w:rPr>
          <w:t>1</w:t>
        </w:r>
        <w:r>
          <w:fldChar w:fldCharType="end"/>
        </w:r>
      </w:p>
    </w:sdtContent>
  </w:sdt>
  <w:p w:rsidR="00621DBB" w:rsidRDefault="00621DB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DBB" w:rsidRDefault="00621DBB" w:rsidP="00621DBB">
      <w:r>
        <w:separator/>
      </w:r>
    </w:p>
  </w:footnote>
  <w:footnote w:type="continuationSeparator" w:id="0">
    <w:p w:rsidR="00621DBB" w:rsidRDefault="00621DBB" w:rsidP="00621D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ocumentProtection w:formatting="1"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9A149B"/>
    <w:rsid w:val="00001760"/>
    <w:rsid w:val="00003B2F"/>
    <w:rsid w:val="00010044"/>
    <w:rsid w:val="00022ABD"/>
    <w:rsid w:val="00025D40"/>
    <w:rsid w:val="000300E5"/>
    <w:rsid w:val="0003246C"/>
    <w:rsid w:val="00033010"/>
    <w:rsid w:val="00033204"/>
    <w:rsid w:val="00033DB2"/>
    <w:rsid w:val="000475F0"/>
    <w:rsid w:val="000539F6"/>
    <w:rsid w:val="00056EE0"/>
    <w:rsid w:val="00057323"/>
    <w:rsid w:val="00067DEB"/>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4301"/>
    <w:rsid w:val="000F6458"/>
    <w:rsid w:val="001039BC"/>
    <w:rsid w:val="001279BE"/>
    <w:rsid w:val="0013251E"/>
    <w:rsid w:val="001445A9"/>
    <w:rsid w:val="00146307"/>
    <w:rsid w:val="00146F2C"/>
    <w:rsid w:val="001533B2"/>
    <w:rsid w:val="001623CF"/>
    <w:rsid w:val="00165D5C"/>
    <w:rsid w:val="00166B15"/>
    <w:rsid w:val="00174C8C"/>
    <w:rsid w:val="0017571E"/>
    <w:rsid w:val="00175AED"/>
    <w:rsid w:val="00191702"/>
    <w:rsid w:val="00192262"/>
    <w:rsid w:val="001A593B"/>
    <w:rsid w:val="001C7C97"/>
    <w:rsid w:val="001D04AB"/>
    <w:rsid w:val="001D2521"/>
    <w:rsid w:val="001D74AE"/>
    <w:rsid w:val="001E17E9"/>
    <w:rsid w:val="001E7CAD"/>
    <w:rsid w:val="001F125D"/>
    <w:rsid w:val="001F15CB"/>
    <w:rsid w:val="001F533E"/>
    <w:rsid w:val="002116E3"/>
    <w:rsid w:val="0021172E"/>
    <w:rsid w:val="00221DE2"/>
    <w:rsid w:val="002323E6"/>
    <w:rsid w:val="00234298"/>
    <w:rsid w:val="002343BD"/>
    <w:rsid w:val="002471D4"/>
    <w:rsid w:val="00253326"/>
    <w:rsid w:val="00261CDE"/>
    <w:rsid w:val="0026276F"/>
    <w:rsid w:val="00264368"/>
    <w:rsid w:val="00276CA4"/>
    <w:rsid w:val="002823E9"/>
    <w:rsid w:val="00282A7F"/>
    <w:rsid w:val="00284E14"/>
    <w:rsid w:val="00290DEB"/>
    <w:rsid w:val="00292EFF"/>
    <w:rsid w:val="00293DE4"/>
    <w:rsid w:val="002941EC"/>
    <w:rsid w:val="00296096"/>
    <w:rsid w:val="00296303"/>
    <w:rsid w:val="002968AB"/>
    <w:rsid w:val="002970F7"/>
    <w:rsid w:val="002A1DA1"/>
    <w:rsid w:val="002A1F54"/>
    <w:rsid w:val="002A4FF0"/>
    <w:rsid w:val="002B144C"/>
    <w:rsid w:val="002B16F4"/>
    <w:rsid w:val="002B2DA0"/>
    <w:rsid w:val="002B7B4F"/>
    <w:rsid w:val="002C3EC0"/>
    <w:rsid w:val="002C5D36"/>
    <w:rsid w:val="002D2831"/>
    <w:rsid w:val="002E24D1"/>
    <w:rsid w:val="002E79D9"/>
    <w:rsid w:val="002E7B0A"/>
    <w:rsid w:val="002E7B95"/>
    <w:rsid w:val="002F2B53"/>
    <w:rsid w:val="00303860"/>
    <w:rsid w:val="00311075"/>
    <w:rsid w:val="003117E6"/>
    <w:rsid w:val="0031471A"/>
    <w:rsid w:val="00315B2A"/>
    <w:rsid w:val="003316CD"/>
    <w:rsid w:val="00332619"/>
    <w:rsid w:val="00333802"/>
    <w:rsid w:val="003467B5"/>
    <w:rsid w:val="00355B7C"/>
    <w:rsid w:val="00361065"/>
    <w:rsid w:val="0036236D"/>
    <w:rsid w:val="0036248F"/>
    <w:rsid w:val="00380AFA"/>
    <w:rsid w:val="0038176C"/>
    <w:rsid w:val="00382BCB"/>
    <w:rsid w:val="00391944"/>
    <w:rsid w:val="00393949"/>
    <w:rsid w:val="003948AF"/>
    <w:rsid w:val="00394BBC"/>
    <w:rsid w:val="003A4AC6"/>
    <w:rsid w:val="003C2820"/>
    <w:rsid w:val="003C3CB5"/>
    <w:rsid w:val="003C5A1A"/>
    <w:rsid w:val="003C62D8"/>
    <w:rsid w:val="003D0424"/>
    <w:rsid w:val="003D32D7"/>
    <w:rsid w:val="003D5AA9"/>
    <w:rsid w:val="003F07BF"/>
    <w:rsid w:val="003F26B9"/>
    <w:rsid w:val="003F4E13"/>
    <w:rsid w:val="003F550C"/>
    <w:rsid w:val="003F6960"/>
    <w:rsid w:val="0040020D"/>
    <w:rsid w:val="0040466D"/>
    <w:rsid w:val="00405ADB"/>
    <w:rsid w:val="004254EE"/>
    <w:rsid w:val="00430D19"/>
    <w:rsid w:val="00433480"/>
    <w:rsid w:val="0043655D"/>
    <w:rsid w:val="00437D86"/>
    <w:rsid w:val="00441246"/>
    <w:rsid w:val="00441E0B"/>
    <w:rsid w:val="00452A46"/>
    <w:rsid w:val="00452DF0"/>
    <w:rsid w:val="00454581"/>
    <w:rsid w:val="00454978"/>
    <w:rsid w:val="00454994"/>
    <w:rsid w:val="00461C31"/>
    <w:rsid w:val="00467E81"/>
    <w:rsid w:val="00471AE6"/>
    <w:rsid w:val="004744B6"/>
    <w:rsid w:val="004748B9"/>
    <w:rsid w:val="00477BA8"/>
    <w:rsid w:val="00477EB2"/>
    <w:rsid w:val="0048111A"/>
    <w:rsid w:val="00487BF1"/>
    <w:rsid w:val="00491FCB"/>
    <w:rsid w:val="00497943"/>
    <w:rsid w:val="00497A8B"/>
    <w:rsid w:val="004A0E45"/>
    <w:rsid w:val="004A54A6"/>
    <w:rsid w:val="004B005C"/>
    <w:rsid w:val="004B1105"/>
    <w:rsid w:val="004B664C"/>
    <w:rsid w:val="004C3109"/>
    <w:rsid w:val="004C44C4"/>
    <w:rsid w:val="004C625A"/>
    <w:rsid w:val="004C6355"/>
    <w:rsid w:val="004E1D5E"/>
    <w:rsid w:val="004E540A"/>
    <w:rsid w:val="004E630B"/>
    <w:rsid w:val="004F7313"/>
    <w:rsid w:val="00513357"/>
    <w:rsid w:val="005158A6"/>
    <w:rsid w:val="0052094C"/>
    <w:rsid w:val="00534A41"/>
    <w:rsid w:val="0053650E"/>
    <w:rsid w:val="00542535"/>
    <w:rsid w:val="00544E6E"/>
    <w:rsid w:val="00547910"/>
    <w:rsid w:val="00551033"/>
    <w:rsid w:val="00560AC4"/>
    <w:rsid w:val="00563FE4"/>
    <w:rsid w:val="0056745C"/>
    <w:rsid w:val="00567A02"/>
    <w:rsid w:val="005711D9"/>
    <w:rsid w:val="005751C6"/>
    <w:rsid w:val="00582D8F"/>
    <w:rsid w:val="005837B0"/>
    <w:rsid w:val="00596AC1"/>
    <w:rsid w:val="005A408B"/>
    <w:rsid w:val="005A46AE"/>
    <w:rsid w:val="005A692A"/>
    <w:rsid w:val="005A77EA"/>
    <w:rsid w:val="005B5233"/>
    <w:rsid w:val="005B5746"/>
    <w:rsid w:val="005C00AF"/>
    <w:rsid w:val="005C7C95"/>
    <w:rsid w:val="005D2463"/>
    <w:rsid w:val="005D3C24"/>
    <w:rsid w:val="005D4528"/>
    <w:rsid w:val="005E088E"/>
    <w:rsid w:val="005E0F00"/>
    <w:rsid w:val="005E41EA"/>
    <w:rsid w:val="005F4D9C"/>
    <w:rsid w:val="005F7E5C"/>
    <w:rsid w:val="0060143D"/>
    <w:rsid w:val="00604996"/>
    <w:rsid w:val="00605B67"/>
    <w:rsid w:val="006163B1"/>
    <w:rsid w:val="00616874"/>
    <w:rsid w:val="00621DBB"/>
    <w:rsid w:val="0062589F"/>
    <w:rsid w:val="00626EA8"/>
    <w:rsid w:val="00630D56"/>
    <w:rsid w:val="00641CEA"/>
    <w:rsid w:val="00641E6E"/>
    <w:rsid w:val="0065080E"/>
    <w:rsid w:val="00655229"/>
    <w:rsid w:val="00656B0C"/>
    <w:rsid w:val="00660522"/>
    <w:rsid w:val="0066309A"/>
    <w:rsid w:val="0066627D"/>
    <w:rsid w:val="00682C0E"/>
    <w:rsid w:val="00683242"/>
    <w:rsid w:val="006832A2"/>
    <w:rsid w:val="00684A20"/>
    <w:rsid w:val="00690EC4"/>
    <w:rsid w:val="006962CB"/>
    <w:rsid w:val="006A0BB0"/>
    <w:rsid w:val="006A7F42"/>
    <w:rsid w:val="006B4697"/>
    <w:rsid w:val="006B563E"/>
    <w:rsid w:val="006D17EF"/>
    <w:rsid w:val="006E4941"/>
    <w:rsid w:val="006E55E9"/>
    <w:rsid w:val="006E5DE5"/>
    <w:rsid w:val="006E7335"/>
    <w:rsid w:val="006F1E9F"/>
    <w:rsid w:val="006F6724"/>
    <w:rsid w:val="0070004D"/>
    <w:rsid w:val="007006AE"/>
    <w:rsid w:val="00702423"/>
    <w:rsid w:val="00702449"/>
    <w:rsid w:val="00702F48"/>
    <w:rsid w:val="00705694"/>
    <w:rsid w:val="00714CEA"/>
    <w:rsid w:val="007159A1"/>
    <w:rsid w:val="0071642F"/>
    <w:rsid w:val="00722DD7"/>
    <w:rsid w:val="00725827"/>
    <w:rsid w:val="00725F68"/>
    <w:rsid w:val="00726D87"/>
    <w:rsid w:val="0073075C"/>
    <w:rsid w:val="007315E0"/>
    <w:rsid w:val="0074144B"/>
    <w:rsid w:val="00741A3E"/>
    <w:rsid w:val="007443C2"/>
    <w:rsid w:val="00744A9B"/>
    <w:rsid w:val="00756CAD"/>
    <w:rsid w:val="007629BB"/>
    <w:rsid w:val="00762A82"/>
    <w:rsid w:val="007703B8"/>
    <w:rsid w:val="00771227"/>
    <w:rsid w:val="00772D42"/>
    <w:rsid w:val="00775751"/>
    <w:rsid w:val="00781015"/>
    <w:rsid w:val="00785418"/>
    <w:rsid w:val="00787132"/>
    <w:rsid w:val="007900FC"/>
    <w:rsid w:val="00794869"/>
    <w:rsid w:val="0079574B"/>
    <w:rsid w:val="00797876"/>
    <w:rsid w:val="007A5116"/>
    <w:rsid w:val="007A5263"/>
    <w:rsid w:val="007B3A14"/>
    <w:rsid w:val="007B4EC6"/>
    <w:rsid w:val="007B549A"/>
    <w:rsid w:val="007B5745"/>
    <w:rsid w:val="007B6893"/>
    <w:rsid w:val="007C3F2C"/>
    <w:rsid w:val="007C51E4"/>
    <w:rsid w:val="007D4066"/>
    <w:rsid w:val="007E3EED"/>
    <w:rsid w:val="007F136D"/>
    <w:rsid w:val="007F60CB"/>
    <w:rsid w:val="00801AAB"/>
    <w:rsid w:val="00806D0C"/>
    <w:rsid w:val="0080773A"/>
    <w:rsid w:val="0081788D"/>
    <w:rsid w:val="00825398"/>
    <w:rsid w:val="008263AE"/>
    <w:rsid w:val="008318C0"/>
    <w:rsid w:val="00831A29"/>
    <w:rsid w:val="00832B61"/>
    <w:rsid w:val="00835A88"/>
    <w:rsid w:val="00847A69"/>
    <w:rsid w:val="00860176"/>
    <w:rsid w:val="008619E1"/>
    <w:rsid w:val="00866E5A"/>
    <w:rsid w:val="008721DF"/>
    <w:rsid w:val="008738A9"/>
    <w:rsid w:val="00876EC6"/>
    <w:rsid w:val="00881C77"/>
    <w:rsid w:val="00882FB0"/>
    <w:rsid w:val="008839E0"/>
    <w:rsid w:val="008843B4"/>
    <w:rsid w:val="00887017"/>
    <w:rsid w:val="00891007"/>
    <w:rsid w:val="008A1AFA"/>
    <w:rsid w:val="008A2CE2"/>
    <w:rsid w:val="008A3460"/>
    <w:rsid w:val="008B539C"/>
    <w:rsid w:val="008B77D5"/>
    <w:rsid w:val="008C155D"/>
    <w:rsid w:val="008D4634"/>
    <w:rsid w:val="008E4CD7"/>
    <w:rsid w:val="008E58F7"/>
    <w:rsid w:val="008E6EC1"/>
    <w:rsid w:val="00903815"/>
    <w:rsid w:val="00903C0A"/>
    <w:rsid w:val="009062C4"/>
    <w:rsid w:val="0090723B"/>
    <w:rsid w:val="00910193"/>
    <w:rsid w:val="0092312D"/>
    <w:rsid w:val="00926454"/>
    <w:rsid w:val="00933628"/>
    <w:rsid w:val="009465EA"/>
    <w:rsid w:val="009506DC"/>
    <w:rsid w:val="009566C4"/>
    <w:rsid w:val="00956DD9"/>
    <w:rsid w:val="00956DE1"/>
    <w:rsid w:val="009628AE"/>
    <w:rsid w:val="00967A04"/>
    <w:rsid w:val="00973509"/>
    <w:rsid w:val="00977BBE"/>
    <w:rsid w:val="00977E7B"/>
    <w:rsid w:val="00986792"/>
    <w:rsid w:val="009871EF"/>
    <w:rsid w:val="00991132"/>
    <w:rsid w:val="00991292"/>
    <w:rsid w:val="00991AEE"/>
    <w:rsid w:val="0099252E"/>
    <w:rsid w:val="00993CBF"/>
    <w:rsid w:val="009949C9"/>
    <w:rsid w:val="00997D63"/>
    <w:rsid w:val="009A149B"/>
    <w:rsid w:val="009B1AE6"/>
    <w:rsid w:val="009B33C8"/>
    <w:rsid w:val="009B5D57"/>
    <w:rsid w:val="009B7F68"/>
    <w:rsid w:val="009C15E2"/>
    <w:rsid w:val="009C33BF"/>
    <w:rsid w:val="009C3820"/>
    <w:rsid w:val="009E35EB"/>
    <w:rsid w:val="009E64F2"/>
    <w:rsid w:val="009E6F9E"/>
    <w:rsid w:val="009E7875"/>
    <w:rsid w:val="009F25BB"/>
    <w:rsid w:val="009F72D1"/>
    <w:rsid w:val="00A12B26"/>
    <w:rsid w:val="00A144A6"/>
    <w:rsid w:val="00A20685"/>
    <w:rsid w:val="00A21627"/>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DCB"/>
    <w:rsid w:val="00A96435"/>
    <w:rsid w:val="00AB49A1"/>
    <w:rsid w:val="00AB7720"/>
    <w:rsid w:val="00AC1161"/>
    <w:rsid w:val="00AD18DD"/>
    <w:rsid w:val="00AD562B"/>
    <w:rsid w:val="00AE3F47"/>
    <w:rsid w:val="00AE69BF"/>
    <w:rsid w:val="00AF7347"/>
    <w:rsid w:val="00B014DF"/>
    <w:rsid w:val="00B05BA4"/>
    <w:rsid w:val="00B11B77"/>
    <w:rsid w:val="00B16987"/>
    <w:rsid w:val="00B17EF5"/>
    <w:rsid w:val="00B2068A"/>
    <w:rsid w:val="00B23F95"/>
    <w:rsid w:val="00B25BAB"/>
    <w:rsid w:val="00B26285"/>
    <w:rsid w:val="00B33F4A"/>
    <w:rsid w:val="00B41297"/>
    <w:rsid w:val="00B504F2"/>
    <w:rsid w:val="00B517DE"/>
    <w:rsid w:val="00B51CE1"/>
    <w:rsid w:val="00B57344"/>
    <w:rsid w:val="00B61D0F"/>
    <w:rsid w:val="00B64EDD"/>
    <w:rsid w:val="00B65E43"/>
    <w:rsid w:val="00B725A0"/>
    <w:rsid w:val="00B7491E"/>
    <w:rsid w:val="00B763C4"/>
    <w:rsid w:val="00B91560"/>
    <w:rsid w:val="00B9364B"/>
    <w:rsid w:val="00B95F9A"/>
    <w:rsid w:val="00B97A62"/>
    <w:rsid w:val="00BA0E21"/>
    <w:rsid w:val="00BA1434"/>
    <w:rsid w:val="00BA3915"/>
    <w:rsid w:val="00BA3AE4"/>
    <w:rsid w:val="00BA4805"/>
    <w:rsid w:val="00BB3501"/>
    <w:rsid w:val="00BB3A06"/>
    <w:rsid w:val="00BB7A7F"/>
    <w:rsid w:val="00BC3F72"/>
    <w:rsid w:val="00BC64B2"/>
    <w:rsid w:val="00BC662F"/>
    <w:rsid w:val="00BC6FFD"/>
    <w:rsid w:val="00BC778B"/>
    <w:rsid w:val="00BC7AFE"/>
    <w:rsid w:val="00BD1958"/>
    <w:rsid w:val="00BD3CFA"/>
    <w:rsid w:val="00BD4907"/>
    <w:rsid w:val="00BD7C42"/>
    <w:rsid w:val="00BE2CDD"/>
    <w:rsid w:val="00BE6EA1"/>
    <w:rsid w:val="00BF22CF"/>
    <w:rsid w:val="00BF234E"/>
    <w:rsid w:val="00BF2747"/>
    <w:rsid w:val="00BF2E3E"/>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3FC1"/>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3F14"/>
    <w:rsid w:val="00C972C4"/>
    <w:rsid w:val="00CA1FEF"/>
    <w:rsid w:val="00CA25FC"/>
    <w:rsid w:val="00CA5943"/>
    <w:rsid w:val="00CA686D"/>
    <w:rsid w:val="00CA6A56"/>
    <w:rsid w:val="00CB2CEE"/>
    <w:rsid w:val="00CB4DE3"/>
    <w:rsid w:val="00CC2F35"/>
    <w:rsid w:val="00CC40C3"/>
    <w:rsid w:val="00CC526A"/>
    <w:rsid w:val="00CD42C4"/>
    <w:rsid w:val="00CE43F8"/>
    <w:rsid w:val="00CE7C8B"/>
    <w:rsid w:val="00CF01CC"/>
    <w:rsid w:val="00CF2595"/>
    <w:rsid w:val="00CF6D5C"/>
    <w:rsid w:val="00D10B1F"/>
    <w:rsid w:val="00D11E1F"/>
    <w:rsid w:val="00D20C81"/>
    <w:rsid w:val="00D21E5E"/>
    <w:rsid w:val="00D220F0"/>
    <w:rsid w:val="00D3262F"/>
    <w:rsid w:val="00D361FE"/>
    <w:rsid w:val="00D36E74"/>
    <w:rsid w:val="00D42F13"/>
    <w:rsid w:val="00D43B3D"/>
    <w:rsid w:val="00D4428E"/>
    <w:rsid w:val="00D5035D"/>
    <w:rsid w:val="00D5213E"/>
    <w:rsid w:val="00D52A3F"/>
    <w:rsid w:val="00D535B2"/>
    <w:rsid w:val="00D56E0D"/>
    <w:rsid w:val="00D62A71"/>
    <w:rsid w:val="00D70A3B"/>
    <w:rsid w:val="00D72110"/>
    <w:rsid w:val="00D8051D"/>
    <w:rsid w:val="00D864D4"/>
    <w:rsid w:val="00D919AF"/>
    <w:rsid w:val="00D937BD"/>
    <w:rsid w:val="00DA2D7C"/>
    <w:rsid w:val="00DA7C0E"/>
    <w:rsid w:val="00DB6F0A"/>
    <w:rsid w:val="00DC28C4"/>
    <w:rsid w:val="00DD7BAA"/>
    <w:rsid w:val="00DE0FFA"/>
    <w:rsid w:val="00DE4122"/>
    <w:rsid w:val="00DE6A70"/>
    <w:rsid w:val="00DF3DF3"/>
    <w:rsid w:val="00DF5AA8"/>
    <w:rsid w:val="00E03D41"/>
    <w:rsid w:val="00E11D7D"/>
    <w:rsid w:val="00E1254C"/>
    <w:rsid w:val="00E16895"/>
    <w:rsid w:val="00E32601"/>
    <w:rsid w:val="00E32614"/>
    <w:rsid w:val="00E33250"/>
    <w:rsid w:val="00E3526B"/>
    <w:rsid w:val="00E41FBE"/>
    <w:rsid w:val="00E5059C"/>
    <w:rsid w:val="00E54C06"/>
    <w:rsid w:val="00E5664A"/>
    <w:rsid w:val="00E7265E"/>
    <w:rsid w:val="00E7407A"/>
    <w:rsid w:val="00E81A0A"/>
    <w:rsid w:val="00E84558"/>
    <w:rsid w:val="00E964F7"/>
    <w:rsid w:val="00EA6F84"/>
    <w:rsid w:val="00EB7931"/>
    <w:rsid w:val="00EC36A4"/>
    <w:rsid w:val="00ED3A15"/>
    <w:rsid w:val="00ED548C"/>
    <w:rsid w:val="00ED7E8B"/>
    <w:rsid w:val="00ED7F3F"/>
    <w:rsid w:val="00EF043C"/>
    <w:rsid w:val="00EF29E3"/>
    <w:rsid w:val="00EF49B3"/>
    <w:rsid w:val="00EF56E1"/>
    <w:rsid w:val="00EF73FD"/>
    <w:rsid w:val="00F00561"/>
    <w:rsid w:val="00F01150"/>
    <w:rsid w:val="00F01E3D"/>
    <w:rsid w:val="00F04DC2"/>
    <w:rsid w:val="00F066D9"/>
    <w:rsid w:val="00F25F52"/>
    <w:rsid w:val="00F469D5"/>
    <w:rsid w:val="00F47FEE"/>
    <w:rsid w:val="00F50D09"/>
    <w:rsid w:val="00F5233B"/>
    <w:rsid w:val="00F527B3"/>
    <w:rsid w:val="00F632AF"/>
    <w:rsid w:val="00F6382D"/>
    <w:rsid w:val="00F63F55"/>
    <w:rsid w:val="00F66378"/>
    <w:rsid w:val="00F71C51"/>
    <w:rsid w:val="00F77F4B"/>
    <w:rsid w:val="00F9100C"/>
    <w:rsid w:val="00FA0934"/>
    <w:rsid w:val="00FA653D"/>
    <w:rsid w:val="00FB23EE"/>
    <w:rsid w:val="00FC34DF"/>
    <w:rsid w:val="00FD658E"/>
    <w:rsid w:val="00FE0C5A"/>
    <w:rsid w:val="00FE13A2"/>
    <w:rsid w:val="00FE6D91"/>
    <w:rsid w:val="6B8105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DB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621DBB"/>
    <w:pPr>
      <w:jc w:val="left"/>
    </w:pPr>
  </w:style>
  <w:style w:type="paragraph" w:styleId="a4">
    <w:name w:val="Balloon Text"/>
    <w:basedOn w:val="a"/>
    <w:link w:val="Char0"/>
    <w:uiPriority w:val="99"/>
    <w:semiHidden/>
    <w:unhideWhenUsed/>
    <w:rsid w:val="00621DBB"/>
    <w:rPr>
      <w:sz w:val="18"/>
      <w:szCs w:val="18"/>
    </w:rPr>
  </w:style>
  <w:style w:type="paragraph" w:styleId="a5">
    <w:name w:val="footer"/>
    <w:basedOn w:val="a"/>
    <w:link w:val="Char1"/>
    <w:uiPriority w:val="99"/>
    <w:unhideWhenUsed/>
    <w:rsid w:val="00621DBB"/>
    <w:pPr>
      <w:tabs>
        <w:tab w:val="center" w:pos="4153"/>
        <w:tab w:val="right" w:pos="8306"/>
      </w:tabs>
      <w:snapToGrid w:val="0"/>
      <w:jc w:val="left"/>
    </w:pPr>
    <w:rPr>
      <w:sz w:val="18"/>
      <w:szCs w:val="18"/>
    </w:rPr>
  </w:style>
  <w:style w:type="paragraph" w:styleId="a6">
    <w:name w:val="header"/>
    <w:basedOn w:val="a"/>
    <w:link w:val="Char2"/>
    <w:uiPriority w:val="99"/>
    <w:unhideWhenUsed/>
    <w:rsid w:val="00621DBB"/>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621DBB"/>
    <w:pPr>
      <w:snapToGrid w:val="0"/>
      <w:jc w:val="left"/>
    </w:pPr>
    <w:rPr>
      <w:sz w:val="18"/>
      <w:szCs w:val="18"/>
    </w:rPr>
  </w:style>
  <w:style w:type="paragraph" w:styleId="a8">
    <w:name w:val="annotation subject"/>
    <w:basedOn w:val="a3"/>
    <w:next w:val="a3"/>
    <w:link w:val="Char4"/>
    <w:uiPriority w:val="99"/>
    <w:semiHidden/>
    <w:unhideWhenUsed/>
    <w:rsid w:val="00621DBB"/>
    <w:rPr>
      <w:b/>
      <w:bCs/>
    </w:rPr>
  </w:style>
  <w:style w:type="character" w:styleId="a9">
    <w:name w:val="FollowedHyperlink"/>
    <w:basedOn w:val="a0"/>
    <w:uiPriority w:val="99"/>
    <w:semiHidden/>
    <w:unhideWhenUsed/>
    <w:qFormat/>
    <w:rsid w:val="00621DBB"/>
    <w:rPr>
      <w:color w:val="800080" w:themeColor="followedHyperlink"/>
      <w:u w:val="single"/>
    </w:rPr>
  </w:style>
  <w:style w:type="character" w:styleId="aa">
    <w:name w:val="Hyperlink"/>
    <w:basedOn w:val="a0"/>
    <w:uiPriority w:val="99"/>
    <w:unhideWhenUsed/>
    <w:rsid w:val="00621DBB"/>
    <w:rPr>
      <w:color w:val="0000FF" w:themeColor="hyperlink"/>
      <w:u w:val="single"/>
    </w:rPr>
  </w:style>
  <w:style w:type="character" w:styleId="ab">
    <w:name w:val="annotation reference"/>
    <w:basedOn w:val="a0"/>
    <w:uiPriority w:val="99"/>
    <w:semiHidden/>
    <w:unhideWhenUsed/>
    <w:qFormat/>
    <w:rsid w:val="00621DBB"/>
    <w:rPr>
      <w:sz w:val="21"/>
      <w:szCs w:val="21"/>
    </w:rPr>
  </w:style>
  <w:style w:type="character" w:styleId="ac">
    <w:name w:val="footnote reference"/>
    <w:basedOn w:val="a0"/>
    <w:uiPriority w:val="99"/>
    <w:semiHidden/>
    <w:unhideWhenUsed/>
    <w:qFormat/>
    <w:rsid w:val="00621DBB"/>
    <w:rPr>
      <w:vertAlign w:val="superscript"/>
    </w:rPr>
  </w:style>
  <w:style w:type="character" w:customStyle="1" w:styleId="Char2">
    <w:name w:val="页眉 Char"/>
    <w:basedOn w:val="a0"/>
    <w:link w:val="a6"/>
    <w:uiPriority w:val="99"/>
    <w:rsid w:val="00621DBB"/>
    <w:rPr>
      <w:sz w:val="18"/>
      <w:szCs w:val="18"/>
    </w:rPr>
  </w:style>
  <w:style w:type="character" w:customStyle="1" w:styleId="Char1">
    <w:name w:val="页脚 Char"/>
    <w:basedOn w:val="a0"/>
    <w:link w:val="a5"/>
    <w:uiPriority w:val="99"/>
    <w:rsid w:val="00621DBB"/>
    <w:rPr>
      <w:sz w:val="18"/>
      <w:szCs w:val="18"/>
    </w:rPr>
  </w:style>
  <w:style w:type="paragraph" w:styleId="ad">
    <w:name w:val="List Paragraph"/>
    <w:basedOn w:val="a"/>
    <w:uiPriority w:val="34"/>
    <w:qFormat/>
    <w:rsid w:val="00621DBB"/>
    <w:pPr>
      <w:ind w:firstLineChars="200" w:firstLine="420"/>
    </w:pPr>
  </w:style>
  <w:style w:type="character" w:customStyle="1" w:styleId="Char0">
    <w:name w:val="批注框文本 Char"/>
    <w:basedOn w:val="a0"/>
    <w:link w:val="a4"/>
    <w:uiPriority w:val="99"/>
    <w:semiHidden/>
    <w:rsid w:val="00621DBB"/>
    <w:rPr>
      <w:sz w:val="18"/>
      <w:szCs w:val="18"/>
    </w:rPr>
  </w:style>
  <w:style w:type="character" w:customStyle="1" w:styleId="Char">
    <w:name w:val="批注文字 Char"/>
    <w:basedOn w:val="a0"/>
    <w:link w:val="a3"/>
    <w:uiPriority w:val="99"/>
    <w:semiHidden/>
    <w:qFormat/>
    <w:rsid w:val="00621DBB"/>
  </w:style>
  <w:style w:type="character" w:customStyle="1" w:styleId="Char4">
    <w:name w:val="批注主题 Char"/>
    <w:basedOn w:val="Char"/>
    <w:link w:val="a8"/>
    <w:uiPriority w:val="99"/>
    <w:semiHidden/>
    <w:rsid w:val="00621DBB"/>
    <w:rPr>
      <w:b/>
      <w:bCs/>
    </w:rPr>
  </w:style>
  <w:style w:type="character" w:customStyle="1" w:styleId="Char3">
    <w:name w:val="脚注文本 Char"/>
    <w:basedOn w:val="a0"/>
    <w:link w:val="a7"/>
    <w:uiPriority w:val="99"/>
    <w:semiHidden/>
    <w:qFormat/>
    <w:rsid w:val="00621DBB"/>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eid.csrc.gov.cn/fun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D16AA-F1E4-4930-A268-84E6D0CD7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1210</Words>
  <Characters>6903</Characters>
  <Application>Microsoft Office Word</Application>
  <DocSecurity>4</DocSecurity>
  <Lines>57</Lines>
  <Paragraphs>16</Paragraphs>
  <ScaleCrop>false</ScaleCrop>
  <Company>CNSTOCK</Company>
  <LinksUpToDate>false</LinksUpToDate>
  <CharactersWithSpaces>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2026-03-29T16:03:00Z</dcterms:created>
  <dcterms:modified xsi:type="dcterms:W3CDTF">2026-03-29T16:03:00Z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57030C48E382468BB4D15DF04CE42404_12</vt:lpwstr>
  </property>
</Properties>
</file>