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BA" w:rsidRDefault="00C26806" w:rsidP="00C26806">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平安基金管理有限公司</w:t>
      </w:r>
    </w:p>
    <w:p w:rsidR="00EC10BA" w:rsidRDefault="00C26806" w:rsidP="00C26806">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年度报告提示性公告</w:t>
      </w:r>
    </w:p>
    <w:p w:rsidR="00EC10BA" w:rsidRDefault="00EC10BA" w:rsidP="00C26806">
      <w:pPr>
        <w:spacing w:line="540" w:lineRule="exact"/>
        <w:ind w:firstLineChars="50" w:firstLine="160"/>
        <w:jc w:val="center"/>
        <w:rPr>
          <w:rFonts w:ascii="仿宋" w:eastAsia="仿宋" w:hAnsi="仿宋"/>
          <w:b/>
          <w:color w:val="000000" w:themeColor="text1"/>
          <w:sz w:val="32"/>
          <w:szCs w:val="32"/>
        </w:rPr>
      </w:pPr>
    </w:p>
    <w:p w:rsidR="00EC10BA" w:rsidRDefault="00C26806">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年度报告所载资料不存在虚假记载、误导性陈述或重大遗漏，并对其内容的真实性、准确性和完整性承担个别及连带责任。</w:t>
      </w:r>
    </w:p>
    <w:p w:rsidR="00EC10BA" w:rsidRDefault="00C26806">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年度</w:t>
      </w:r>
      <w:r>
        <w:rPr>
          <w:rFonts w:ascii="仿宋" w:eastAsia="仿宋" w:hAnsi="仿宋"/>
          <w:color w:val="000000" w:themeColor="text1"/>
          <w:sz w:val="32"/>
          <w:szCs w:val="32"/>
        </w:rPr>
        <w:t>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p>
    <w:tbl>
      <w:tblPr>
        <w:tblW w:w="8850" w:type="dxa"/>
        <w:tblInd w:w="96" w:type="dxa"/>
        <w:tblLayout w:type="fixed"/>
        <w:tblLook w:val="04A0"/>
      </w:tblPr>
      <w:tblGrid>
        <w:gridCol w:w="1471"/>
        <w:gridCol w:w="7379"/>
      </w:tblGrid>
      <w:tr w:rsidR="00EC10BA">
        <w:trPr>
          <w:trHeight w:val="402"/>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bookmarkStart w:id="0" w:name="_GoBack"/>
            <w:r>
              <w:rPr>
                <w:rFonts w:ascii="仿宋" w:eastAsia="仿宋" w:hAnsi="仿宋" w:cs="仿宋" w:hint="eastAsia"/>
                <w:color w:val="000000" w:themeColor="text1"/>
                <w:sz w:val="28"/>
                <w:szCs w:val="28"/>
              </w:rPr>
              <w:t>基金代码</w:t>
            </w:r>
          </w:p>
        </w:tc>
        <w:tc>
          <w:tcPr>
            <w:tcW w:w="7379" w:type="dxa"/>
            <w:tcBorders>
              <w:top w:val="single" w:sz="4" w:space="0" w:color="auto"/>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基金全称</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167003</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平安鼎弘混合型证券投资基金</w:t>
            </w:r>
            <w:r>
              <w:rPr>
                <w:rFonts w:ascii="仿宋" w:eastAsia="仿宋" w:hAnsi="仿宋" w:cs="仿宋" w:hint="eastAsia"/>
                <w:color w:val="000000" w:themeColor="text1"/>
                <w:sz w:val="28"/>
                <w:szCs w:val="28"/>
              </w:rPr>
              <w:t>(LOF)</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510390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平安沪深</w:t>
            </w:r>
            <w:r>
              <w:rPr>
                <w:rFonts w:ascii="仿宋" w:eastAsia="仿宋" w:hAnsi="仿宋" w:cs="仿宋" w:hint="eastAsia"/>
                <w:color w:val="000000" w:themeColor="text1"/>
                <w:sz w:val="28"/>
                <w:szCs w:val="28"/>
              </w:rPr>
              <w:t>300</w:t>
            </w:r>
            <w:r>
              <w:rPr>
                <w:rFonts w:ascii="仿宋" w:eastAsia="仿宋" w:hAnsi="仿宋" w:cs="仿宋" w:hint="eastAsia"/>
                <w:color w:val="000000" w:themeColor="text1"/>
                <w:sz w:val="28"/>
                <w:szCs w:val="28"/>
              </w:rPr>
              <w:t>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005766</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平安合瑞定期开放债券型发起式证券投资基金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005639</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平安沪深</w:t>
            </w:r>
            <w:r>
              <w:rPr>
                <w:rFonts w:ascii="仿宋" w:eastAsia="仿宋" w:hAnsi="仿宋" w:cs="仿宋" w:hint="eastAsia"/>
                <w:color w:val="000000" w:themeColor="text1"/>
                <w:sz w:val="28"/>
                <w:szCs w:val="28"/>
              </w:rPr>
              <w:t>300</w:t>
            </w:r>
            <w:r>
              <w:rPr>
                <w:rFonts w:ascii="仿宋" w:eastAsia="仿宋" w:hAnsi="仿宋" w:cs="仿宋" w:hint="eastAsia"/>
                <w:color w:val="000000" w:themeColor="text1"/>
                <w:sz w:val="28"/>
                <w:szCs w:val="28"/>
              </w:rPr>
              <w:t>交易型开放式指数证券投资基金联接基金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005750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平安双债添益债券型证券投资基金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006016</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平安惠安纯债债券型证券投资基金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512360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w:t>
            </w:r>
            <w:r>
              <w:rPr>
                <w:rFonts w:ascii="仿宋" w:eastAsia="仿宋" w:hAnsi="仿宋" w:cs="仿宋" w:hint="eastAsia"/>
                <w:color w:val="000000" w:themeColor="text1"/>
                <w:sz w:val="28"/>
                <w:szCs w:val="28"/>
              </w:rPr>
              <w:t>MSCI</w:t>
            </w:r>
            <w:r>
              <w:rPr>
                <w:rFonts w:ascii="仿宋" w:eastAsia="仿宋" w:hAnsi="仿宋" w:cs="仿宋" w:hint="eastAsia"/>
                <w:color w:val="000000" w:themeColor="text1"/>
                <w:sz w:val="28"/>
                <w:szCs w:val="28"/>
              </w:rPr>
              <w:t>中国</w:t>
            </w:r>
            <w:r>
              <w:rPr>
                <w:rFonts w:ascii="仿宋" w:eastAsia="仿宋" w:hAnsi="仿宋" w:cs="仿宋" w:hint="eastAsia"/>
                <w:color w:val="000000" w:themeColor="text1"/>
                <w:sz w:val="28"/>
                <w:szCs w:val="28"/>
              </w:rPr>
              <w:t>A</w:t>
            </w:r>
            <w:r>
              <w:rPr>
                <w:rFonts w:ascii="仿宋" w:eastAsia="仿宋" w:hAnsi="仿宋" w:cs="仿宋" w:hint="eastAsia"/>
                <w:color w:val="000000" w:themeColor="text1"/>
                <w:sz w:val="28"/>
                <w:szCs w:val="28"/>
              </w:rPr>
              <w:t>股国际交易型开放式指数证券投资基金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005868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w:t>
            </w:r>
            <w:r>
              <w:rPr>
                <w:rFonts w:ascii="仿宋" w:eastAsia="仿宋" w:hAnsi="仿宋" w:cs="仿宋" w:hint="eastAsia"/>
                <w:color w:val="000000" w:themeColor="text1"/>
                <w:sz w:val="28"/>
                <w:szCs w:val="28"/>
              </w:rPr>
              <w:t>MSCI</w:t>
            </w:r>
            <w:r>
              <w:rPr>
                <w:rFonts w:ascii="仿宋" w:eastAsia="仿宋" w:hAnsi="仿宋" w:cs="仿宋" w:hint="eastAsia"/>
                <w:color w:val="000000" w:themeColor="text1"/>
                <w:sz w:val="28"/>
                <w:szCs w:val="28"/>
              </w:rPr>
              <w:t>中国</w:t>
            </w:r>
            <w:r>
              <w:rPr>
                <w:rFonts w:ascii="仿宋" w:eastAsia="仿宋" w:hAnsi="仿宋" w:cs="仿宋" w:hint="eastAsia"/>
                <w:color w:val="000000" w:themeColor="text1"/>
                <w:sz w:val="28"/>
                <w:szCs w:val="28"/>
              </w:rPr>
              <w:t>A</w:t>
            </w:r>
            <w:r>
              <w:rPr>
                <w:rFonts w:ascii="仿宋" w:eastAsia="仿宋" w:hAnsi="仿宋" w:cs="仿宋" w:hint="eastAsia"/>
                <w:color w:val="000000" w:themeColor="text1"/>
                <w:sz w:val="28"/>
                <w:szCs w:val="28"/>
              </w:rPr>
              <w:t>股国际交易型开放式指数证券投资基金联接基金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005895</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平安合丰定期开放纯债债券型发起式证券投资基金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006100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平安优势产业灵活配置混合型证券投资基金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005971</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平安惠锦纯债债券型证券投资基金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700004</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平安灵活配置混合型证券投资基金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006544</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平安惠聚纯债债券型证券投资基金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004827</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平安中短债债券型证券投资基金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006720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平安核心优势混合型证券投资基金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002282</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平安安享灵活配置混合型证券投资基金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006932</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w:t>
            </w:r>
            <w:r>
              <w:rPr>
                <w:rFonts w:ascii="仿宋" w:eastAsia="仿宋" w:hAnsi="仿宋" w:cs="仿宋" w:hint="eastAsia"/>
                <w:color w:val="000000" w:themeColor="text1"/>
                <w:sz w:val="28"/>
                <w:szCs w:val="28"/>
              </w:rPr>
              <w:t>0-3</w:t>
            </w:r>
            <w:r>
              <w:rPr>
                <w:rFonts w:ascii="仿宋" w:eastAsia="仿宋" w:hAnsi="仿宋" w:cs="仿宋" w:hint="eastAsia"/>
                <w:color w:val="000000" w:themeColor="text1"/>
                <w:sz w:val="28"/>
                <w:szCs w:val="28"/>
              </w:rPr>
              <w:t>年期政策性金融债债券型证券投资基金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007017</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平安如意中短债债券型证券投资基金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007447</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平安惠泰纯债债券型证券投资基金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007238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平安养老目标日期</w:t>
            </w:r>
            <w:r>
              <w:rPr>
                <w:rFonts w:ascii="仿宋" w:eastAsia="仿宋" w:hAnsi="仿宋" w:cs="仿宋" w:hint="eastAsia"/>
                <w:color w:val="000000" w:themeColor="text1"/>
                <w:sz w:val="28"/>
                <w:szCs w:val="28"/>
              </w:rPr>
              <w:t>2035</w:t>
            </w:r>
            <w:r>
              <w:rPr>
                <w:rFonts w:ascii="仿宋" w:eastAsia="仿宋" w:hAnsi="仿宋" w:cs="仿宋" w:hint="eastAsia"/>
                <w:color w:val="000000" w:themeColor="text1"/>
                <w:sz w:val="28"/>
                <w:szCs w:val="28"/>
              </w:rPr>
              <w:t>三年持有期混合型基金中基金</w:t>
            </w:r>
            <w:r>
              <w:rPr>
                <w:rFonts w:ascii="仿宋" w:eastAsia="仿宋" w:hAnsi="仿宋" w:cs="仿宋" w:hint="eastAsia"/>
                <w:color w:val="000000" w:themeColor="text1"/>
                <w:sz w:val="28"/>
                <w:szCs w:val="28"/>
              </w:rPr>
              <w:t>(FOF)</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512970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平安中证粤港澳大湾区发展主题交易型开放式指数证券投资基金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004630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平安合信</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个月定期开放债券型发起式证券投资基金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007954</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平安惠涌纯债债券型证券投资基金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007196</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平安惠合纯债债券型证券投资基金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002598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平安消费精选混合型证券投资基金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515700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平安中证新能源汽车产业交易型开放式指数证券投资基金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008690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平安增利六个月定期开放债券型证券投资基金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008694</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平安元盛超短债债券型证券投资基金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007893</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平安估值精选混合型证券投资基金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009053</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平安合庆</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年定期开放债券型发起式证券投资基金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009453</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平安合兴</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年定期开放债券型发起式证券投资基金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009306</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平安惠铭纯债债券型证券投资基金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009721</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平安中债</w:t>
            </w:r>
            <w:r>
              <w:rPr>
                <w:rFonts w:ascii="仿宋" w:eastAsia="仿宋" w:hAnsi="仿宋" w:cs="仿宋" w:hint="eastAsia"/>
                <w:color w:val="000000" w:themeColor="text1"/>
                <w:sz w:val="28"/>
                <w:szCs w:val="28"/>
              </w:rPr>
              <w:t>1-5</w:t>
            </w:r>
            <w:r>
              <w:rPr>
                <w:rFonts w:ascii="仿宋" w:eastAsia="仿宋" w:hAnsi="仿宋" w:cs="仿宋" w:hint="eastAsia"/>
                <w:color w:val="000000" w:themeColor="text1"/>
                <w:sz w:val="28"/>
                <w:szCs w:val="28"/>
              </w:rPr>
              <w:t>年政策性金融债指数证券投资基金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011175</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平安恒鑫混合型证券投资基金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516180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平安中证光伏产业交易型开放式指数证券投资基金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516760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平安中证畜牧养殖交易型开放式指数证券投资基金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011392</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平安兴鑫回报一年定期开放混合型证券投资基金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012418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平安合进</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年定期开放债券型发起式证券投资基金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012698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平安中证新能源汽车产业交易型开放式指数证券投资基金发起式联接基金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012722</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平安中证光伏产业指数型发起式证券投资基金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012440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平安惠信</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个月定期开放债券型证券投资基金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011828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平安睿享成长混合型证券投资基金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561600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平安中证消费电子主题交易型开放式指数证券投资基金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013343</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平安盈欣稳健</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年持有期混合型基金中基金</w:t>
            </w:r>
            <w:r>
              <w:rPr>
                <w:rFonts w:ascii="仿宋" w:eastAsia="仿宋" w:hAnsi="仿宋" w:cs="仿宋" w:hint="eastAsia"/>
                <w:color w:val="000000" w:themeColor="text1"/>
                <w:sz w:val="28"/>
                <w:szCs w:val="28"/>
              </w:rPr>
              <w:t>(FOF)</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012931</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平安双季盈</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个月持有期债券型证券投资基金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013375</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平安元鑫</w:t>
            </w:r>
            <w:r>
              <w:rPr>
                <w:rFonts w:ascii="仿宋" w:eastAsia="仿宋" w:hAnsi="仿宋" w:cs="仿宋" w:hint="eastAsia"/>
                <w:color w:val="000000" w:themeColor="text1"/>
                <w:sz w:val="28"/>
                <w:szCs w:val="28"/>
              </w:rPr>
              <w:t>120</w:t>
            </w:r>
            <w:r>
              <w:rPr>
                <w:rFonts w:ascii="仿宋" w:eastAsia="仿宋" w:hAnsi="仿宋" w:cs="仿宋" w:hint="eastAsia"/>
                <w:color w:val="000000" w:themeColor="text1"/>
                <w:sz w:val="28"/>
                <w:szCs w:val="28"/>
              </w:rPr>
              <w:t>天滚动持有中短债债券型证券投资基金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159718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平安中证港股通医药卫生综合交易型开放式指数证券投资基金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014811</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平安兴奕成长</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年持有期混合型证券投资基金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013767</w:t>
            </w:r>
          </w:p>
        </w:tc>
        <w:tc>
          <w:tcPr>
            <w:tcW w:w="7379" w:type="dxa"/>
            <w:tcBorders>
              <w:top w:val="nil"/>
              <w:left w:val="nil"/>
              <w:bottom w:val="single" w:sz="4" w:space="0" w:color="auto"/>
              <w:right w:val="single" w:sz="4" w:space="0" w:color="auto"/>
            </w:tcBorders>
            <w:shd w:val="clear" w:color="auto" w:fill="auto"/>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平安价值回报混合型证券投资基金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015720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平安元悦</w:t>
            </w:r>
            <w:r>
              <w:rPr>
                <w:rFonts w:ascii="仿宋" w:eastAsia="仿宋" w:hAnsi="仿宋" w:cs="仿宋" w:hint="eastAsia"/>
                <w:color w:val="000000" w:themeColor="text1"/>
                <w:sz w:val="28"/>
                <w:szCs w:val="28"/>
              </w:rPr>
              <w:t>60</w:t>
            </w:r>
            <w:r>
              <w:rPr>
                <w:rFonts w:ascii="仿宋" w:eastAsia="仿宋" w:hAnsi="仿宋" w:cs="仿宋" w:hint="eastAsia"/>
                <w:color w:val="000000" w:themeColor="text1"/>
                <w:sz w:val="28"/>
                <w:szCs w:val="28"/>
              </w:rPr>
              <w:t>天滚动持有短债债券型证券投资基金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015894</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平安中证消费电子主题交易型开放式指数证券投资基金发起式联接基金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015699</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平安均衡成长</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年持有期混合型证券投资基金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015938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平安盈福</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个月持有期债券型基金中基金（</w:t>
            </w:r>
            <w:r>
              <w:rPr>
                <w:rFonts w:ascii="仿宋" w:eastAsia="仿宋" w:hAnsi="仿宋" w:cs="仿宋" w:hint="eastAsia"/>
                <w:color w:val="000000" w:themeColor="text1"/>
                <w:sz w:val="28"/>
                <w:szCs w:val="28"/>
              </w:rPr>
              <w:t>FOF</w:t>
            </w:r>
            <w:r>
              <w:rPr>
                <w:rFonts w:ascii="仿宋" w:eastAsia="仿宋" w:hAnsi="仿宋" w:cs="仿宋" w:hint="eastAsia"/>
                <w:color w:val="000000" w:themeColor="text1"/>
                <w:sz w:val="28"/>
                <w:szCs w:val="28"/>
              </w:rPr>
              <w:t>）</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012902</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平安添悦债券型证券投资基金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015510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平安价值领航混合型证券投资基金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016447</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平安双盈添益债券型证券投资基金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017776</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平安合顺</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年定期开放债券型发起式证券投资基金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017532</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平安研究优选混合型证券投资基金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018253</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平安利率债债券型证券投资基金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017755</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平安养老目标日期</w:t>
            </w:r>
            <w:r>
              <w:rPr>
                <w:rFonts w:ascii="仿宋" w:eastAsia="仿宋" w:hAnsi="仿宋" w:cs="仿宋" w:hint="eastAsia"/>
                <w:color w:val="000000" w:themeColor="text1"/>
                <w:sz w:val="28"/>
                <w:szCs w:val="28"/>
              </w:rPr>
              <w:t>2040</w:t>
            </w:r>
            <w:r>
              <w:rPr>
                <w:rFonts w:ascii="仿宋" w:eastAsia="仿宋" w:hAnsi="仿宋" w:cs="仿宋" w:hint="eastAsia"/>
                <w:color w:val="000000" w:themeColor="text1"/>
                <w:sz w:val="28"/>
                <w:szCs w:val="28"/>
              </w:rPr>
              <w:t>三年持有期混合型发起式基金中基金（</w:t>
            </w:r>
            <w:r>
              <w:rPr>
                <w:rFonts w:ascii="仿宋" w:eastAsia="仿宋" w:hAnsi="仿宋" w:cs="仿宋" w:hint="eastAsia"/>
                <w:color w:val="000000" w:themeColor="text1"/>
                <w:sz w:val="28"/>
                <w:szCs w:val="28"/>
              </w:rPr>
              <w:t>FOF</w:t>
            </w:r>
            <w:r>
              <w:rPr>
                <w:rFonts w:ascii="仿宋" w:eastAsia="仿宋" w:hAnsi="仿宋" w:cs="仿宋" w:hint="eastAsia"/>
                <w:color w:val="000000" w:themeColor="text1"/>
                <w:sz w:val="28"/>
                <w:szCs w:val="28"/>
              </w:rPr>
              <w:t>）</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159521</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平安国证</w:t>
            </w:r>
            <w:r>
              <w:rPr>
                <w:rFonts w:ascii="仿宋" w:eastAsia="仿宋" w:hAnsi="仿宋" w:cs="仿宋" w:hint="eastAsia"/>
                <w:color w:val="000000" w:themeColor="text1"/>
                <w:sz w:val="28"/>
                <w:szCs w:val="28"/>
              </w:rPr>
              <w:t>2000</w:t>
            </w:r>
            <w:r>
              <w:rPr>
                <w:rFonts w:ascii="仿宋" w:eastAsia="仿宋" w:hAnsi="仿宋" w:cs="仿宋" w:hint="eastAsia"/>
                <w:color w:val="000000" w:themeColor="text1"/>
                <w:sz w:val="28"/>
                <w:szCs w:val="28"/>
              </w:rPr>
              <w:t>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019457</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平安先进制造主题股票型发起式证券投资基金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019598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平安中证港股通医药卫生综合交易型开放式指数证券投资基金联接基金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019285</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平安惠旭纯债债券型证券投资基金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019952</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平安价值远见混合型证券投资基金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159306</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平安中证汽车零部件主题交易型开放式指数证券投资基金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020458</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平安医药精选股票型证券投资基金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021507</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w:t>
            </w:r>
            <w:r>
              <w:rPr>
                <w:rFonts w:ascii="仿宋" w:eastAsia="仿宋" w:hAnsi="仿宋" w:cs="仿宋" w:hint="eastAsia"/>
                <w:color w:val="000000" w:themeColor="text1"/>
                <w:sz w:val="28"/>
                <w:szCs w:val="28"/>
              </w:rPr>
              <w:t>CFETS0-3</w:t>
            </w:r>
            <w:r>
              <w:rPr>
                <w:rFonts w:ascii="仿宋" w:eastAsia="仿宋" w:hAnsi="仿宋" w:cs="仿宋" w:hint="eastAsia"/>
                <w:color w:val="000000" w:themeColor="text1"/>
                <w:sz w:val="28"/>
                <w:szCs w:val="28"/>
              </w:rPr>
              <w:t>年期政策性金融债指数证券投资基金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021675</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平安双季鑫</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个月持有期债券型证券投资基金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020301</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平安惠嘉纯债债券型证券投资基金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021574</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平安元恒</w:t>
            </w:r>
            <w:r>
              <w:rPr>
                <w:rFonts w:ascii="仿宋" w:eastAsia="仿宋" w:hAnsi="仿宋" w:cs="仿宋" w:hint="eastAsia"/>
                <w:color w:val="000000" w:themeColor="text1"/>
                <w:sz w:val="28"/>
                <w:szCs w:val="28"/>
              </w:rPr>
              <w:t>90</w:t>
            </w:r>
            <w:r>
              <w:rPr>
                <w:rFonts w:ascii="仿宋" w:eastAsia="仿宋" w:hAnsi="仿宋" w:cs="仿宋" w:hint="eastAsia"/>
                <w:color w:val="000000" w:themeColor="text1"/>
                <w:sz w:val="28"/>
                <w:szCs w:val="28"/>
              </w:rPr>
              <w:t>天持有期债券型证券投资基金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022119</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平安产业趋势混合型证券投资基金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022731</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平安中证汽车零部件主题交易型开放式指数证券投资基金发起式联接基金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159233</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平安中证全指自由现金流交易型开放式指数证券投资基金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024495</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平安盈轩</w:t>
            </w:r>
            <w:r>
              <w:rPr>
                <w:rFonts w:ascii="仿宋" w:eastAsia="仿宋" w:hAnsi="仿宋" w:cs="仿宋" w:hint="eastAsia"/>
                <w:color w:val="000000" w:themeColor="text1"/>
                <w:sz w:val="28"/>
                <w:szCs w:val="28"/>
              </w:rPr>
              <w:t>90</w:t>
            </w:r>
            <w:r>
              <w:rPr>
                <w:rFonts w:ascii="仿宋" w:eastAsia="仿宋" w:hAnsi="仿宋" w:cs="仿宋" w:hint="eastAsia"/>
                <w:color w:val="000000" w:themeColor="text1"/>
                <w:sz w:val="28"/>
                <w:szCs w:val="28"/>
              </w:rPr>
              <w:t>天持有期债券型基金中基金（</w:t>
            </w:r>
            <w:r>
              <w:rPr>
                <w:rFonts w:ascii="仿宋" w:eastAsia="仿宋" w:hAnsi="仿宋" w:cs="仿宋" w:hint="eastAsia"/>
                <w:color w:val="000000" w:themeColor="text1"/>
                <w:sz w:val="28"/>
                <w:szCs w:val="28"/>
              </w:rPr>
              <w:t>ETF-FOF</w:t>
            </w:r>
            <w:r>
              <w:rPr>
                <w:rFonts w:ascii="仿宋" w:eastAsia="仿宋" w:hAnsi="仿宋" w:cs="仿宋" w:hint="eastAsia"/>
                <w:color w:val="000000" w:themeColor="text1"/>
                <w:sz w:val="28"/>
                <w:szCs w:val="28"/>
              </w:rPr>
              <w:t>）</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024887</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平安中证全指自由现金流交易型开放式指数证券投资基金联接基金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561680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w:t>
            </w:r>
            <w:r>
              <w:rPr>
                <w:rFonts w:ascii="仿宋" w:eastAsia="仿宋" w:hAnsi="仿宋" w:cs="仿宋" w:hint="eastAsia"/>
                <w:color w:val="000000" w:themeColor="text1"/>
                <w:sz w:val="28"/>
                <w:szCs w:val="28"/>
              </w:rPr>
              <w:t>A500</w:t>
            </w:r>
            <w:r>
              <w:rPr>
                <w:rFonts w:ascii="仿宋" w:eastAsia="仿宋" w:hAnsi="仿宋" w:cs="仿宋" w:hint="eastAsia"/>
                <w:color w:val="000000" w:themeColor="text1"/>
                <w:sz w:val="28"/>
                <w:szCs w:val="28"/>
              </w:rPr>
              <w:t>红利低波动交易型开放式指数证券投资基金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024534</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平安港股通科技精选混合型证券投资基金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025525</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平安恒生港股通科技主题指数型发起式证券投资基金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025650</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平安资源精选混合型发起式证券投资基金</w:t>
            </w:r>
          </w:p>
        </w:tc>
      </w:tr>
      <w:tr w:rsidR="00EC10BA">
        <w:trPr>
          <w:trHeight w:val="402"/>
        </w:trPr>
        <w:tc>
          <w:tcPr>
            <w:tcW w:w="1471" w:type="dxa"/>
            <w:tcBorders>
              <w:top w:val="nil"/>
              <w:left w:val="single" w:sz="4" w:space="0" w:color="auto"/>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025247</w:t>
            </w:r>
          </w:p>
        </w:tc>
        <w:tc>
          <w:tcPr>
            <w:tcW w:w="7379" w:type="dxa"/>
            <w:tcBorders>
              <w:top w:val="nil"/>
              <w:left w:val="nil"/>
              <w:bottom w:val="single" w:sz="4" w:space="0" w:color="auto"/>
              <w:right w:val="single" w:sz="4" w:space="0" w:color="auto"/>
            </w:tcBorders>
            <w:shd w:val="clear" w:color="auto" w:fill="auto"/>
            <w:noWrap/>
            <w:vAlign w:val="center"/>
          </w:tcPr>
          <w:p w:rsidR="00EC10BA" w:rsidRDefault="00C26806">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平安盈享多元配置</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个月持有期混合型发起式基金中基金（</w:t>
            </w:r>
            <w:r>
              <w:rPr>
                <w:rFonts w:ascii="仿宋" w:eastAsia="仿宋" w:hAnsi="仿宋" w:cs="仿宋" w:hint="eastAsia"/>
                <w:color w:val="000000" w:themeColor="text1"/>
                <w:sz w:val="28"/>
                <w:szCs w:val="28"/>
              </w:rPr>
              <w:t>FOF</w:t>
            </w:r>
            <w:r>
              <w:rPr>
                <w:rFonts w:ascii="仿宋" w:eastAsia="仿宋" w:hAnsi="仿宋" w:cs="仿宋" w:hint="eastAsia"/>
                <w:color w:val="000000" w:themeColor="text1"/>
                <w:sz w:val="28"/>
                <w:szCs w:val="28"/>
              </w:rPr>
              <w:t>）</w:t>
            </w:r>
          </w:p>
        </w:tc>
      </w:tr>
      <w:bookmarkEnd w:id="0"/>
    </w:tbl>
    <w:p w:rsidR="00EC10BA" w:rsidRDefault="00EC10BA">
      <w:pPr>
        <w:spacing w:line="540" w:lineRule="exact"/>
        <w:ind w:firstLineChars="200" w:firstLine="640"/>
        <w:rPr>
          <w:rFonts w:ascii="仿宋" w:eastAsia="仿宋" w:hAnsi="仿宋"/>
          <w:color w:val="000000" w:themeColor="text1"/>
          <w:sz w:val="32"/>
          <w:szCs w:val="32"/>
        </w:rPr>
      </w:pPr>
    </w:p>
    <w:p w:rsidR="00EC10BA" w:rsidRDefault="00C26806">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年度报告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color w:val="000000" w:themeColor="text1"/>
          <w:sz w:val="32"/>
          <w:szCs w:val="32"/>
        </w:rPr>
        <w:t>3</w:t>
      </w:r>
      <w:r>
        <w:rPr>
          <w:rFonts w:ascii="仿宋" w:eastAsia="仿宋" w:hAnsi="仿宋"/>
          <w:color w:val="000000" w:themeColor="text1"/>
          <w:sz w:val="32"/>
          <w:szCs w:val="32"/>
        </w:rPr>
        <w:t>月</w:t>
      </w:r>
      <w:r>
        <w:rPr>
          <w:rFonts w:ascii="仿宋" w:eastAsia="仿宋" w:hAnsi="仿宋" w:hint="eastAsia"/>
          <w:color w:val="000000" w:themeColor="text1"/>
          <w:sz w:val="32"/>
          <w:szCs w:val="32"/>
        </w:rPr>
        <w:t>30</w:t>
      </w:r>
      <w:r>
        <w:rPr>
          <w:rFonts w:ascii="仿宋" w:eastAsia="仿宋" w:hAnsi="仿宋"/>
          <w:color w:val="000000" w:themeColor="text1"/>
          <w:sz w:val="32"/>
          <w:szCs w:val="32"/>
        </w:rPr>
        <w:t>日</w:t>
      </w:r>
      <w:r>
        <w:rPr>
          <w:rFonts w:ascii="仿宋" w:eastAsia="仿宋" w:hAnsi="仿宋" w:hint="eastAsia"/>
          <w:color w:val="000000" w:themeColor="text1"/>
          <w:sz w:val="32"/>
          <w:szCs w:val="32"/>
        </w:rPr>
        <w:t>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Style w:val="aa"/>
            <w:rFonts w:ascii="仿宋" w:eastAsia="仿宋" w:hAnsi="仿宋"/>
            <w:sz w:val="32"/>
            <w:szCs w:val="32"/>
          </w:rPr>
          <w:t>https://fund.pingan.com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hint="eastAsia"/>
          <w:color w:val="000000" w:themeColor="text1"/>
          <w:sz w:val="32"/>
          <w:szCs w:val="32"/>
        </w:rPr>
        <w:t>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EC10BA" w:rsidRDefault="00C26806">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EC10BA" w:rsidRDefault="00C26806">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EC10BA" w:rsidRDefault="00EC10BA">
      <w:pPr>
        <w:spacing w:line="540" w:lineRule="exact"/>
        <w:ind w:firstLineChars="200" w:firstLine="640"/>
        <w:rPr>
          <w:rFonts w:ascii="仿宋" w:eastAsia="仿宋" w:hAnsi="仿宋"/>
          <w:color w:val="000000" w:themeColor="text1"/>
          <w:sz w:val="32"/>
          <w:szCs w:val="32"/>
        </w:rPr>
      </w:pPr>
    </w:p>
    <w:p w:rsidR="00EC10BA" w:rsidRDefault="00C2680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EC10BA" w:rsidRDefault="00C2680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color w:val="000000" w:themeColor="text1"/>
          <w:sz w:val="32"/>
          <w:szCs w:val="32"/>
        </w:rPr>
        <w:t>3</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日</w:t>
      </w:r>
    </w:p>
    <w:sectPr w:rsidR="00EC10BA" w:rsidSect="00EC10BA">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0BA" w:rsidRDefault="00EC10BA" w:rsidP="00EC10BA">
      <w:r>
        <w:separator/>
      </w:r>
    </w:p>
  </w:endnote>
  <w:endnote w:type="continuationSeparator" w:id="0">
    <w:p w:rsidR="00EC10BA" w:rsidRDefault="00EC10BA" w:rsidP="00EC1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EC10BA" w:rsidRDefault="00EC10BA">
        <w:pPr>
          <w:pStyle w:val="a5"/>
          <w:jc w:val="center"/>
        </w:pPr>
        <w:r>
          <w:fldChar w:fldCharType="begin"/>
        </w:r>
        <w:r w:rsidR="00C26806">
          <w:instrText>PAGE   \* MERGEFORMAT</w:instrText>
        </w:r>
        <w:r>
          <w:fldChar w:fldCharType="separate"/>
        </w:r>
        <w:r w:rsidR="00C26806" w:rsidRPr="00C26806">
          <w:rPr>
            <w:noProof/>
            <w:lang w:val="zh-CN"/>
          </w:rPr>
          <w:t>2</w:t>
        </w:r>
        <w:r>
          <w:fldChar w:fldCharType="end"/>
        </w:r>
      </w:p>
    </w:sdtContent>
  </w:sdt>
  <w:p w:rsidR="00EC10BA" w:rsidRDefault="00EC10B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EC10BA" w:rsidRDefault="00EC10BA">
        <w:pPr>
          <w:pStyle w:val="a5"/>
          <w:jc w:val="center"/>
        </w:pPr>
        <w:r>
          <w:fldChar w:fldCharType="begin"/>
        </w:r>
        <w:r w:rsidR="00C26806">
          <w:instrText>PAGE   \* MERGEFORMAT</w:instrText>
        </w:r>
        <w:r>
          <w:fldChar w:fldCharType="separate"/>
        </w:r>
        <w:r w:rsidR="00C26806" w:rsidRPr="00C26806">
          <w:rPr>
            <w:noProof/>
            <w:lang w:val="zh-CN"/>
          </w:rPr>
          <w:t>1</w:t>
        </w:r>
        <w:r>
          <w:fldChar w:fldCharType="end"/>
        </w:r>
      </w:p>
    </w:sdtContent>
  </w:sdt>
  <w:p w:rsidR="00EC10BA" w:rsidRDefault="00EC10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0BA" w:rsidRDefault="00EC10BA" w:rsidP="00EC10BA">
      <w:r>
        <w:separator/>
      </w:r>
    </w:p>
  </w:footnote>
  <w:footnote w:type="continuationSeparator" w:id="0">
    <w:p w:rsidR="00EC10BA" w:rsidRDefault="00EC10BA" w:rsidP="00EC10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9A149B"/>
    <w:rsid w:val="00001760"/>
    <w:rsid w:val="00010044"/>
    <w:rsid w:val="00022ABD"/>
    <w:rsid w:val="00025D40"/>
    <w:rsid w:val="000300E5"/>
    <w:rsid w:val="0003246C"/>
    <w:rsid w:val="00033010"/>
    <w:rsid w:val="00033204"/>
    <w:rsid w:val="00042BED"/>
    <w:rsid w:val="000475F0"/>
    <w:rsid w:val="000539F6"/>
    <w:rsid w:val="00053ED3"/>
    <w:rsid w:val="00056EE0"/>
    <w:rsid w:val="00057323"/>
    <w:rsid w:val="000750B5"/>
    <w:rsid w:val="000752DE"/>
    <w:rsid w:val="000777C2"/>
    <w:rsid w:val="0008010F"/>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1223"/>
    <w:rsid w:val="000C7FA0"/>
    <w:rsid w:val="000D18EF"/>
    <w:rsid w:val="000E13E9"/>
    <w:rsid w:val="000E7D66"/>
    <w:rsid w:val="000F07E6"/>
    <w:rsid w:val="000F407E"/>
    <w:rsid w:val="000F6458"/>
    <w:rsid w:val="001039BC"/>
    <w:rsid w:val="00112CAB"/>
    <w:rsid w:val="00123265"/>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D04AB"/>
    <w:rsid w:val="001D2521"/>
    <w:rsid w:val="001D74AE"/>
    <w:rsid w:val="001E7CAD"/>
    <w:rsid w:val="001F125D"/>
    <w:rsid w:val="001F15CB"/>
    <w:rsid w:val="001F1901"/>
    <w:rsid w:val="001F533E"/>
    <w:rsid w:val="0021172E"/>
    <w:rsid w:val="00221DE2"/>
    <w:rsid w:val="00234298"/>
    <w:rsid w:val="002343BD"/>
    <w:rsid w:val="002471D4"/>
    <w:rsid w:val="00253326"/>
    <w:rsid w:val="00261CDE"/>
    <w:rsid w:val="0026276F"/>
    <w:rsid w:val="002635E5"/>
    <w:rsid w:val="00270690"/>
    <w:rsid w:val="00276CA4"/>
    <w:rsid w:val="002823E9"/>
    <w:rsid w:val="00282A7F"/>
    <w:rsid w:val="00284E14"/>
    <w:rsid w:val="00292827"/>
    <w:rsid w:val="00293DE4"/>
    <w:rsid w:val="002941EC"/>
    <w:rsid w:val="00296096"/>
    <w:rsid w:val="00296303"/>
    <w:rsid w:val="002968AB"/>
    <w:rsid w:val="002970F7"/>
    <w:rsid w:val="002A1F54"/>
    <w:rsid w:val="002A2D8C"/>
    <w:rsid w:val="002A358D"/>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4B0"/>
    <w:rsid w:val="00382BCB"/>
    <w:rsid w:val="00391944"/>
    <w:rsid w:val="00393949"/>
    <w:rsid w:val="003948AF"/>
    <w:rsid w:val="00394BBC"/>
    <w:rsid w:val="003A4AC6"/>
    <w:rsid w:val="003A6F7F"/>
    <w:rsid w:val="003C0BF9"/>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14F"/>
    <w:rsid w:val="004A54A6"/>
    <w:rsid w:val="004B1105"/>
    <w:rsid w:val="004B5126"/>
    <w:rsid w:val="004C3109"/>
    <w:rsid w:val="004C44C4"/>
    <w:rsid w:val="004C625A"/>
    <w:rsid w:val="004C6355"/>
    <w:rsid w:val="004E1D5E"/>
    <w:rsid w:val="004E38BB"/>
    <w:rsid w:val="004E630B"/>
    <w:rsid w:val="004F7313"/>
    <w:rsid w:val="0050728D"/>
    <w:rsid w:val="005158A6"/>
    <w:rsid w:val="0052094C"/>
    <w:rsid w:val="00520D2B"/>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2154"/>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4996"/>
    <w:rsid w:val="00605B67"/>
    <w:rsid w:val="006163B1"/>
    <w:rsid w:val="00616874"/>
    <w:rsid w:val="0062589F"/>
    <w:rsid w:val="00626EA8"/>
    <w:rsid w:val="0062712B"/>
    <w:rsid w:val="00641CEA"/>
    <w:rsid w:val="00647B48"/>
    <w:rsid w:val="0065080E"/>
    <w:rsid w:val="00655229"/>
    <w:rsid w:val="00656B0C"/>
    <w:rsid w:val="0066309A"/>
    <w:rsid w:val="0066627D"/>
    <w:rsid w:val="00681348"/>
    <w:rsid w:val="006832A2"/>
    <w:rsid w:val="00683647"/>
    <w:rsid w:val="00684A20"/>
    <w:rsid w:val="00690EC4"/>
    <w:rsid w:val="006962CB"/>
    <w:rsid w:val="006A0BB0"/>
    <w:rsid w:val="006A7F42"/>
    <w:rsid w:val="006B469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D5DD0"/>
    <w:rsid w:val="007D6187"/>
    <w:rsid w:val="007E3EED"/>
    <w:rsid w:val="007F136D"/>
    <w:rsid w:val="007F60CB"/>
    <w:rsid w:val="00801AAB"/>
    <w:rsid w:val="00804E1F"/>
    <w:rsid w:val="0080773A"/>
    <w:rsid w:val="0081788D"/>
    <w:rsid w:val="00825398"/>
    <w:rsid w:val="008263AE"/>
    <w:rsid w:val="008318C0"/>
    <w:rsid w:val="00831A29"/>
    <w:rsid w:val="00832B61"/>
    <w:rsid w:val="00835A88"/>
    <w:rsid w:val="00842DB1"/>
    <w:rsid w:val="00847A69"/>
    <w:rsid w:val="00856F08"/>
    <w:rsid w:val="008619E1"/>
    <w:rsid w:val="008662F2"/>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C1ED9"/>
    <w:rsid w:val="008C5562"/>
    <w:rsid w:val="008D4634"/>
    <w:rsid w:val="008E4CD7"/>
    <w:rsid w:val="008E58F7"/>
    <w:rsid w:val="008E6EC1"/>
    <w:rsid w:val="008F3677"/>
    <w:rsid w:val="00903815"/>
    <w:rsid w:val="00903C0A"/>
    <w:rsid w:val="009062C4"/>
    <w:rsid w:val="0090723B"/>
    <w:rsid w:val="00910193"/>
    <w:rsid w:val="0092312D"/>
    <w:rsid w:val="00933628"/>
    <w:rsid w:val="00943379"/>
    <w:rsid w:val="009465EA"/>
    <w:rsid w:val="009506DC"/>
    <w:rsid w:val="0095458B"/>
    <w:rsid w:val="009566C4"/>
    <w:rsid w:val="00956DD9"/>
    <w:rsid w:val="009628AE"/>
    <w:rsid w:val="00967A04"/>
    <w:rsid w:val="0097177B"/>
    <w:rsid w:val="00973509"/>
    <w:rsid w:val="00975F36"/>
    <w:rsid w:val="00977BBE"/>
    <w:rsid w:val="00977E7B"/>
    <w:rsid w:val="00986792"/>
    <w:rsid w:val="009871EF"/>
    <w:rsid w:val="00991292"/>
    <w:rsid w:val="00991AEE"/>
    <w:rsid w:val="0099252E"/>
    <w:rsid w:val="00993CBF"/>
    <w:rsid w:val="00997D63"/>
    <w:rsid w:val="009A149B"/>
    <w:rsid w:val="009B33C8"/>
    <w:rsid w:val="009B5D57"/>
    <w:rsid w:val="009B62F0"/>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56E"/>
    <w:rsid w:val="00A81D7B"/>
    <w:rsid w:val="00A87DCB"/>
    <w:rsid w:val="00AA3BEB"/>
    <w:rsid w:val="00AB49A1"/>
    <w:rsid w:val="00AB7BFD"/>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00C5"/>
    <w:rsid w:val="00B725A0"/>
    <w:rsid w:val="00B7491E"/>
    <w:rsid w:val="00B763C4"/>
    <w:rsid w:val="00B91560"/>
    <w:rsid w:val="00B9364B"/>
    <w:rsid w:val="00B95F9A"/>
    <w:rsid w:val="00BA0E21"/>
    <w:rsid w:val="00BA1434"/>
    <w:rsid w:val="00BA3915"/>
    <w:rsid w:val="00BA3AE4"/>
    <w:rsid w:val="00BB3501"/>
    <w:rsid w:val="00BB3A06"/>
    <w:rsid w:val="00BB6A91"/>
    <w:rsid w:val="00BB7A7F"/>
    <w:rsid w:val="00BC3F72"/>
    <w:rsid w:val="00BC64B2"/>
    <w:rsid w:val="00BC662F"/>
    <w:rsid w:val="00BC6FFD"/>
    <w:rsid w:val="00BC778B"/>
    <w:rsid w:val="00BC7AFE"/>
    <w:rsid w:val="00BD1958"/>
    <w:rsid w:val="00BD3CFA"/>
    <w:rsid w:val="00BD73A3"/>
    <w:rsid w:val="00BD7C42"/>
    <w:rsid w:val="00BE2CDD"/>
    <w:rsid w:val="00BE6EA1"/>
    <w:rsid w:val="00BF22CF"/>
    <w:rsid w:val="00BF234E"/>
    <w:rsid w:val="00BF2747"/>
    <w:rsid w:val="00BF2F67"/>
    <w:rsid w:val="00BF5588"/>
    <w:rsid w:val="00BF5F4D"/>
    <w:rsid w:val="00C0244D"/>
    <w:rsid w:val="00C04FAE"/>
    <w:rsid w:val="00C057CB"/>
    <w:rsid w:val="00C12754"/>
    <w:rsid w:val="00C12A2F"/>
    <w:rsid w:val="00C1450B"/>
    <w:rsid w:val="00C148AC"/>
    <w:rsid w:val="00C22765"/>
    <w:rsid w:val="00C22816"/>
    <w:rsid w:val="00C232AD"/>
    <w:rsid w:val="00C234C6"/>
    <w:rsid w:val="00C26806"/>
    <w:rsid w:val="00C2753D"/>
    <w:rsid w:val="00C27E4D"/>
    <w:rsid w:val="00C3318B"/>
    <w:rsid w:val="00C3553B"/>
    <w:rsid w:val="00C44634"/>
    <w:rsid w:val="00C45644"/>
    <w:rsid w:val="00C51B56"/>
    <w:rsid w:val="00C5361C"/>
    <w:rsid w:val="00C53B3E"/>
    <w:rsid w:val="00C61988"/>
    <w:rsid w:val="00C64316"/>
    <w:rsid w:val="00C67F89"/>
    <w:rsid w:val="00C71F74"/>
    <w:rsid w:val="00C72EFF"/>
    <w:rsid w:val="00C73CFC"/>
    <w:rsid w:val="00C7490E"/>
    <w:rsid w:val="00C75104"/>
    <w:rsid w:val="00C81CAD"/>
    <w:rsid w:val="00C84743"/>
    <w:rsid w:val="00C86E10"/>
    <w:rsid w:val="00C9160A"/>
    <w:rsid w:val="00C972C4"/>
    <w:rsid w:val="00CA1FEF"/>
    <w:rsid w:val="00CA25FC"/>
    <w:rsid w:val="00CA469E"/>
    <w:rsid w:val="00CA6A56"/>
    <w:rsid w:val="00CB2CEE"/>
    <w:rsid w:val="00CB4DE3"/>
    <w:rsid w:val="00CC2F35"/>
    <w:rsid w:val="00CC40C3"/>
    <w:rsid w:val="00CD0921"/>
    <w:rsid w:val="00CD42C4"/>
    <w:rsid w:val="00CE1D19"/>
    <w:rsid w:val="00CE43F8"/>
    <w:rsid w:val="00CE7C8B"/>
    <w:rsid w:val="00CF01CC"/>
    <w:rsid w:val="00CF6D5C"/>
    <w:rsid w:val="00D10B1F"/>
    <w:rsid w:val="00D10F13"/>
    <w:rsid w:val="00D11E1F"/>
    <w:rsid w:val="00D13BEE"/>
    <w:rsid w:val="00D20C81"/>
    <w:rsid w:val="00D24E50"/>
    <w:rsid w:val="00D3262F"/>
    <w:rsid w:val="00D35EBE"/>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919AF"/>
    <w:rsid w:val="00D937BD"/>
    <w:rsid w:val="00D96B62"/>
    <w:rsid w:val="00D97661"/>
    <w:rsid w:val="00DA2D7C"/>
    <w:rsid w:val="00DA4768"/>
    <w:rsid w:val="00DB6F0A"/>
    <w:rsid w:val="00DD7BAA"/>
    <w:rsid w:val="00DE0FFA"/>
    <w:rsid w:val="00DE6A70"/>
    <w:rsid w:val="00DF3DF3"/>
    <w:rsid w:val="00DF5AA8"/>
    <w:rsid w:val="00E01195"/>
    <w:rsid w:val="00E0267D"/>
    <w:rsid w:val="00E11D7D"/>
    <w:rsid w:val="00E1254C"/>
    <w:rsid w:val="00E16895"/>
    <w:rsid w:val="00E32614"/>
    <w:rsid w:val="00E33250"/>
    <w:rsid w:val="00E3526B"/>
    <w:rsid w:val="00E5059C"/>
    <w:rsid w:val="00E54C06"/>
    <w:rsid w:val="00E5664A"/>
    <w:rsid w:val="00E65829"/>
    <w:rsid w:val="00E72B23"/>
    <w:rsid w:val="00E7407A"/>
    <w:rsid w:val="00E81A0A"/>
    <w:rsid w:val="00E964F7"/>
    <w:rsid w:val="00EA4B70"/>
    <w:rsid w:val="00EA6F84"/>
    <w:rsid w:val="00EB1F29"/>
    <w:rsid w:val="00EB6EDC"/>
    <w:rsid w:val="00EB7931"/>
    <w:rsid w:val="00EC10BA"/>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469D5"/>
    <w:rsid w:val="00F47FEE"/>
    <w:rsid w:val="00F527B3"/>
    <w:rsid w:val="00F52E00"/>
    <w:rsid w:val="00F60991"/>
    <w:rsid w:val="00F632AF"/>
    <w:rsid w:val="00F6382D"/>
    <w:rsid w:val="00F63F55"/>
    <w:rsid w:val="00F66378"/>
    <w:rsid w:val="00F71C51"/>
    <w:rsid w:val="00F77F4B"/>
    <w:rsid w:val="00F9100C"/>
    <w:rsid w:val="00FA0934"/>
    <w:rsid w:val="00FA0FF1"/>
    <w:rsid w:val="00FA653D"/>
    <w:rsid w:val="00FB23EE"/>
    <w:rsid w:val="00FB4109"/>
    <w:rsid w:val="00FC34DF"/>
    <w:rsid w:val="00FD3BEE"/>
    <w:rsid w:val="00FD658E"/>
    <w:rsid w:val="00FE0C5A"/>
    <w:rsid w:val="00FE13A2"/>
    <w:rsid w:val="059D2439"/>
    <w:rsid w:val="0BB34CA6"/>
    <w:rsid w:val="123B5548"/>
    <w:rsid w:val="151548CB"/>
    <w:rsid w:val="3B310BF4"/>
    <w:rsid w:val="49BF6C12"/>
    <w:rsid w:val="4A7F64C7"/>
    <w:rsid w:val="4AAB214F"/>
    <w:rsid w:val="5B5970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0B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C10BA"/>
    <w:pPr>
      <w:jc w:val="left"/>
    </w:pPr>
  </w:style>
  <w:style w:type="paragraph" w:styleId="a4">
    <w:name w:val="Balloon Text"/>
    <w:basedOn w:val="a"/>
    <w:link w:val="Char0"/>
    <w:uiPriority w:val="99"/>
    <w:semiHidden/>
    <w:unhideWhenUsed/>
    <w:qFormat/>
    <w:rsid w:val="00EC10BA"/>
    <w:rPr>
      <w:sz w:val="18"/>
      <w:szCs w:val="18"/>
    </w:rPr>
  </w:style>
  <w:style w:type="paragraph" w:styleId="a5">
    <w:name w:val="footer"/>
    <w:basedOn w:val="a"/>
    <w:link w:val="Char1"/>
    <w:uiPriority w:val="99"/>
    <w:unhideWhenUsed/>
    <w:qFormat/>
    <w:rsid w:val="00EC10B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C10B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EC10BA"/>
    <w:pPr>
      <w:snapToGrid w:val="0"/>
      <w:jc w:val="left"/>
    </w:pPr>
    <w:rPr>
      <w:sz w:val="18"/>
      <w:szCs w:val="18"/>
    </w:rPr>
  </w:style>
  <w:style w:type="paragraph" w:styleId="a8">
    <w:name w:val="annotation subject"/>
    <w:basedOn w:val="a3"/>
    <w:next w:val="a3"/>
    <w:link w:val="Char4"/>
    <w:uiPriority w:val="99"/>
    <w:semiHidden/>
    <w:unhideWhenUsed/>
    <w:qFormat/>
    <w:rsid w:val="00EC10BA"/>
    <w:rPr>
      <w:b/>
      <w:bCs/>
    </w:rPr>
  </w:style>
  <w:style w:type="table" w:styleId="a9">
    <w:name w:val="Table Grid"/>
    <w:basedOn w:val="a1"/>
    <w:uiPriority w:val="59"/>
    <w:qFormat/>
    <w:rsid w:val="00EC1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EC10BA"/>
    <w:rPr>
      <w:color w:val="0000FF" w:themeColor="hyperlink"/>
      <w:u w:val="single"/>
    </w:rPr>
  </w:style>
  <w:style w:type="character" w:styleId="ab">
    <w:name w:val="annotation reference"/>
    <w:basedOn w:val="a0"/>
    <w:uiPriority w:val="99"/>
    <w:semiHidden/>
    <w:unhideWhenUsed/>
    <w:qFormat/>
    <w:rsid w:val="00EC10BA"/>
    <w:rPr>
      <w:sz w:val="21"/>
      <w:szCs w:val="21"/>
    </w:rPr>
  </w:style>
  <w:style w:type="character" w:styleId="ac">
    <w:name w:val="footnote reference"/>
    <w:basedOn w:val="a0"/>
    <w:uiPriority w:val="99"/>
    <w:semiHidden/>
    <w:unhideWhenUsed/>
    <w:qFormat/>
    <w:rsid w:val="00EC10BA"/>
    <w:rPr>
      <w:vertAlign w:val="superscript"/>
    </w:rPr>
  </w:style>
  <w:style w:type="character" w:customStyle="1" w:styleId="Char2">
    <w:name w:val="页眉 Char"/>
    <w:basedOn w:val="a0"/>
    <w:link w:val="a6"/>
    <w:uiPriority w:val="99"/>
    <w:qFormat/>
    <w:rsid w:val="00EC10BA"/>
    <w:rPr>
      <w:sz w:val="18"/>
      <w:szCs w:val="18"/>
    </w:rPr>
  </w:style>
  <w:style w:type="character" w:customStyle="1" w:styleId="Char1">
    <w:name w:val="页脚 Char"/>
    <w:basedOn w:val="a0"/>
    <w:link w:val="a5"/>
    <w:uiPriority w:val="99"/>
    <w:qFormat/>
    <w:rsid w:val="00EC10BA"/>
    <w:rPr>
      <w:sz w:val="18"/>
      <w:szCs w:val="18"/>
    </w:rPr>
  </w:style>
  <w:style w:type="paragraph" w:styleId="ad">
    <w:name w:val="List Paragraph"/>
    <w:basedOn w:val="a"/>
    <w:uiPriority w:val="34"/>
    <w:qFormat/>
    <w:rsid w:val="00EC10BA"/>
    <w:pPr>
      <w:ind w:firstLineChars="200" w:firstLine="420"/>
    </w:pPr>
  </w:style>
  <w:style w:type="character" w:customStyle="1" w:styleId="Char0">
    <w:name w:val="批注框文本 Char"/>
    <w:basedOn w:val="a0"/>
    <w:link w:val="a4"/>
    <w:uiPriority w:val="99"/>
    <w:semiHidden/>
    <w:qFormat/>
    <w:rsid w:val="00EC10BA"/>
    <w:rPr>
      <w:sz w:val="18"/>
      <w:szCs w:val="18"/>
    </w:rPr>
  </w:style>
  <w:style w:type="character" w:customStyle="1" w:styleId="Char">
    <w:name w:val="批注文字 Char"/>
    <w:basedOn w:val="a0"/>
    <w:link w:val="a3"/>
    <w:uiPriority w:val="99"/>
    <w:semiHidden/>
    <w:qFormat/>
    <w:rsid w:val="00EC10BA"/>
  </w:style>
  <w:style w:type="character" w:customStyle="1" w:styleId="Char4">
    <w:name w:val="批注主题 Char"/>
    <w:basedOn w:val="Char"/>
    <w:link w:val="a8"/>
    <w:uiPriority w:val="99"/>
    <w:semiHidden/>
    <w:qFormat/>
    <w:rsid w:val="00EC10BA"/>
    <w:rPr>
      <w:b/>
      <w:bCs/>
    </w:rPr>
  </w:style>
  <w:style w:type="character" w:customStyle="1" w:styleId="Char3">
    <w:name w:val="脚注文本 Char"/>
    <w:basedOn w:val="a0"/>
    <w:link w:val="a7"/>
    <w:uiPriority w:val="99"/>
    <w:semiHidden/>
    <w:qFormat/>
    <w:rsid w:val="00EC10BA"/>
    <w:rPr>
      <w:sz w:val="18"/>
      <w:szCs w:val="18"/>
    </w:rPr>
  </w:style>
  <w:style w:type="paragraph" w:customStyle="1" w:styleId="1">
    <w:name w:val="修订1"/>
    <w:hidden/>
    <w:uiPriority w:val="99"/>
    <w:semiHidden/>
    <w:qFormat/>
    <w:rsid w:val="00EC10B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s://fund.ping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17D80-C6EC-4F52-BE57-613A0B90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2511</Characters>
  <Application>Microsoft Office Word</Application>
  <DocSecurity>4</DocSecurity>
  <Lines>20</Lines>
  <Paragraphs>5</Paragraphs>
  <ScaleCrop>false</ScaleCrop>
  <Company>PAIG</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2026-03-29T16:01:00Z</dcterms:created>
  <dcterms:modified xsi:type="dcterms:W3CDTF">2026-03-29T16:01:00Z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087C8413E71542D397430F1E5EA67FFB_13</vt:lpwstr>
  </property>
</Properties>
</file>