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70F6" w:rsidRDefault="00760783">
      <w:pPr>
        <w:jc w:val="center"/>
      </w:pPr>
      <w:bookmarkStart w:id="0" w:name="_Toc510201001"/>
      <w:bookmarkEnd w:id="0"/>
      <w:r w:rsidRPr="00760783">
        <w:rPr>
          <w:rFonts w:hint="eastAsia"/>
          <w:b/>
          <w:bCs/>
          <w:sz w:val="32"/>
        </w:rPr>
        <w:t>摩根恒生生物科技交易型开放式指数证券投资基金</w:t>
      </w:r>
      <w:r>
        <w:rPr>
          <w:rFonts w:hint="eastAsia"/>
          <w:b/>
          <w:bCs/>
          <w:sz w:val="32"/>
        </w:rPr>
        <w:t>关于</w:t>
      </w:r>
      <w:r w:rsidR="009570F6">
        <w:rPr>
          <w:rFonts w:hint="eastAsia"/>
          <w:b/>
          <w:bCs/>
          <w:sz w:val="32"/>
        </w:rPr>
        <w:t>2026</w:t>
      </w:r>
      <w:r w:rsidR="00BF782D">
        <w:rPr>
          <w:rFonts w:hint="eastAsia"/>
          <w:b/>
          <w:bCs/>
          <w:sz w:val="32"/>
        </w:rPr>
        <w:t>年</w:t>
      </w:r>
      <w:r w:rsidR="009570F6">
        <w:rPr>
          <w:rFonts w:hint="eastAsia"/>
          <w:b/>
          <w:bCs/>
          <w:sz w:val="32"/>
        </w:rPr>
        <w:t>非港股通交易日暂停申购</w:t>
      </w:r>
      <w:r>
        <w:rPr>
          <w:rFonts w:hint="eastAsia"/>
          <w:b/>
          <w:bCs/>
          <w:sz w:val="32"/>
        </w:rPr>
        <w:t>和</w:t>
      </w:r>
      <w:r w:rsidR="009570F6">
        <w:rPr>
          <w:rFonts w:hint="eastAsia"/>
          <w:b/>
          <w:bCs/>
          <w:sz w:val="32"/>
        </w:rPr>
        <w:t>赎回业务的公告</w:t>
      </w:r>
    </w:p>
    <w:p w:rsidR="009570F6" w:rsidRDefault="009570F6">
      <w:pPr>
        <w:spacing w:line="360" w:lineRule="auto"/>
        <w:jc w:val="right"/>
        <w:rPr>
          <w:sz w:val="20"/>
        </w:rPr>
      </w:pPr>
      <w:bookmarkStart w:id="1" w:name="m201_01"/>
      <w:r>
        <w:rPr>
          <w:rFonts w:hint="eastAsia"/>
          <w:sz w:val="20"/>
        </w:rPr>
        <w:t xml:space="preserve">　 </w:t>
      </w:r>
    </w:p>
    <w:p w:rsidR="009570F6" w:rsidRDefault="00760783" w:rsidP="00577663">
      <w:pPr>
        <w:spacing w:line="360" w:lineRule="auto"/>
        <w:ind w:firstLineChars="200" w:firstLine="480"/>
      </w:pPr>
      <w:bookmarkStart w:id="2" w:name="m08QD_01"/>
      <w:bookmarkStart w:id="3" w:name="m504"/>
      <w:bookmarkStart w:id="4" w:name="_Toc438646470"/>
      <w:bookmarkStart w:id="5" w:name="m502"/>
      <w:bookmarkStart w:id="6" w:name="m201"/>
      <w:bookmarkStart w:id="7" w:name="_Toc194311890"/>
      <w:r w:rsidRPr="009A5693">
        <w:rPr>
          <w:rFonts w:hint="eastAsia"/>
          <w:sz w:val="24"/>
          <w:szCs w:val="21"/>
        </w:rPr>
        <w:t>根据</w:t>
      </w:r>
      <w:r>
        <w:rPr>
          <w:rFonts w:hint="eastAsia"/>
          <w:sz w:val="24"/>
        </w:rPr>
        <w:t>《</w:t>
      </w:r>
      <w:r w:rsidRPr="00760783">
        <w:rPr>
          <w:rFonts w:hint="eastAsia"/>
          <w:sz w:val="24"/>
        </w:rPr>
        <w:t>摩根恒生生物科技交易型开放式指数证券投资基金</w:t>
      </w:r>
      <w:r>
        <w:rPr>
          <w:rFonts w:hint="eastAsia"/>
          <w:sz w:val="24"/>
        </w:rPr>
        <w:t>基金合同》以及《</w:t>
      </w:r>
      <w:r w:rsidRPr="00760783">
        <w:rPr>
          <w:rFonts w:hint="eastAsia"/>
          <w:sz w:val="24"/>
        </w:rPr>
        <w:t>摩根恒生生物科技交易型开放式指数证券投资基金</w:t>
      </w:r>
      <w:r w:rsidR="009570F6">
        <w:rPr>
          <w:rFonts w:hint="eastAsia"/>
          <w:sz w:val="24"/>
        </w:rPr>
        <w:t>招募说明书</w:t>
      </w:r>
      <w:r>
        <w:rPr>
          <w:rFonts w:hint="eastAsia"/>
          <w:sz w:val="24"/>
        </w:rPr>
        <w:t>》</w:t>
      </w:r>
      <w:r w:rsidR="009570F6">
        <w:rPr>
          <w:rFonts w:hint="eastAsia"/>
          <w:sz w:val="24"/>
        </w:rPr>
        <w:t>相关规定，</w:t>
      </w:r>
      <w:r w:rsidRPr="00760783">
        <w:rPr>
          <w:rFonts w:hint="eastAsia"/>
          <w:sz w:val="24"/>
        </w:rPr>
        <w:t>摩根恒生生物科技交易型开放式指数证券投资基金</w:t>
      </w:r>
      <w:r>
        <w:rPr>
          <w:rFonts w:hint="eastAsia"/>
          <w:sz w:val="24"/>
        </w:rPr>
        <w:t>（</w:t>
      </w:r>
      <w:r w:rsidRPr="009A5693">
        <w:rPr>
          <w:rFonts w:hint="eastAsia"/>
          <w:sz w:val="24"/>
          <w:szCs w:val="21"/>
        </w:rPr>
        <w:t>以下简称“</w:t>
      </w:r>
      <w:r w:rsidRPr="00577663">
        <w:rPr>
          <w:rFonts w:hint="eastAsia"/>
          <w:bCs/>
          <w:sz w:val="24"/>
          <w:szCs w:val="21"/>
        </w:rPr>
        <w:t>本基金</w:t>
      </w:r>
      <w:r w:rsidRPr="009A5693">
        <w:rPr>
          <w:rFonts w:hint="eastAsia"/>
          <w:sz w:val="24"/>
          <w:szCs w:val="21"/>
        </w:rPr>
        <w:t>”</w:t>
      </w:r>
      <w:r>
        <w:rPr>
          <w:rFonts w:hint="eastAsia"/>
          <w:sz w:val="24"/>
        </w:rPr>
        <w:t>）</w:t>
      </w:r>
      <w:r w:rsidR="009570F6">
        <w:rPr>
          <w:rFonts w:hint="eastAsia"/>
          <w:sz w:val="24"/>
        </w:rPr>
        <w:t>办理申购、赎回的开放日</w:t>
      </w:r>
      <w:r w:rsidRPr="00760783">
        <w:rPr>
          <w:rFonts w:hint="eastAsia"/>
          <w:sz w:val="24"/>
        </w:rPr>
        <w:t>为上海证券交易所、深圳证券交易所及相关期货交易所的正常交易日（若该交易日为非港股通交易日，则本基金不开放），但基金管理人根据法律法规、中国证监会的要求或基金合同的规定公告暂停申购、赎回时除外。</w:t>
      </w:r>
      <w:r w:rsidR="009570F6">
        <w:rPr>
          <w:rFonts w:hint="eastAsia"/>
          <w:sz w:val="24"/>
        </w:rPr>
        <w:br/>
        <w:t xml:space="preserve">　　</w:t>
      </w:r>
      <w:r>
        <w:rPr>
          <w:rFonts w:hint="eastAsia"/>
          <w:sz w:val="24"/>
        </w:rPr>
        <w:t>根据上海证券交易所《关于2026年沪港通下港股通交易日安排的通知》、深圳证券交易所《关于2026年深港通下的港股通交易日有关安排的通知》，</w:t>
      </w:r>
      <w:r w:rsidR="009570F6">
        <w:rPr>
          <w:rFonts w:hint="eastAsia"/>
          <w:sz w:val="24"/>
        </w:rPr>
        <w:t>为保障基金平稳运作，维护基金份额持有人利益，</w:t>
      </w:r>
      <w:r>
        <w:rPr>
          <w:rFonts w:hint="eastAsia"/>
          <w:sz w:val="24"/>
        </w:rPr>
        <w:t>摩根基金管理（中国）有限公司（以下简称“本公司”）</w:t>
      </w:r>
      <w:r w:rsidR="009570F6">
        <w:rPr>
          <w:rFonts w:hint="eastAsia"/>
          <w:sz w:val="24"/>
        </w:rPr>
        <w:t>决定在下列2026年非港股通交易日暂停本基金的申购</w:t>
      </w:r>
      <w:r>
        <w:rPr>
          <w:rFonts w:hint="eastAsia"/>
          <w:sz w:val="24"/>
        </w:rPr>
        <w:t>和</w:t>
      </w:r>
      <w:r w:rsidR="009570F6">
        <w:rPr>
          <w:rFonts w:hint="eastAsia"/>
          <w:sz w:val="24"/>
        </w:rPr>
        <w:t>赎回业务，并自下列非港股通交易日结束后的首个开放日恢复</w:t>
      </w:r>
      <w:r>
        <w:rPr>
          <w:rFonts w:hint="eastAsia"/>
          <w:sz w:val="24"/>
        </w:rPr>
        <w:t>本</w:t>
      </w:r>
      <w:r w:rsidR="009570F6">
        <w:rPr>
          <w:rFonts w:hint="eastAsia"/>
          <w:sz w:val="24"/>
        </w:rPr>
        <w:t>基金的上述业务，届时不再另行公告。</w:t>
      </w:r>
      <w:bookmarkStart w:id="8" w:name="_Toc34841028"/>
      <w:bookmarkStart w:id="9" w:name="_Toc17898178"/>
      <w:bookmarkStart w:id="10" w:name="_Toc17897936"/>
      <w:bookmarkStart w:id="11" w:name="_Toc512519480"/>
      <w:bookmarkStart w:id="12" w:name="_Toc481075046"/>
      <w:bookmarkStart w:id="13" w:name="_Toc438646451"/>
      <w:bookmarkStart w:id="14" w:name="_Toc490050000"/>
      <w:bookmarkStart w:id="15" w:name="_Toc513295846"/>
      <w:bookmarkStart w:id="16" w:name="_Toc513295892"/>
      <w:bookmarkStart w:id="17" w:name="_Toc34758519"/>
      <w:bookmarkStart w:id="18" w:name="m101"/>
      <w:bookmarkStart w:id="19" w:name="m01_01"/>
    </w:p>
    <w:p w:rsidR="009570F6" w:rsidRDefault="009570F6" w:rsidP="00577663">
      <w:r>
        <w:rPr>
          <w:rFonts w:hint="eastAsia"/>
        </w:rPr>
        <w:t xml:space="preserve">　</w:t>
      </w:r>
      <w:bookmarkStart w:id="20" w:name="_Toc37433212"/>
      <w:bookmarkStart w:id="21" w:name="_Toc53646318"/>
      <w:bookmarkStart w:id="22" w:name="_Toc34758521"/>
      <w:bookmarkStart w:id="23" w:name="_Toc34841030"/>
      <w:bookmarkStart w:id="24" w:name="_Toc17898179"/>
      <w:bookmarkStart w:id="25" w:name="_Toc17897937"/>
      <w:bookmarkStart w:id="26" w:name="_Toc512519481"/>
      <w:bookmarkStart w:id="27" w:name="_Toc481075047"/>
      <w:bookmarkStart w:id="28" w:name="_Toc438646452"/>
      <w:bookmarkStart w:id="29" w:name="_Toc490050001"/>
      <w:bookmarkStart w:id="30" w:name="_Toc513295847"/>
      <w:bookmarkStart w:id="31" w:name="_Toc513295893"/>
      <w:bookmarkStart w:id="32" w:name="m07_04_13_00"/>
      <w:bookmarkStart w:id="33" w:name="m07_04_07_09_tab"/>
      <w:bookmarkStart w:id="34" w:name="m07_04_07_09"/>
      <w:bookmarkStart w:id="35" w:name="_Toc17898180"/>
      <w:bookmarkStart w:id="36" w:name="_Toc17897938"/>
      <w:bookmarkStart w:id="37" w:name="_Toc512519482"/>
      <w:bookmarkStart w:id="38" w:name="_Toc481075049"/>
      <w:bookmarkStart w:id="39" w:name="_Toc438646455"/>
      <w:bookmarkStart w:id="40" w:name="_Toc490050003"/>
      <w:bookmarkStart w:id="41" w:name="_Toc513295848"/>
      <w:bookmarkStart w:id="42" w:name="_Toc513295894"/>
      <w:bookmarkStart w:id="43" w:name="m401_tab"/>
      <w:bookmarkStart w:id="44" w:name="m401"/>
      <w:bookmarkEnd w:id="20"/>
      <w:bookmarkEnd w:id="21"/>
      <w:r>
        <w:rPr>
          <w:rFonts w:hint="eastAsia"/>
        </w:rPr>
        <w:t xml:space="preserve"> </w:t>
      </w:r>
    </w:p>
    <w:tbl>
      <w:tblPr>
        <w:tblStyle w:val="af8"/>
        <w:tblW w:w="5000" w:type="pct"/>
        <w:tblInd w:w="0" w:type="dxa"/>
        <w:tblLook w:val="04A0"/>
      </w:tblPr>
      <w:tblGrid>
        <w:gridCol w:w="5277"/>
        <w:gridCol w:w="3784"/>
      </w:tblGrid>
      <w:tr w:rsidR="00886DC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Default="009570F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节假日名称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Default="009570F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日期 </w:t>
            </w:r>
          </w:p>
        </w:tc>
      </w:tr>
      <w:tr w:rsidR="00886DC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Default="009570F6">
            <w:r>
              <w:rPr>
                <w:rFonts w:hint="eastAsia"/>
                <w:sz w:val="24"/>
                <w:szCs w:val="24"/>
              </w:rPr>
              <w:t>香港耶稣受难节、清明节、复活</w:t>
            </w:r>
            <w:r w:rsidR="00E6630E" w:rsidRPr="00E6630E">
              <w:rPr>
                <w:sz w:val="24"/>
                <w:szCs w:val="24"/>
              </w:rPr>
              <w:t>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Default="009570F6">
            <w:r>
              <w:rPr>
                <w:rStyle w:val="spelle"/>
                <w:rFonts w:hint="eastAsia"/>
                <w:sz w:val="24"/>
                <w:szCs w:val="24"/>
              </w:rPr>
              <w:t>4月3日、4月7日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86DC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Default="009570F6">
            <w:r>
              <w:rPr>
                <w:rFonts w:hint="eastAsia"/>
                <w:sz w:val="24"/>
                <w:szCs w:val="24"/>
              </w:rPr>
              <w:t>香港佛诞日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Default="009570F6">
            <w:r>
              <w:rPr>
                <w:rStyle w:val="spelle"/>
                <w:rFonts w:hint="eastAsia"/>
                <w:sz w:val="24"/>
                <w:szCs w:val="24"/>
              </w:rPr>
              <w:t>5月25日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86DC8" w:rsidRPr="00144A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Pr="00144A4E" w:rsidRDefault="009570F6">
            <w:r w:rsidRPr="00144A4E">
              <w:rPr>
                <w:rFonts w:hint="eastAsia"/>
                <w:sz w:val="24"/>
                <w:szCs w:val="24"/>
              </w:rPr>
              <w:t>香港特别行政区成立纪念日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Pr="00144A4E" w:rsidRDefault="009570F6">
            <w:r w:rsidRPr="00144A4E">
              <w:rPr>
                <w:rStyle w:val="spelle"/>
                <w:rFonts w:hint="eastAsia"/>
                <w:sz w:val="24"/>
                <w:szCs w:val="24"/>
              </w:rPr>
              <w:t>7月1日</w:t>
            </w:r>
            <w:r w:rsidRPr="00144A4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86DC8" w:rsidRPr="00144A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Pr="00144A4E" w:rsidRDefault="009570F6">
            <w:r w:rsidRPr="00144A4E">
              <w:rPr>
                <w:rFonts w:hint="eastAsia"/>
                <w:sz w:val="24"/>
                <w:szCs w:val="24"/>
              </w:rPr>
              <w:t>香港重阳节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Pr="00144A4E" w:rsidRDefault="009570F6">
            <w:r w:rsidRPr="00144A4E">
              <w:rPr>
                <w:rStyle w:val="spelle"/>
                <w:rFonts w:hint="eastAsia"/>
                <w:sz w:val="24"/>
                <w:szCs w:val="24"/>
              </w:rPr>
              <w:t>10月19日</w:t>
            </w:r>
            <w:r w:rsidRPr="00144A4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86DC8" w:rsidRPr="00144A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Pr="00144A4E" w:rsidRDefault="009570F6">
            <w:r w:rsidRPr="00144A4E">
              <w:rPr>
                <w:rFonts w:hint="eastAsia"/>
                <w:sz w:val="24"/>
                <w:szCs w:val="24"/>
              </w:rPr>
              <w:t>香港圣诞节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Pr="00144A4E" w:rsidRDefault="009570F6">
            <w:r w:rsidRPr="00144A4E">
              <w:rPr>
                <w:rStyle w:val="spelle"/>
                <w:rFonts w:hint="eastAsia"/>
                <w:sz w:val="24"/>
                <w:szCs w:val="24"/>
              </w:rPr>
              <w:t>12月24日、12月25日</w:t>
            </w:r>
            <w:r w:rsidRPr="00144A4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86DC8" w:rsidRPr="00144A4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Pr="00144A4E" w:rsidRDefault="009570F6">
            <w:r w:rsidRPr="00144A4E">
              <w:rPr>
                <w:rFonts w:hint="eastAsia"/>
                <w:sz w:val="24"/>
                <w:szCs w:val="24"/>
              </w:rPr>
              <w:t>香港新年前夕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6" w:rsidRPr="00144A4E" w:rsidRDefault="009570F6">
            <w:r w:rsidRPr="00144A4E">
              <w:rPr>
                <w:rStyle w:val="spelle"/>
                <w:rFonts w:hint="eastAsia"/>
                <w:sz w:val="24"/>
                <w:szCs w:val="24"/>
              </w:rPr>
              <w:t>12月31日</w:t>
            </w:r>
            <w:r w:rsidRPr="00144A4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9570F6" w:rsidRDefault="009570F6">
      <w:r w:rsidRPr="00144A4E">
        <w:rPr>
          <w:rFonts w:hint="eastAsia"/>
          <w:sz w:val="24"/>
          <w:szCs w:val="24"/>
        </w:rPr>
        <w:t>特别提示：</w:t>
      </w:r>
      <w:r>
        <w:rPr>
          <w:rFonts w:hint="eastAsia"/>
          <w:sz w:val="24"/>
          <w:szCs w:val="24"/>
        </w:rPr>
        <w:t xml:space="preserve"> </w:t>
      </w:r>
    </w:p>
    <w:p w:rsidR="009570F6" w:rsidRDefault="009570F6">
      <w:pPr>
        <w:spacing w:line="360" w:lineRule="auto"/>
      </w:pPr>
      <w:r>
        <w:rPr>
          <w:rFonts w:hint="eastAsia"/>
          <w:sz w:val="24"/>
          <w:szCs w:val="24"/>
        </w:rPr>
        <w:t xml:space="preserve">　　1、上述日期已剔除和上海证券交易所、深圳证券交易所休市日重合的日期。</w:t>
      </w:r>
      <w:r>
        <w:rPr>
          <w:rFonts w:hint="eastAsia"/>
          <w:sz w:val="24"/>
          <w:szCs w:val="24"/>
        </w:rPr>
        <w:br/>
        <w:t xml:space="preserve">　　2、如遇因其他原因暂停申购、赎回或有其他交易状态限制的，具体业务办理以相关公告为准。</w:t>
      </w:r>
      <w:r>
        <w:rPr>
          <w:rFonts w:hint="eastAsia"/>
          <w:sz w:val="24"/>
          <w:szCs w:val="24"/>
        </w:rPr>
        <w:br/>
        <w:t xml:space="preserve">　　3、若非港股通交易日安排发生变化或将来根据法律法规和</w:t>
      </w:r>
      <w:r w:rsidR="00760783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>基金基金合同的约定需要调整上述安排的，本公司将另行调整并公告。</w:t>
      </w:r>
      <w:r>
        <w:rPr>
          <w:rFonts w:hint="eastAsia"/>
          <w:sz w:val="24"/>
          <w:szCs w:val="24"/>
        </w:rPr>
        <w:br/>
        <w:t xml:space="preserve">　　投资者可登录本公司网站(am.jpmorgan.com/cn)或拨打客户服务电话400-889-4888咨询相关信息。</w:t>
      </w:r>
      <w:r>
        <w:rPr>
          <w:rFonts w:hint="eastAsia"/>
          <w:sz w:val="24"/>
          <w:szCs w:val="24"/>
        </w:rPr>
        <w:br/>
        <w:t xml:space="preserve">　　敬请投资者及早做好交易安排，避免因假期原因带来不便</w:t>
      </w:r>
    </w:p>
    <w:p w:rsidR="009570F6" w:rsidRDefault="009570F6">
      <w:pPr>
        <w:pStyle w:val="XBRLTitle1"/>
        <w:numPr>
          <w:ilvl w:val="0"/>
          <w:numId w:val="0"/>
        </w:numPr>
        <w:spacing w:before="156" w:line="360" w:lineRule="auto"/>
        <w:ind w:left="425"/>
      </w:pPr>
      <w:bookmarkStart w:id="45" w:name="_Toc206170927"/>
      <w:bookmarkStart w:id="46" w:name="_Toc34758522"/>
      <w:bookmarkStart w:id="47" w:name="_Toc513295895"/>
      <w:bookmarkStart w:id="48" w:name="_Toc513295849"/>
      <w:bookmarkStart w:id="49" w:name="_Toc490050004"/>
      <w:bookmarkStart w:id="50" w:name="_Toc438646456"/>
      <w:bookmarkStart w:id="51" w:name="_Toc481075050"/>
      <w:bookmarkStart w:id="52" w:name="_Toc512519483"/>
      <w:bookmarkStart w:id="53" w:name="_Toc17897939"/>
      <w:bookmarkStart w:id="54" w:name="_Toc17898181"/>
      <w:bookmarkStart w:id="55" w:name="_Toc34841031"/>
      <w:bookmarkStart w:id="56" w:name="_Toc512519484"/>
      <w:bookmarkStart w:id="57" w:name="_Toc481075051"/>
      <w:bookmarkStart w:id="58" w:name="_Toc438646457"/>
      <w:bookmarkStart w:id="59" w:name="_Toc490050005"/>
      <w:bookmarkStart w:id="60" w:name="_Toc513465658"/>
      <w:bookmarkStart w:id="61" w:name="m03_03"/>
      <w:bookmarkStart w:id="62" w:name="_Toc454983260"/>
      <w:bookmarkStart w:id="63" w:name="_Toc452398732"/>
      <w:bookmarkStart w:id="64" w:name="_Toc453852604"/>
      <w:bookmarkStart w:id="65" w:name="_Toc485300223"/>
      <w:bookmarkStart w:id="66" w:name="_Toc244948694"/>
      <w:bookmarkStart w:id="67" w:name="_Toc245003735"/>
      <w:bookmarkStart w:id="68" w:name="_Toc247616208"/>
      <w:bookmarkStart w:id="69" w:name="_Toc433036679"/>
      <w:bookmarkStart w:id="70" w:name="_Toc506208214"/>
      <w:bookmarkStart w:id="71" w:name="_Toc497398101"/>
      <w:bookmarkStart w:id="72" w:name="_Toc17897941"/>
      <w:bookmarkStart w:id="73" w:name="_Toc17898185"/>
      <w:bookmarkStart w:id="74" w:name="_Toc512519486"/>
      <w:bookmarkStart w:id="75" w:name="_Toc481075053"/>
      <w:bookmarkStart w:id="76" w:name="_Toc490050007"/>
      <w:bookmarkStart w:id="77" w:name="_Toc512519485"/>
      <w:bookmarkStart w:id="78" w:name="_Toc481075052"/>
      <w:bookmarkStart w:id="79" w:name="_Toc490050006"/>
      <w:bookmarkStart w:id="80" w:name="m501"/>
      <w:bookmarkStart w:id="81" w:name="_Toc374332121"/>
      <w:bookmarkStart w:id="82" w:name="_Toc53646320"/>
      <w:bookmarkStart w:id="83" w:name="_Toc206170928"/>
      <w:bookmarkStart w:id="84" w:name="_Toc206178821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22"/>
      <w:bookmarkEnd w:id="2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>
        <w:rPr>
          <w:rFonts w:hAnsi="宋体" w:hint="eastAsia"/>
        </w:rPr>
        <w:t>风险提示：</w:t>
      </w:r>
      <w:bookmarkEnd w:id="2"/>
      <w:bookmarkEnd w:id="3"/>
      <w:bookmarkEnd w:id="4"/>
      <w:bookmarkEnd w:id="5"/>
      <w:bookmarkEnd w:id="83"/>
      <w:bookmarkEnd w:id="84"/>
      <w:r>
        <w:rPr>
          <w:rFonts w:hAnsi="宋体" w:hint="eastAsia"/>
        </w:rPr>
        <w:t xml:space="preserve"> </w:t>
      </w:r>
    </w:p>
    <w:p w:rsidR="009570F6" w:rsidRDefault="00577663">
      <w:pPr>
        <w:spacing w:line="360" w:lineRule="auto"/>
        <w:ind w:firstLineChars="200" w:firstLine="480"/>
      </w:pPr>
      <w:r w:rsidRPr="00577663">
        <w:rPr>
          <w:rFonts w:hint="eastAsia"/>
          <w:sz w:val="24"/>
        </w:rPr>
        <w:lastRenderedPageBreak/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和基金产品资料概要等基金法律文件，全面认识基金产品的风险收益特征，在了解产品情况及销售机构适当性意见的基础上，根据自身的风险承受能力、投资期限和投资目标，对基金投资作出独立决策，选择适合的基金产品。基金管理人提醒投资者基金投资的“买者自负”原则，在投资者作出投资决策后，基金运营状况与基金净值变化引致的投资风险，由投资者自行负责。</w:t>
      </w:r>
      <w:r w:rsidR="009570F6">
        <w:rPr>
          <w:rFonts w:hint="eastAsia"/>
          <w:sz w:val="24"/>
        </w:rPr>
        <w:br/>
        <w:t xml:space="preserve">　　特此公告。</w:t>
      </w:r>
    </w:p>
    <w:p w:rsidR="009570F6" w:rsidRDefault="009D7009">
      <w:pPr>
        <w:pStyle w:val="11"/>
        <w:tabs>
          <w:tab w:val="clear" w:pos="1065"/>
        </w:tabs>
        <w:divId w:val="291137404"/>
        <w:rPr>
          <w:vanish/>
        </w:rPr>
      </w:pPr>
      <w:hyperlink w:anchor="_Toc510201001" w:history="1">
        <w:r w:rsidR="009570F6">
          <w:rPr>
            <w:rStyle w:val="a3"/>
            <w:rFonts w:hint="eastAsia"/>
            <w:vanish/>
          </w:rPr>
          <w:t>0、公告标题</w:t>
        </w:r>
      </w:hyperlink>
      <w:r w:rsidR="009570F6">
        <w:rPr>
          <w:rFonts w:asciiTheme="minorHAnsi" w:eastAsiaTheme="minorEastAsia" w:hAnsiTheme="minorHAnsi" w:cstheme="minorBidi"/>
          <w:vanish/>
          <w:szCs w:val="22"/>
        </w:rPr>
        <w:t xml:space="preserve"> </w:t>
      </w:r>
    </w:p>
    <w:p w:rsidR="009570F6" w:rsidRDefault="009D7009">
      <w:pPr>
        <w:pStyle w:val="11"/>
        <w:jc w:val="left"/>
        <w:divId w:val="291137404"/>
        <w:rPr>
          <w:vanish/>
        </w:rPr>
      </w:pPr>
      <w:hyperlink w:anchor="_Toc206178819" w:history="1">
        <w:r w:rsidR="009570F6">
          <w:rPr>
            <w:rStyle w:val="a3"/>
            <w:rFonts w:hint="eastAsia"/>
            <w:vanish/>
          </w:rPr>
          <w:t>一、适用基金</w:t>
        </w:r>
      </w:hyperlink>
      <w:r w:rsidR="009570F6">
        <w:rPr>
          <w:rFonts w:asciiTheme="minorHAnsi" w:eastAsiaTheme="minorEastAsia" w:hAnsiTheme="minorHAnsi" w:cstheme="minorBidi"/>
          <w:vanish/>
          <w:szCs w:val="22"/>
        </w:rPr>
        <w:t xml:space="preserve"> </w:t>
      </w:r>
    </w:p>
    <w:p w:rsidR="009570F6" w:rsidRDefault="009D7009">
      <w:pPr>
        <w:pStyle w:val="11"/>
        <w:jc w:val="left"/>
        <w:divId w:val="291137404"/>
        <w:rPr>
          <w:vanish/>
        </w:rPr>
      </w:pPr>
      <w:hyperlink w:anchor="_Toc206178820" w:history="1">
        <w:r w:rsidR="009570F6">
          <w:rPr>
            <w:rStyle w:val="a3"/>
            <w:rFonts w:hint="eastAsia"/>
            <w:vanish/>
          </w:rPr>
          <w:t>二、2025年非港股通交易日</w:t>
        </w:r>
      </w:hyperlink>
      <w:r w:rsidR="009570F6">
        <w:rPr>
          <w:rFonts w:asciiTheme="minorHAnsi" w:eastAsiaTheme="minorEastAsia" w:hAnsiTheme="minorHAnsi" w:cstheme="minorBidi"/>
          <w:vanish/>
          <w:szCs w:val="22"/>
        </w:rPr>
        <w:t xml:space="preserve"> </w:t>
      </w:r>
    </w:p>
    <w:p w:rsidR="009570F6" w:rsidRDefault="009D7009">
      <w:pPr>
        <w:pStyle w:val="11"/>
        <w:jc w:val="left"/>
        <w:divId w:val="291137404"/>
        <w:rPr>
          <w:vanish/>
        </w:rPr>
      </w:pPr>
      <w:hyperlink w:anchor="_Toc206178821" w:history="1">
        <w:r w:rsidR="009570F6">
          <w:rPr>
            <w:rStyle w:val="a3"/>
            <w:rFonts w:hint="eastAsia"/>
            <w:vanish/>
          </w:rPr>
          <w:t>风险提示：</w:t>
        </w:r>
      </w:hyperlink>
      <w:r w:rsidR="009570F6">
        <w:rPr>
          <w:rFonts w:asciiTheme="minorHAnsi" w:eastAsiaTheme="minorEastAsia" w:hAnsiTheme="minorHAnsi" w:cstheme="minorBidi"/>
          <w:vanish/>
          <w:szCs w:val="22"/>
        </w:rPr>
        <w:t xml:space="preserve"> </w:t>
      </w:r>
    </w:p>
    <w:p w:rsidR="009570F6" w:rsidRDefault="009570F6">
      <w:pPr>
        <w:spacing w:line="360" w:lineRule="auto"/>
        <w:jc w:val="right"/>
        <w:rPr>
          <w:sz w:val="20"/>
        </w:rPr>
      </w:pPr>
      <w:r>
        <w:rPr>
          <w:rFonts w:hint="eastAsia"/>
          <w:sz w:val="20"/>
        </w:rPr>
        <w:t xml:space="preserve">　 </w:t>
      </w:r>
    </w:p>
    <w:p w:rsidR="009570F6" w:rsidRDefault="009570F6">
      <w:pPr>
        <w:spacing w:line="360" w:lineRule="auto"/>
        <w:ind w:firstLineChars="200" w:firstLine="420"/>
        <w:jc w:val="right"/>
      </w:pPr>
      <w:r>
        <w:rPr>
          <w:rFonts w:hint="eastAsia"/>
          <w:lang/>
        </w:rPr>
        <w:t xml:space="preserve"> </w:t>
      </w:r>
      <w:bookmarkEnd w:id="1"/>
      <w:bookmarkEnd w:id="6"/>
      <w:bookmarkEnd w:id="7"/>
      <w:bookmarkEnd w:id="18"/>
      <w:bookmarkEnd w:id="19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>
          <w:rFonts w:hint="eastAsia"/>
          <w:b/>
          <w:sz w:val="24"/>
          <w:szCs w:val="24"/>
        </w:rPr>
        <w:t>摩根基金管理（中国）有限公司</w:t>
      </w:r>
    </w:p>
    <w:p w:rsidR="009570F6" w:rsidRDefault="00D6496C">
      <w:pPr>
        <w:spacing w:line="360" w:lineRule="auto"/>
        <w:ind w:firstLineChars="200" w:firstLine="482"/>
        <w:jc w:val="right"/>
      </w:pPr>
      <w:r>
        <w:rPr>
          <w:rFonts w:hint="eastAsia"/>
          <w:b/>
          <w:sz w:val="24"/>
          <w:szCs w:val="24"/>
        </w:rPr>
        <w:t>2026年3</w:t>
      </w:r>
      <w:r w:rsidR="009570F6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30</w:t>
      </w:r>
      <w:r w:rsidR="009570F6">
        <w:rPr>
          <w:rFonts w:hint="eastAsia"/>
          <w:b/>
          <w:sz w:val="24"/>
          <w:szCs w:val="24"/>
        </w:rPr>
        <w:t>日</w:t>
      </w:r>
    </w:p>
    <w:sectPr w:rsidR="009570F6" w:rsidSect="009D7009"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3A1" w:rsidRDefault="001943A1">
      <w:pPr>
        <w:rPr>
          <w:szCs w:val="21"/>
        </w:rPr>
      </w:pPr>
      <w:r>
        <w:rPr>
          <w:rFonts w:hint="eastAsia"/>
          <w:szCs w:val="21"/>
        </w:rPr>
        <w:separator/>
      </w:r>
      <w:r>
        <w:rPr>
          <w:rFonts w:hint="eastAsia"/>
          <w:szCs w:val="21"/>
        </w:rPr>
        <w:t xml:space="preserve"> </w:t>
      </w:r>
    </w:p>
  </w:endnote>
  <w:endnote w:type="continuationSeparator" w:id="0">
    <w:p w:rsidR="001943A1" w:rsidRDefault="001943A1">
      <w:pPr>
        <w:rPr>
          <w:szCs w:val="21"/>
        </w:rPr>
      </w:pPr>
      <w:r>
        <w:rPr>
          <w:rFonts w:hint="eastAsia"/>
          <w:szCs w:val="21"/>
        </w:rPr>
        <w:continuationSeparator/>
      </w:r>
      <w:r>
        <w:rPr>
          <w:rFonts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3A1" w:rsidRDefault="001943A1">
      <w:pPr>
        <w:rPr>
          <w:szCs w:val="21"/>
        </w:rPr>
      </w:pPr>
      <w:r>
        <w:rPr>
          <w:rFonts w:hint="eastAsia"/>
          <w:szCs w:val="21"/>
        </w:rPr>
        <w:separator/>
      </w:r>
      <w:r>
        <w:rPr>
          <w:rFonts w:hint="eastAsia"/>
          <w:szCs w:val="21"/>
        </w:rPr>
        <w:t xml:space="preserve"> </w:t>
      </w:r>
    </w:p>
  </w:footnote>
  <w:footnote w:type="continuationSeparator" w:id="0">
    <w:p w:rsidR="001943A1" w:rsidRDefault="001943A1">
      <w:pPr>
        <w:rPr>
          <w:szCs w:val="21"/>
        </w:rPr>
      </w:pPr>
      <w:r>
        <w:rPr>
          <w:rFonts w:hint="eastAsia"/>
          <w:szCs w:val="21"/>
        </w:rPr>
        <w:continuationSeparator/>
      </w:r>
      <w:r>
        <w:rPr>
          <w:rFonts w:hint="eastAsia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606430B2"/>
    <w:lvl w:ilvl="0">
      <w:start w:val="1"/>
      <w:numFmt w:val="chineseCountingThousand"/>
      <w:pStyle w:val="XBRLTitle1"/>
      <w:lvlText w:val="%1、"/>
      <w:lvlJc w:val="left"/>
      <w:pPr>
        <w:ind w:left="425" w:hanging="425"/>
      </w:pPr>
      <w:rPr>
        <w:sz w:val="21"/>
        <w:szCs w:val="21"/>
      </w:rPr>
    </w:lvl>
    <w:lvl w:ilvl="1">
      <w:start w:val="1"/>
      <w:numFmt w:val="chineseCountingThousand"/>
      <w:pStyle w:val="XBRLTitle2"/>
      <w:lvlText w:val="(%2)"/>
      <w:lvlJc w:val="left"/>
      <w:pPr>
        <w:ind w:left="454" w:hanging="454"/>
      </w:pPr>
      <w:rPr>
        <w:sz w:val="21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0F6"/>
    <w:rsid w:val="000D0263"/>
    <w:rsid w:val="00144A4E"/>
    <w:rsid w:val="001943A1"/>
    <w:rsid w:val="002B1706"/>
    <w:rsid w:val="003848B5"/>
    <w:rsid w:val="003B7B92"/>
    <w:rsid w:val="003D7566"/>
    <w:rsid w:val="004643B2"/>
    <w:rsid w:val="00577663"/>
    <w:rsid w:val="00657862"/>
    <w:rsid w:val="007169D6"/>
    <w:rsid w:val="00760783"/>
    <w:rsid w:val="00886DC8"/>
    <w:rsid w:val="009509B4"/>
    <w:rsid w:val="00953396"/>
    <w:rsid w:val="009570F6"/>
    <w:rsid w:val="00995D47"/>
    <w:rsid w:val="009D7009"/>
    <w:rsid w:val="00A34E1A"/>
    <w:rsid w:val="00A650EC"/>
    <w:rsid w:val="00B323DC"/>
    <w:rsid w:val="00B425BF"/>
    <w:rsid w:val="00BE1370"/>
    <w:rsid w:val="00BF782D"/>
    <w:rsid w:val="00C01F16"/>
    <w:rsid w:val="00D6496C"/>
    <w:rsid w:val="00E6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09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9D700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9D7009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9D7009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9D7009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9D7009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9D7009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70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009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9D700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9D7009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9D7009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9D7009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9D7009"/>
    <w:rPr>
      <w:rFonts w:asciiTheme="minorHAnsi" w:eastAsiaTheme="minorEastAsia" w:hAnsiTheme="minorHAnsi" w:cstheme="majorBidi"/>
      <w:color w:val="365F91" w:themeColor="accent1" w:themeShade="BF"/>
      <w:kern w:val="2"/>
      <w:sz w:val="24"/>
      <w:szCs w:val="24"/>
    </w:rPr>
  </w:style>
  <w:style w:type="character" w:customStyle="1" w:styleId="60">
    <w:name w:val="标题 6 字符"/>
    <w:basedOn w:val="a0"/>
    <w:uiPriority w:val="9"/>
    <w:semiHidden/>
    <w:rsid w:val="009D7009"/>
    <w:rPr>
      <w:rFonts w:asciiTheme="minorHAnsi" w:eastAsiaTheme="minorEastAsia" w:hAnsiTheme="minorHAnsi" w:cstheme="majorBidi"/>
      <w:b/>
      <w:bCs/>
      <w:color w:val="365F91" w:themeColor="accent1" w:themeShade="BF"/>
      <w:kern w:val="2"/>
      <w:sz w:val="21"/>
    </w:rPr>
  </w:style>
  <w:style w:type="paragraph" w:customStyle="1" w:styleId="msonormal0">
    <w:name w:val="msonormal"/>
    <w:basedOn w:val="a"/>
    <w:rsid w:val="009D700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9D700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9D7009"/>
    <w:pPr>
      <w:tabs>
        <w:tab w:val="left" w:pos="1065"/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9D7009"/>
    <w:pPr>
      <w:tabs>
        <w:tab w:val="right" w:leader="dot" w:pos="8834"/>
      </w:tabs>
      <w:ind w:left="210"/>
      <w:jc w:val="left"/>
    </w:pPr>
    <w:rPr>
      <w:rFonts w:asciiTheme="minorEastAsia" w:eastAsiaTheme="minorEastAsia" w:hAnsiTheme="minorEastAsia" w:cs="Times New Roman"/>
      <w:noProof/>
      <w:szCs w:val="21"/>
      <w:lang/>
    </w:rPr>
  </w:style>
  <w:style w:type="paragraph" w:styleId="31">
    <w:name w:val="toc 3"/>
    <w:basedOn w:val="a"/>
    <w:next w:val="a"/>
    <w:autoRedefine/>
    <w:uiPriority w:val="39"/>
    <w:semiHidden/>
    <w:unhideWhenUsed/>
    <w:rsid w:val="009D7009"/>
  </w:style>
  <w:style w:type="paragraph" w:styleId="a6">
    <w:name w:val="footnote text"/>
    <w:basedOn w:val="a"/>
    <w:link w:val="Char1"/>
    <w:rsid w:val="009D7009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9D7009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9D7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9D7009"/>
    <w:rPr>
      <w:kern w:val="2"/>
      <w:sz w:val="18"/>
      <w:szCs w:val="18"/>
    </w:rPr>
  </w:style>
  <w:style w:type="paragraph" w:styleId="aa">
    <w:name w:val="footer"/>
    <w:basedOn w:val="a"/>
    <w:link w:val="Char11"/>
    <w:uiPriority w:val="99"/>
    <w:rsid w:val="009D7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9D7009"/>
    <w:rPr>
      <w:kern w:val="2"/>
      <w:sz w:val="18"/>
      <w:szCs w:val="18"/>
    </w:rPr>
  </w:style>
  <w:style w:type="paragraph" w:styleId="ac">
    <w:name w:val="Title"/>
    <w:basedOn w:val="1"/>
    <w:next w:val="2"/>
    <w:link w:val="Char12"/>
    <w:uiPriority w:val="10"/>
    <w:qFormat/>
    <w:rsid w:val="009D7009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9D7009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3"/>
    <w:qFormat/>
    <w:rsid w:val="009D7009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9D7009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4"/>
    <w:rsid w:val="009D7009"/>
    <w:rPr>
      <w:sz w:val="32"/>
      <w:lang/>
    </w:rPr>
  </w:style>
  <w:style w:type="character" w:customStyle="1" w:styleId="af1">
    <w:name w:val="日期 字符"/>
    <w:basedOn w:val="a0"/>
    <w:locked/>
    <w:rsid w:val="009D7009"/>
    <w:rPr>
      <w:kern w:val="2"/>
      <w:sz w:val="21"/>
    </w:rPr>
  </w:style>
  <w:style w:type="paragraph" w:styleId="af2">
    <w:name w:val="Document Map"/>
    <w:basedOn w:val="a"/>
    <w:link w:val="Char15"/>
    <w:rsid w:val="009D7009"/>
    <w:pPr>
      <w:shd w:val="clear" w:color="auto" w:fill="000080"/>
    </w:pPr>
  </w:style>
  <w:style w:type="character" w:customStyle="1" w:styleId="af3">
    <w:name w:val="文档结构图 字符"/>
    <w:basedOn w:val="a0"/>
    <w:locked/>
    <w:rsid w:val="009D7009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6"/>
    <w:uiPriority w:val="99"/>
    <w:semiHidden/>
    <w:unhideWhenUsed/>
    <w:rsid w:val="009D7009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9D7009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9D700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9D7009"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rsid w:val="009D7009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9D7009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9D7009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9D7009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9D7009"/>
    <w:pPr>
      <w:keepNext w:val="0"/>
      <w:keepLines w:val="0"/>
      <w:numPr>
        <w:numId w:val="2"/>
      </w:numPr>
      <w:spacing w:beforeLines="50" w:after="0" w:line="240" w:lineRule="auto"/>
      <w:ind w:left="850"/>
      <w:jc w:val="left"/>
    </w:pPr>
    <w:rPr>
      <w:rFonts w:hAnsi="Cambria"/>
      <w:sz w:val="24"/>
      <w:szCs w:val="32"/>
    </w:rPr>
  </w:style>
  <w:style w:type="paragraph" w:customStyle="1" w:styleId="XBRLTitle2">
    <w:name w:val="XBRLTitle2"/>
    <w:basedOn w:val="ae"/>
    <w:next w:val="4"/>
    <w:qFormat/>
    <w:rsid w:val="009D7009"/>
    <w:pPr>
      <w:keepNext w:val="0"/>
      <w:keepLines w:val="0"/>
      <w:numPr>
        <w:ilvl w:val="1"/>
        <w:numId w:val="2"/>
      </w:numPr>
      <w:spacing w:beforeLines="50" w:after="0" w:line="240" w:lineRule="auto"/>
      <w:ind w:left="908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9D7009"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  <w:rsid w:val="009D7009"/>
  </w:style>
  <w:style w:type="paragraph" w:customStyle="1" w:styleId="CharCharCharCharCharChar1CharCharChar">
    <w:name w:val="Char Char Char Char Char Char1 Char Char Char"/>
    <w:basedOn w:val="a"/>
    <w:rsid w:val="009D7009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9D7009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9D7009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9D7009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9D7009"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rsid w:val="009D70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9D7009"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9D7009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9D7009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9D700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9D7009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9D7009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9D7009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9D7009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9D7009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9D7009"/>
    <w:rPr>
      <w:kern w:val="2"/>
      <w:sz w:val="18"/>
      <w:szCs w:val="18"/>
    </w:rPr>
  </w:style>
  <w:style w:type="character" w:customStyle="1" w:styleId="Char2">
    <w:name w:val="页眉 Char"/>
    <w:basedOn w:val="a0"/>
    <w:uiPriority w:val="99"/>
    <w:locked/>
    <w:rsid w:val="009D7009"/>
    <w:rPr>
      <w:kern w:val="2"/>
      <w:sz w:val="18"/>
      <w:szCs w:val="18"/>
    </w:rPr>
  </w:style>
  <w:style w:type="character" w:customStyle="1" w:styleId="Char3">
    <w:name w:val="页脚 Char"/>
    <w:basedOn w:val="a0"/>
    <w:uiPriority w:val="99"/>
    <w:locked/>
    <w:rsid w:val="009D7009"/>
    <w:rPr>
      <w:kern w:val="2"/>
      <w:sz w:val="18"/>
      <w:szCs w:val="18"/>
    </w:rPr>
  </w:style>
  <w:style w:type="character" w:customStyle="1" w:styleId="Char4">
    <w:name w:val="标题 Char"/>
    <w:basedOn w:val="a0"/>
    <w:uiPriority w:val="10"/>
    <w:locked/>
    <w:rsid w:val="009D7009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5">
    <w:name w:val="副标题 Char"/>
    <w:basedOn w:val="a0"/>
    <w:locked/>
    <w:rsid w:val="009D7009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6">
    <w:name w:val="日期 Char"/>
    <w:basedOn w:val="a0"/>
    <w:locked/>
    <w:rsid w:val="009D7009"/>
    <w:rPr>
      <w:kern w:val="2"/>
      <w:sz w:val="21"/>
    </w:rPr>
  </w:style>
  <w:style w:type="character" w:customStyle="1" w:styleId="Char7">
    <w:name w:val="文档结构图 Char"/>
    <w:basedOn w:val="a0"/>
    <w:locked/>
    <w:rsid w:val="009D7009"/>
    <w:rPr>
      <w:rFonts w:ascii="宋体" w:eastAsia="宋体" w:hAnsi="宋体" w:hint="eastAsia"/>
      <w:kern w:val="2"/>
      <w:sz w:val="18"/>
      <w:szCs w:val="18"/>
    </w:rPr>
  </w:style>
  <w:style w:type="character" w:customStyle="1" w:styleId="Char8">
    <w:name w:val="批注框文本 Char"/>
    <w:basedOn w:val="a0"/>
    <w:uiPriority w:val="99"/>
    <w:semiHidden/>
    <w:locked/>
    <w:rsid w:val="009D7009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9D7009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9D7009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9D7009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9D7009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9D7009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9D7009"/>
    <w:rPr>
      <w:kern w:val="2"/>
      <w:sz w:val="18"/>
      <w:szCs w:val="18"/>
    </w:rPr>
  </w:style>
  <w:style w:type="character" w:customStyle="1" w:styleId="Char11">
    <w:name w:val="页脚 Char1"/>
    <w:basedOn w:val="a0"/>
    <w:link w:val="aa"/>
    <w:uiPriority w:val="99"/>
    <w:locked/>
    <w:rsid w:val="009D7009"/>
    <w:rPr>
      <w:kern w:val="2"/>
      <w:sz w:val="18"/>
      <w:szCs w:val="18"/>
    </w:rPr>
  </w:style>
  <w:style w:type="character" w:customStyle="1" w:styleId="Char12">
    <w:name w:val="标题 Char1"/>
    <w:link w:val="ac"/>
    <w:uiPriority w:val="10"/>
    <w:locked/>
    <w:rsid w:val="009D7009"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e"/>
    <w:locked/>
    <w:rsid w:val="009D7009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f0"/>
    <w:locked/>
    <w:rsid w:val="009D7009"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basedOn w:val="a0"/>
    <w:link w:val="af2"/>
    <w:locked/>
    <w:rsid w:val="009D7009"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basedOn w:val="a0"/>
    <w:link w:val="af4"/>
    <w:uiPriority w:val="99"/>
    <w:semiHidden/>
    <w:locked/>
    <w:rsid w:val="009D7009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9D7009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9D7009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9D7009"/>
    <w:rPr>
      <w:kern w:val="2"/>
      <w:sz w:val="18"/>
      <w:szCs w:val="18"/>
    </w:rPr>
  </w:style>
  <w:style w:type="table" w:styleId="af8">
    <w:name w:val="Table Grid"/>
    <w:basedOn w:val="a1"/>
    <w:uiPriority w:val="59"/>
    <w:rsid w:val="009D70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9D7009"/>
  </w:style>
  <w:style w:type="character" w:styleId="af9">
    <w:name w:val="annotation reference"/>
    <w:basedOn w:val="a0"/>
    <w:uiPriority w:val="99"/>
    <w:semiHidden/>
    <w:unhideWhenUsed/>
    <w:rsid w:val="00E6630E"/>
    <w:rPr>
      <w:sz w:val="21"/>
      <w:szCs w:val="21"/>
    </w:rPr>
  </w:style>
  <w:style w:type="paragraph" w:styleId="afa">
    <w:name w:val="annotation text"/>
    <w:basedOn w:val="a"/>
    <w:link w:val="Char9"/>
    <w:uiPriority w:val="99"/>
    <w:semiHidden/>
    <w:unhideWhenUsed/>
    <w:rsid w:val="00E6630E"/>
    <w:pPr>
      <w:jc w:val="left"/>
    </w:pPr>
  </w:style>
  <w:style w:type="character" w:customStyle="1" w:styleId="Char9">
    <w:name w:val="批注文字 Char"/>
    <w:basedOn w:val="a0"/>
    <w:link w:val="afa"/>
    <w:uiPriority w:val="99"/>
    <w:semiHidden/>
    <w:rsid w:val="00E6630E"/>
    <w:rPr>
      <w:rFonts w:cs="宋体"/>
      <w:kern w:val="2"/>
      <w:sz w:val="21"/>
    </w:rPr>
  </w:style>
  <w:style w:type="paragraph" w:styleId="afb">
    <w:name w:val="annotation subject"/>
    <w:basedOn w:val="afa"/>
    <w:next w:val="afa"/>
    <w:link w:val="Chara"/>
    <w:uiPriority w:val="99"/>
    <w:semiHidden/>
    <w:unhideWhenUsed/>
    <w:rsid w:val="00E6630E"/>
    <w:rPr>
      <w:b/>
      <w:bCs/>
    </w:rPr>
  </w:style>
  <w:style w:type="character" w:customStyle="1" w:styleId="Chara">
    <w:name w:val="批注主题 Char"/>
    <w:basedOn w:val="Char9"/>
    <w:link w:val="afb"/>
    <w:uiPriority w:val="99"/>
    <w:semiHidden/>
    <w:rsid w:val="00E6630E"/>
    <w:rPr>
      <w:rFonts w:cs="宋体"/>
      <w:b/>
      <w:bCs/>
      <w:kern w:val="2"/>
      <w:sz w:val="21"/>
    </w:rPr>
  </w:style>
  <w:style w:type="paragraph" w:styleId="afc">
    <w:name w:val="Revision"/>
    <w:hidden/>
    <w:uiPriority w:val="99"/>
    <w:semiHidden/>
    <w:rsid w:val="007169D6"/>
    <w:rPr>
      <w:rFonts w:cs="宋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F530-4797-4E1C-BD4C-3F6617E3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Office Word</Application>
  <DocSecurity>4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2026-03-29T16:01:00Z</dcterms:created>
  <dcterms:modified xsi:type="dcterms:W3CDTF">2026-03-29T16:01:00Z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