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106DAF" w:rsidRDefault="00DE1531" w:rsidP="0059775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106DAF">
        <w:rPr>
          <w:rFonts w:eastAsiaTheme="minorEastAsia"/>
          <w:b/>
          <w:color w:val="000000"/>
          <w:sz w:val="32"/>
          <w:szCs w:val="32"/>
        </w:rPr>
        <w:t>泰康</w:t>
      </w:r>
      <w:r w:rsidR="00DD418E" w:rsidRPr="00106DAF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 w:rsidRPr="00106DAF">
        <w:rPr>
          <w:rFonts w:eastAsiaTheme="minorEastAsia"/>
          <w:b/>
          <w:color w:val="000000"/>
          <w:sz w:val="32"/>
          <w:szCs w:val="32"/>
        </w:rPr>
        <w:t>管理有限</w:t>
      </w:r>
      <w:r w:rsidRPr="00106DAF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106DAF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Pr="00106DAF" w:rsidRDefault="005A1FAD" w:rsidP="0059775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106DAF">
        <w:rPr>
          <w:rFonts w:eastAsiaTheme="minorEastAsia" w:hint="eastAsia"/>
          <w:b/>
          <w:color w:val="000000"/>
          <w:sz w:val="32"/>
          <w:szCs w:val="32"/>
        </w:rPr>
        <w:t>202</w:t>
      </w:r>
      <w:r w:rsidR="00D116B9">
        <w:rPr>
          <w:rFonts w:eastAsiaTheme="minorEastAsia" w:hint="eastAsia"/>
          <w:b/>
          <w:color w:val="000000"/>
          <w:sz w:val="32"/>
          <w:szCs w:val="32"/>
        </w:rPr>
        <w:t>5</w:t>
      </w:r>
      <w:r w:rsidR="00B71C78" w:rsidRPr="00106DAF">
        <w:rPr>
          <w:rFonts w:eastAsiaTheme="minorEastAsia"/>
          <w:b/>
          <w:color w:val="000000"/>
          <w:sz w:val="32"/>
          <w:szCs w:val="32"/>
        </w:rPr>
        <w:t>年年度</w:t>
      </w:r>
      <w:r w:rsidR="00DE1531" w:rsidRPr="00106DAF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106DAF" w:rsidRDefault="008114E7" w:rsidP="0059775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106DAF" w:rsidRDefault="00DE1531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106DAF">
        <w:rPr>
          <w:rFonts w:eastAsiaTheme="minorEastAsia"/>
          <w:color w:val="000000"/>
          <w:sz w:val="24"/>
        </w:rPr>
        <w:t>本公司董事会及董事保证基金</w:t>
      </w:r>
      <w:r w:rsidR="005A1FAD" w:rsidRPr="00106DAF">
        <w:rPr>
          <w:rFonts w:eastAsiaTheme="minorEastAsia" w:hint="eastAsia"/>
          <w:color w:val="000000"/>
          <w:sz w:val="24"/>
        </w:rPr>
        <w:t>202</w:t>
      </w:r>
      <w:r w:rsidR="00D116B9">
        <w:rPr>
          <w:rFonts w:eastAsiaTheme="minorEastAsia" w:hint="eastAsia"/>
          <w:color w:val="000000"/>
          <w:sz w:val="24"/>
        </w:rPr>
        <w:t>5</w:t>
      </w:r>
      <w:r w:rsidR="00B71C78" w:rsidRPr="00106DAF">
        <w:rPr>
          <w:rFonts w:eastAsiaTheme="minorEastAsia"/>
          <w:color w:val="000000"/>
          <w:sz w:val="24"/>
        </w:rPr>
        <w:t>年年度</w:t>
      </w:r>
      <w:r w:rsidRPr="00106DAF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106DAF" w:rsidRDefault="00DD418E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106DAF">
        <w:rPr>
          <w:rFonts w:eastAsiaTheme="minorEastAsia" w:hint="eastAsia"/>
          <w:color w:val="000000"/>
          <w:sz w:val="24"/>
        </w:rPr>
        <w:t>泰康基金管理有限公司</w:t>
      </w:r>
      <w:r w:rsidR="00F10D55" w:rsidRPr="00106DAF">
        <w:rPr>
          <w:rFonts w:eastAsiaTheme="minorEastAsia"/>
          <w:color w:val="000000"/>
          <w:sz w:val="24"/>
        </w:rPr>
        <w:t>旗下</w:t>
      </w:r>
      <w:r w:rsidR="005A1FAD" w:rsidRPr="00106DAF">
        <w:rPr>
          <w:rFonts w:eastAsiaTheme="minorEastAsia"/>
          <w:color w:val="000000"/>
          <w:sz w:val="24"/>
        </w:rPr>
        <w:t>202</w:t>
      </w:r>
      <w:r w:rsidR="00D116B9">
        <w:rPr>
          <w:rFonts w:eastAsiaTheme="minorEastAsia"/>
          <w:color w:val="000000"/>
          <w:sz w:val="24"/>
        </w:rPr>
        <w:t>5</w:t>
      </w:r>
      <w:r w:rsidR="00F10D55" w:rsidRPr="00106DAF">
        <w:rPr>
          <w:rFonts w:eastAsiaTheme="minorEastAsia"/>
          <w:color w:val="000000"/>
          <w:sz w:val="24"/>
        </w:rPr>
        <w:t>年</w:t>
      </w:r>
      <w:r w:rsidR="00B71C78" w:rsidRPr="00106DAF">
        <w:rPr>
          <w:rFonts w:eastAsiaTheme="minorEastAsia" w:hint="eastAsia"/>
          <w:color w:val="000000"/>
          <w:sz w:val="24"/>
        </w:rPr>
        <w:t>年度</w:t>
      </w:r>
      <w:r w:rsidR="00F10D55" w:rsidRPr="00106DAF">
        <w:rPr>
          <w:rFonts w:eastAsiaTheme="minorEastAsia"/>
          <w:color w:val="000000"/>
          <w:sz w:val="24"/>
        </w:rPr>
        <w:t>报告涉及基金明细如下：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</w:t>
      </w:r>
      <w:r>
        <w:rPr>
          <w:rFonts w:eastAsiaTheme="minorEastAsia" w:hint="eastAsia"/>
          <w:color w:val="000000"/>
          <w:sz w:val="24"/>
        </w:rPr>
        <w:t>持有期</w:t>
      </w:r>
      <w:r w:rsidRPr="00F71180">
        <w:rPr>
          <w:rFonts w:eastAsiaTheme="minorEastAsia"/>
          <w:color w:val="000000"/>
          <w:sz w:val="24"/>
        </w:rPr>
        <w:t>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88139D" w:rsidRPr="00CF4A73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18.</w:t>
      </w:r>
      <w:r w:rsidRPr="00CF4A73">
        <w:rPr>
          <w:rFonts w:eastAsiaTheme="minorEastAsia"/>
          <w:color w:val="000000" w:themeColor="text1"/>
          <w:sz w:val="24"/>
        </w:rPr>
        <w:t>泰康安悦纯债</w:t>
      </w:r>
      <w:r w:rsidRPr="00CF4A73">
        <w:rPr>
          <w:rFonts w:eastAsiaTheme="minorEastAsia"/>
          <w:color w:val="000000" w:themeColor="text1"/>
          <w:sz w:val="24"/>
        </w:rPr>
        <w:t>3</w:t>
      </w:r>
      <w:r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88139D" w:rsidRPr="00CF4A73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22.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26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泰康安和纯债</w:t>
      </w:r>
      <w:r w:rsidRPr="00F71180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泰康睿福优选配置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个月持有期混合型基金中基金（</w:t>
      </w:r>
      <w:r w:rsidRPr="00F71180">
        <w:rPr>
          <w:rFonts w:eastAsiaTheme="minorEastAsia"/>
          <w:color w:val="000000"/>
          <w:sz w:val="24"/>
        </w:rPr>
        <w:t>FOF</w:t>
      </w:r>
      <w:r w:rsidRPr="00F71180">
        <w:rPr>
          <w:rFonts w:eastAsiaTheme="minorEastAsia"/>
          <w:color w:val="000000"/>
          <w:sz w:val="24"/>
        </w:rPr>
        <w:t>）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36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泰康瑞丰纯债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88139D" w:rsidRPr="00D30AC8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1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88139D" w:rsidRPr="00D30AC8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2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88139D" w:rsidRPr="00D30AC8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3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4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泰康中证</w:t>
      </w:r>
      <w:r w:rsidRPr="00D30AC8">
        <w:rPr>
          <w:rFonts w:eastAsiaTheme="minorEastAsia" w:hint="eastAsia"/>
          <w:color w:val="000000"/>
          <w:sz w:val="24"/>
        </w:rPr>
        <w:t>500</w:t>
      </w:r>
      <w:r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88139D" w:rsidRPr="003A53E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45</w:t>
      </w:r>
      <w:r>
        <w:rPr>
          <w:rFonts w:eastAsiaTheme="minorEastAsia" w:hint="eastAsia"/>
          <w:color w:val="000000"/>
          <w:sz w:val="24"/>
        </w:rPr>
        <w:t>.</w:t>
      </w:r>
      <w:r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46</w:t>
      </w:r>
      <w:r>
        <w:rPr>
          <w:rFonts w:eastAsiaTheme="minorEastAsia" w:hint="eastAsia"/>
          <w:color w:val="000000"/>
          <w:sz w:val="24"/>
        </w:rPr>
        <w:t>.</w:t>
      </w:r>
      <w:r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88139D" w:rsidRPr="00F71180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47</w:t>
      </w:r>
      <w:r>
        <w:rPr>
          <w:rFonts w:eastAsiaTheme="minorEastAsia" w:hint="eastAsia"/>
          <w:color w:val="000000"/>
          <w:sz w:val="24"/>
        </w:rPr>
        <w:t>.</w:t>
      </w:r>
      <w:r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48.</w:t>
      </w:r>
      <w:r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Pr="001262CD">
        <w:rPr>
          <w:rFonts w:eastAsiaTheme="minorEastAsia" w:hint="eastAsia"/>
          <w:color w:val="000000"/>
          <w:sz w:val="24"/>
        </w:rPr>
        <w:t>FOF</w:t>
      </w:r>
      <w:r w:rsidRPr="001262CD">
        <w:rPr>
          <w:rFonts w:eastAsiaTheme="minorEastAsia" w:hint="eastAsia"/>
          <w:color w:val="000000"/>
          <w:sz w:val="24"/>
        </w:rPr>
        <w:t>）</w:t>
      </w:r>
    </w:p>
    <w:p w:rsidR="0088139D" w:rsidRPr="00E906FF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88139D" w:rsidRPr="00E906FF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88139D" w:rsidRPr="00E906FF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4.</w:t>
      </w:r>
      <w:r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55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57.</w:t>
      </w:r>
      <w:r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88139D" w:rsidRPr="00CF4A73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0.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1.</w:t>
      </w:r>
      <w:r w:rsidRPr="00401DCC">
        <w:rPr>
          <w:rFonts w:eastAsiaTheme="minorEastAsia" w:hint="eastAsia"/>
          <w:color w:val="000000"/>
          <w:sz w:val="24"/>
        </w:rPr>
        <w:t>泰康上证科创板综合指数增强型证券投资基金</w:t>
      </w:r>
    </w:p>
    <w:p w:rsidR="0088139D" w:rsidRPr="0013553C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62.</w:t>
      </w:r>
      <w:r w:rsidRPr="0013553C">
        <w:rPr>
          <w:rFonts w:eastAsiaTheme="minorEastAsia" w:hint="eastAsia"/>
          <w:color w:val="000000"/>
          <w:sz w:val="24"/>
        </w:rPr>
        <w:t>泰康中证</w:t>
      </w:r>
      <w:r w:rsidRPr="0013553C">
        <w:rPr>
          <w:rFonts w:eastAsiaTheme="minorEastAsia" w:hint="eastAsia"/>
          <w:color w:val="000000"/>
          <w:sz w:val="24"/>
        </w:rPr>
        <w:t>500</w:t>
      </w:r>
      <w:r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63.</w:t>
      </w:r>
      <w:r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4.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65.</w:t>
      </w:r>
      <w:r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Pr="00BA192C">
        <w:rPr>
          <w:rFonts w:eastAsiaTheme="minorEastAsia" w:hint="eastAsia"/>
          <w:color w:val="000000"/>
          <w:sz w:val="24"/>
        </w:rPr>
        <w:t>证券投资基金</w:t>
      </w:r>
    </w:p>
    <w:p w:rsidR="0088139D" w:rsidRPr="00CF4A73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66.</w:t>
      </w:r>
      <w:r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>
        <w:rPr>
          <w:rFonts w:eastAsiaTheme="minorEastAsia"/>
          <w:color w:val="000000"/>
          <w:sz w:val="24"/>
        </w:rPr>
        <w:t>.</w:t>
      </w:r>
      <w:r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>
        <w:rPr>
          <w:rFonts w:eastAsiaTheme="minorEastAsia"/>
          <w:color w:val="000000"/>
          <w:sz w:val="24"/>
        </w:rPr>
        <w:t>.</w:t>
      </w:r>
      <w:r w:rsidRPr="000D5C1D">
        <w:rPr>
          <w:rFonts w:eastAsiaTheme="minorEastAsia" w:hint="eastAsia"/>
          <w:color w:val="000000"/>
          <w:sz w:val="24"/>
        </w:rPr>
        <w:t>泰康中证科创创业</w:t>
      </w:r>
      <w:r w:rsidRPr="000D5C1D">
        <w:rPr>
          <w:rFonts w:eastAsiaTheme="minorEastAsia" w:hint="eastAsia"/>
          <w:color w:val="000000"/>
          <w:sz w:val="24"/>
        </w:rPr>
        <w:t>50</w:t>
      </w:r>
      <w:r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>
        <w:rPr>
          <w:rFonts w:eastAsiaTheme="minorEastAsia"/>
          <w:color w:val="000000"/>
          <w:sz w:val="24"/>
        </w:rPr>
        <w:t>.</w:t>
      </w:r>
      <w:r w:rsidRPr="000D5C1D">
        <w:rPr>
          <w:rFonts w:eastAsiaTheme="minorEastAsia" w:hint="eastAsia"/>
          <w:color w:val="000000"/>
          <w:sz w:val="24"/>
        </w:rPr>
        <w:t>泰康养老目标日期</w:t>
      </w:r>
      <w:r w:rsidRPr="000D5C1D">
        <w:rPr>
          <w:rFonts w:eastAsiaTheme="minorEastAsia" w:hint="eastAsia"/>
          <w:color w:val="000000"/>
          <w:sz w:val="24"/>
        </w:rPr>
        <w:t>2040</w:t>
      </w:r>
      <w:r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Pr="000D5C1D">
        <w:rPr>
          <w:rFonts w:eastAsiaTheme="minorEastAsia" w:hint="eastAsia"/>
          <w:color w:val="000000"/>
          <w:sz w:val="24"/>
        </w:rPr>
        <w:t>FOF</w:t>
      </w:r>
      <w:r w:rsidRPr="000D5C1D">
        <w:rPr>
          <w:rFonts w:eastAsiaTheme="minorEastAsia" w:hint="eastAsia"/>
          <w:color w:val="000000"/>
          <w:sz w:val="24"/>
        </w:rPr>
        <w:t>）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0.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1000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72.</w:t>
      </w:r>
      <w:r w:rsidRPr="00690441">
        <w:rPr>
          <w:rFonts w:eastAsiaTheme="minorEastAsia" w:hint="eastAsia"/>
          <w:color w:val="000000"/>
          <w:sz w:val="24"/>
        </w:rPr>
        <w:t>泰康悦享</w:t>
      </w:r>
      <w:r w:rsidRPr="00690441">
        <w:rPr>
          <w:rFonts w:eastAsiaTheme="minorEastAsia" w:hint="eastAsia"/>
          <w:color w:val="000000"/>
          <w:sz w:val="24"/>
        </w:rPr>
        <w:t>30</w:t>
      </w:r>
      <w:r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73.</w:t>
      </w:r>
      <w:r w:rsidRPr="00690441">
        <w:rPr>
          <w:rFonts w:eastAsiaTheme="minorEastAsia" w:hint="eastAsia"/>
          <w:color w:val="000000"/>
          <w:sz w:val="24"/>
        </w:rPr>
        <w:t>泰康中证同业存单</w:t>
      </w:r>
      <w:r w:rsidRPr="00690441">
        <w:rPr>
          <w:rFonts w:eastAsiaTheme="minorEastAsia" w:hint="eastAsia"/>
          <w:color w:val="000000"/>
          <w:sz w:val="24"/>
        </w:rPr>
        <w:t>AAA</w:t>
      </w:r>
      <w:r w:rsidRPr="00690441">
        <w:rPr>
          <w:rFonts w:eastAsiaTheme="minorEastAsia" w:hint="eastAsia"/>
          <w:color w:val="000000"/>
          <w:sz w:val="24"/>
        </w:rPr>
        <w:t>指数</w:t>
      </w:r>
      <w:r w:rsidRPr="00690441">
        <w:rPr>
          <w:rFonts w:eastAsiaTheme="minorEastAsia" w:hint="eastAsia"/>
          <w:color w:val="000000"/>
          <w:sz w:val="24"/>
        </w:rPr>
        <w:t>7</w:t>
      </w:r>
      <w:r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>
        <w:rPr>
          <w:rFonts w:eastAsiaTheme="minorEastAsia" w:hint="eastAsia"/>
          <w:color w:val="000000"/>
          <w:sz w:val="24"/>
        </w:rPr>
        <w:t>.</w:t>
      </w:r>
      <w:r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75.</w:t>
      </w:r>
      <w:r w:rsidRPr="009D6554">
        <w:rPr>
          <w:rFonts w:eastAsiaTheme="minorEastAsia" w:hint="eastAsia"/>
          <w:color w:val="000000"/>
          <w:sz w:val="24"/>
        </w:rPr>
        <w:t>泰康悦享</w:t>
      </w:r>
      <w:r w:rsidRPr="009D6554">
        <w:rPr>
          <w:rFonts w:eastAsiaTheme="minorEastAsia" w:hint="eastAsia"/>
          <w:color w:val="000000"/>
          <w:sz w:val="24"/>
        </w:rPr>
        <w:t>90</w:t>
      </w:r>
      <w:r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76.</w:t>
      </w:r>
      <w:r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77.</w:t>
      </w:r>
      <w:r w:rsidRPr="009D6554">
        <w:rPr>
          <w:rFonts w:eastAsiaTheme="minorEastAsia" w:hint="eastAsia"/>
          <w:color w:val="000000"/>
          <w:sz w:val="24"/>
        </w:rPr>
        <w:t>泰康中债</w:t>
      </w:r>
      <w:r w:rsidRPr="009D6554">
        <w:rPr>
          <w:rFonts w:eastAsiaTheme="minorEastAsia" w:hint="eastAsia"/>
          <w:color w:val="000000"/>
          <w:sz w:val="24"/>
        </w:rPr>
        <w:t>0-3</w:t>
      </w:r>
      <w:r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78.</w:t>
      </w:r>
      <w:r w:rsidRPr="00794C9D">
        <w:rPr>
          <w:rFonts w:eastAsiaTheme="minorEastAsia" w:hint="eastAsia"/>
          <w:color w:val="000000"/>
          <w:sz w:val="24"/>
        </w:rPr>
        <w:t>泰康半导体量化</w:t>
      </w:r>
      <w:r>
        <w:rPr>
          <w:rFonts w:eastAsiaTheme="minorEastAsia" w:hint="eastAsia"/>
          <w:color w:val="000000"/>
          <w:sz w:val="24"/>
        </w:rPr>
        <w:t>选股</w:t>
      </w:r>
      <w:r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79.</w:t>
      </w:r>
      <w:r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80.</w:t>
      </w:r>
      <w:r w:rsidRPr="00794C9D">
        <w:rPr>
          <w:rFonts w:eastAsiaTheme="minorEastAsia" w:hint="eastAsia"/>
          <w:color w:val="000000"/>
          <w:sz w:val="24"/>
        </w:rPr>
        <w:t>泰康悦享</w:t>
      </w:r>
      <w:r w:rsidRPr="00794C9D">
        <w:rPr>
          <w:rFonts w:eastAsiaTheme="minorEastAsia" w:hint="eastAsia"/>
          <w:color w:val="000000"/>
          <w:sz w:val="24"/>
        </w:rPr>
        <w:t>60</w:t>
      </w:r>
      <w:r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r w:rsidRPr="00170731">
        <w:rPr>
          <w:rFonts w:eastAsiaTheme="minorEastAsia" w:hint="eastAsia"/>
          <w:color w:val="000000"/>
          <w:sz w:val="24"/>
        </w:rPr>
        <w:t>泰康中债</w:t>
      </w:r>
      <w:r w:rsidRPr="00170731">
        <w:rPr>
          <w:rFonts w:eastAsiaTheme="minorEastAsia" w:hint="eastAsia"/>
          <w:color w:val="000000"/>
          <w:sz w:val="24"/>
        </w:rPr>
        <w:t>1-5</w:t>
      </w:r>
      <w:r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85.</w:t>
      </w:r>
      <w:r w:rsidRPr="00577428">
        <w:rPr>
          <w:rFonts w:eastAsiaTheme="minorEastAsia" w:hint="eastAsia"/>
          <w:color w:val="000000"/>
          <w:sz w:val="24"/>
        </w:rPr>
        <w:t>泰康资源精选股票型发起式证券投资基金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86.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120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87.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180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88.</w:t>
      </w:r>
      <w:r w:rsidRPr="00577428">
        <w:rPr>
          <w:rFonts w:eastAsiaTheme="minorEastAsia" w:hint="eastAsia"/>
          <w:color w:val="000000"/>
          <w:sz w:val="24"/>
        </w:rPr>
        <w:t>泰康中证</w:t>
      </w:r>
      <w:r w:rsidRPr="00577428">
        <w:rPr>
          <w:rFonts w:eastAsiaTheme="minorEastAsia" w:hint="eastAsia"/>
          <w:color w:val="000000"/>
          <w:sz w:val="24"/>
        </w:rPr>
        <w:t>AAA</w:t>
      </w:r>
      <w:r w:rsidRPr="00577428">
        <w:rPr>
          <w:rFonts w:eastAsiaTheme="minorEastAsia" w:hint="eastAsia"/>
          <w:color w:val="000000"/>
          <w:sz w:val="24"/>
        </w:rPr>
        <w:t>科技创新公司债交易型开放式指数证券投资基金</w:t>
      </w:r>
    </w:p>
    <w:p w:rsidR="0088139D" w:rsidRDefault="0088139D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89.</w:t>
      </w:r>
      <w:r w:rsidRPr="00577428">
        <w:rPr>
          <w:rFonts w:eastAsiaTheme="minorEastAsia" w:hint="eastAsia"/>
          <w:color w:val="000000"/>
          <w:sz w:val="24"/>
        </w:rPr>
        <w:t>泰康沪深</w:t>
      </w:r>
      <w:r w:rsidRPr="00577428">
        <w:rPr>
          <w:rFonts w:eastAsiaTheme="minorEastAsia" w:hint="eastAsia"/>
          <w:color w:val="000000"/>
          <w:sz w:val="24"/>
        </w:rPr>
        <w:t>300</w:t>
      </w:r>
      <w:r w:rsidRPr="00577428">
        <w:rPr>
          <w:rFonts w:eastAsiaTheme="minorEastAsia" w:hint="eastAsia"/>
          <w:color w:val="000000"/>
          <w:sz w:val="24"/>
        </w:rPr>
        <w:t>指数增强型证券投资基金</w:t>
      </w:r>
      <w:bookmarkStart w:id="0" w:name="_GoBack"/>
      <w:bookmarkEnd w:id="0"/>
    </w:p>
    <w:p w:rsidR="00D116B9" w:rsidRPr="0088139D" w:rsidRDefault="00D116B9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13553C" w:rsidRPr="00106DAF" w:rsidRDefault="0013553C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106DAF" w:rsidRDefault="00C36CC4" w:rsidP="0059775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106DAF">
        <w:rPr>
          <w:rFonts w:eastAsiaTheme="minorEastAsia"/>
          <w:color w:val="000000"/>
          <w:sz w:val="24"/>
        </w:rPr>
        <w:t>上述基金</w:t>
      </w:r>
      <w:r w:rsidR="00D767D6" w:rsidRPr="00106DAF">
        <w:rPr>
          <w:rFonts w:eastAsiaTheme="minorEastAsia"/>
          <w:color w:val="000000"/>
          <w:sz w:val="24"/>
        </w:rPr>
        <w:t>的</w:t>
      </w:r>
      <w:r w:rsidR="0050256F" w:rsidRPr="00106DAF">
        <w:rPr>
          <w:rFonts w:eastAsiaTheme="minorEastAsia"/>
          <w:color w:val="000000"/>
          <w:sz w:val="24"/>
        </w:rPr>
        <w:t>202</w:t>
      </w:r>
      <w:r w:rsidR="00D116B9">
        <w:rPr>
          <w:rFonts w:eastAsiaTheme="minorEastAsia"/>
          <w:color w:val="000000"/>
          <w:sz w:val="24"/>
        </w:rPr>
        <w:t>5</w:t>
      </w:r>
      <w:r w:rsidRPr="00106DAF">
        <w:rPr>
          <w:rFonts w:eastAsiaTheme="minorEastAsia"/>
          <w:color w:val="000000"/>
          <w:sz w:val="24"/>
        </w:rPr>
        <w:t>年</w:t>
      </w:r>
      <w:r w:rsidR="00B71C78" w:rsidRPr="00106DAF">
        <w:rPr>
          <w:rFonts w:eastAsiaTheme="minorEastAsia" w:hint="eastAsia"/>
          <w:color w:val="000000"/>
          <w:sz w:val="24"/>
        </w:rPr>
        <w:t>年度</w:t>
      </w:r>
      <w:r w:rsidR="00D767D6" w:rsidRPr="00106DAF">
        <w:rPr>
          <w:rFonts w:eastAsiaTheme="minorEastAsia"/>
          <w:color w:val="000000"/>
          <w:sz w:val="24"/>
        </w:rPr>
        <w:t>报告全文于</w:t>
      </w:r>
      <w:r w:rsidR="00F10D55" w:rsidRPr="00106DAF">
        <w:rPr>
          <w:rFonts w:eastAsiaTheme="minorEastAsia"/>
          <w:color w:val="000000"/>
          <w:sz w:val="24"/>
        </w:rPr>
        <w:t>202</w:t>
      </w:r>
      <w:r w:rsidR="00D116B9">
        <w:rPr>
          <w:rFonts w:eastAsiaTheme="minorEastAsia"/>
          <w:color w:val="000000"/>
          <w:sz w:val="24"/>
        </w:rPr>
        <w:t>6</w:t>
      </w:r>
      <w:r w:rsidR="00D767D6" w:rsidRPr="00106DAF">
        <w:rPr>
          <w:rFonts w:eastAsiaTheme="minorEastAsia"/>
          <w:color w:val="000000"/>
          <w:sz w:val="24"/>
        </w:rPr>
        <w:t>年</w:t>
      </w:r>
      <w:r w:rsidR="00B71C78" w:rsidRPr="00106DAF">
        <w:rPr>
          <w:rFonts w:eastAsiaTheme="minorEastAsia"/>
          <w:color w:val="000000"/>
          <w:sz w:val="24"/>
        </w:rPr>
        <w:t>3</w:t>
      </w:r>
      <w:r w:rsidR="00D767D6" w:rsidRPr="00106DAF">
        <w:rPr>
          <w:rFonts w:eastAsiaTheme="minorEastAsia"/>
          <w:color w:val="000000"/>
          <w:sz w:val="24"/>
        </w:rPr>
        <w:t>月</w:t>
      </w:r>
      <w:r w:rsidR="00D116B9">
        <w:rPr>
          <w:rFonts w:eastAsiaTheme="minorEastAsia"/>
          <w:color w:val="000000"/>
          <w:sz w:val="24"/>
        </w:rPr>
        <w:t>30</w:t>
      </w:r>
      <w:r w:rsidR="00D767D6" w:rsidRPr="00106DAF">
        <w:rPr>
          <w:rFonts w:eastAsiaTheme="minorEastAsia"/>
          <w:color w:val="000000"/>
          <w:sz w:val="24"/>
        </w:rPr>
        <w:t>日在本公司网站（</w:t>
      </w:r>
      <w:hyperlink r:id="rId7" w:history="1">
        <w:r w:rsidR="00D767D6" w:rsidRPr="00106DAF">
          <w:rPr>
            <w:rStyle w:val="a3"/>
            <w:sz w:val="24"/>
          </w:rPr>
          <w:t>www.tkfunds.com.cn</w:t>
        </w:r>
      </w:hyperlink>
      <w:r w:rsidR="00D767D6" w:rsidRPr="00106DAF">
        <w:rPr>
          <w:rStyle w:val="a3"/>
          <w:sz w:val="24"/>
          <w:u w:val="none"/>
        </w:rPr>
        <w:t>）</w:t>
      </w:r>
      <w:r w:rsidR="00D767D6" w:rsidRPr="00106DAF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106DAF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106DAF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106DAF">
        <w:rPr>
          <w:sz w:val="24"/>
        </w:rPr>
        <w:t>4001895522</w:t>
      </w:r>
      <w:r w:rsidR="00D767D6" w:rsidRPr="00106DAF">
        <w:rPr>
          <w:rFonts w:eastAsiaTheme="minorEastAsia"/>
          <w:color w:val="000000"/>
          <w:sz w:val="24"/>
        </w:rPr>
        <w:t>）咨询。</w:t>
      </w:r>
    </w:p>
    <w:p w:rsidR="00D767D6" w:rsidRPr="00106DAF" w:rsidRDefault="00D767D6" w:rsidP="0059775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106DAF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Pr="00106DAF" w:rsidRDefault="00D767D6" w:rsidP="0059775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106DAF">
        <w:rPr>
          <w:rFonts w:eastAsiaTheme="minorEastAsia"/>
          <w:color w:val="000000"/>
          <w:sz w:val="24"/>
        </w:rPr>
        <w:t>特此公告。</w:t>
      </w:r>
    </w:p>
    <w:p w:rsidR="008114E7" w:rsidRPr="00106DAF" w:rsidRDefault="008114E7" w:rsidP="0059775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106DAF" w:rsidRDefault="00DE1531" w:rsidP="0059775C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106DAF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106DAF">
        <w:rPr>
          <w:sz w:val="24"/>
        </w:rPr>
        <w:t>泰康</w:t>
      </w:r>
      <w:r w:rsidR="00DD418E" w:rsidRPr="00106DAF">
        <w:rPr>
          <w:rFonts w:hint="eastAsia"/>
          <w:sz w:val="24"/>
        </w:rPr>
        <w:t>基金</w:t>
      </w:r>
      <w:r w:rsidR="00DD418E" w:rsidRPr="00106DAF">
        <w:rPr>
          <w:sz w:val="24"/>
        </w:rPr>
        <w:t>管理有限</w:t>
      </w:r>
      <w:r w:rsidR="00D552A4" w:rsidRPr="00106DAF">
        <w:rPr>
          <w:sz w:val="24"/>
        </w:rPr>
        <w:t>公司</w:t>
      </w:r>
    </w:p>
    <w:p w:rsidR="0044626D" w:rsidRPr="00F71180" w:rsidRDefault="00D30AC8" w:rsidP="00C95366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106DAF">
        <w:rPr>
          <w:rFonts w:eastAsiaTheme="minorEastAsia"/>
          <w:color w:val="000000"/>
          <w:sz w:val="24"/>
        </w:rPr>
        <w:t>202</w:t>
      </w:r>
      <w:r w:rsidR="00D116B9">
        <w:rPr>
          <w:rFonts w:eastAsiaTheme="minorEastAsia"/>
          <w:color w:val="000000"/>
          <w:sz w:val="24"/>
        </w:rPr>
        <w:t>6</w:t>
      </w:r>
      <w:r w:rsidRPr="00106DAF">
        <w:rPr>
          <w:rFonts w:eastAsiaTheme="minorEastAsia"/>
          <w:color w:val="000000"/>
          <w:sz w:val="24"/>
        </w:rPr>
        <w:t>年</w:t>
      </w:r>
      <w:r w:rsidR="00B71C78" w:rsidRPr="00106DAF">
        <w:rPr>
          <w:rFonts w:eastAsiaTheme="minorEastAsia"/>
          <w:color w:val="000000"/>
          <w:sz w:val="24"/>
        </w:rPr>
        <w:t>3</w:t>
      </w:r>
      <w:r w:rsidRPr="00106DAF">
        <w:rPr>
          <w:rFonts w:eastAsiaTheme="minorEastAsia"/>
          <w:color w:val="000000"/>
          <w:sz w:val="24"/>
        </w:rPr>
        <w:t>月</w:t>
      </w:r>
      <w:r w:rsidR="00D116B9">
        <w:rPr>
          <w:rFonts w:eastAsiaTheme="minorEastAsia"/>
          <w:color w:val="000000"/>
          <w:sz w:val="24"/>
        </w:rPr>
        <w:t>30</w:t>
      </w:r>
      <w:r w:rsidRPr="00106DAF">
        <w:rPr>
          <w:rFonts w:eastAsiaTheme="minorEastAsia"/>
          <w:color w:val="000000"/>
          <w:sz w:val="24"/>
        </w:rPr>
        <w:t>日</w:t>
      </w:r>
    </w:p>
    <w:sectPr w:rsidR="0044626D" w:rsidRPr="00F71180" w:rsidSect="00C9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B9" w:rsidRDefault="000C4FB9" w:rsidP="00E82737">
      <w:r>
        <w:separator/>
      </w:r>
    </w:p>
  </w:endnote>
  <w:endnote w:type="continuationSeparator" w:id="0">
    <w:p w:rsidR="000C4FB9" w:rsidRDefault="000C4FB9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B9" w:rsidRDefault="000C4FB9" w:rsidP="00E82737">
      <w:r>
        <w:separator/>
      </w:r>
    </w:p>
  </w:footnote>
  <w:footnote w:type="continuationSeparator" w:id="0">
    <w:p w:rsidR="000C4FB9" w:rsidRDefault="000C4FB9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C4FB9"/>
    <w:rsid w:val="000D6A9C"/>
    <w:rsid w:val="00106DAF"/>
    <w:rsid w:val="00124665"/>
    <w:rsid w:val="001262CD"/>
    <w:rsid w:val="0013553C"/>
    <w:rsid w:val="0016087E"/>
    <w:rsid w:val="001E31C9"/>
    <w:rsid w:val="00277B4B"/>
    <w:rsid w:val="002E4436"/>
    <w:rsid w:val="00310931"/>
    <w:rsid w:val="00340F40"/>
    <w:rsid w:val="003A53E0"/>
    <w:rsid w:val="003B0DE9"/>
    <w:rsid w:val="00400A59"/>
    <w:rsid w:val="00415F4E"/>
    <w:rsid w:val="004320BF"/>
    <w:rsid w:val="00442D65"/>
    <w:rsid w:val="0044626D"/>
    <w:rsid w:val="004922FB"/>
    <w:rsid w:val="004C3DFC"/>
    <w:rsid w:val="004F2899"/>
    <w:rsid w:val="004F460E"/>
    <w:rsid w:val="0050256F"/>
    <w:rsid w:val="0059775C"/>
    <w:rsid w:val="005A1FAD"/>
    <w:rsid w:val="005B28F9"/>
    <w:rsid w:val="005B48A6"/>
    <w:rsid w:val="005E1599"/>
    <w:rsid w:val="00615114"/>
    <w:rsid w:val="00616368"/>
    <w:rsid w:val="00625EE9"/>
    <w:rsid w:val="00742A59"/>
    <w:rsid w:val="007A62DD"/>
    <w:rsid w:val="007F20E6"/>
    <w:rsid w:val="008114E7"/>
    <w:rsid w:val="008212B0"/>
    <w:rsid w:val="008479C8"/>
    <w:rsid w:val="00862490"/>
    <w:rsid w:val="0088139D"/>
    <w:rsid w:val="00925092"/>
    <w:rsid w:val="00992433"/>
    <w:rsid w:val="00A14291"/>
    <w:rsid w:val="00A44C45"/>
    <w:rsid w:val="00A60B82"/>
    <w:rsid w:val="00B4160B"/>
    <w:rsid w:val="00B71C78"/>
    <w:rsid w:val="00C36CC4"/>
    <w:rsid w:val="00C735AC"/>
    <w:rsid w:val="00C95366"/>
    <w:rsid w:val="00CB356E"/>
    <w:rsid w:val="00CF16D5"/>
    <w:rsid w:val="00D116B9"/>
    <w:rsid w:val="00D30AC8"/>
    <w:rsid w:val="00D552A4"/>
    <w:rsid w:val="00D767D6"/>
    <w:rsid w:val="00D77399"/>
    <w:rsid w:val="00DD418E"/>
    <w:rsid w:val="00DE1531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71180"/>
    <w:rsid w:val="00FC0A0D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4</DocSecurity>
  <Lines>18</Lines>
  <Paragraphs>5</Paragraphs>
  <ScaleCrop>false</ScaleCrop>
  <Company>7-organization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2026-03-29T16:00:00Z</dcterms:created>
  <dcterms:modified xsi:type="dcterms:W3CDTF">2026-03-29T16:00:00Z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33b85f0ce0f11ed800073e7000073e7">
    <vt:lpwstr>CWMoOpm5W11R5yfcIEgymT2Zh/PQIy4MM2PeHmIC/6UglfT5SS19c4mXbrfv/eD1RJta7Ibe6qXcd7GIh7et96CpQ==</vt:lpwstr>
  </property>
</Properties>
</file>