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C2" w:rsidRDefault="0046671A" w:rsidP="0046671A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7C42C2" w:rsidRDefault="0046671A" w:rsidP="0046671A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6"/>
          <w:szCs w:val="32"/>
        </w:rPr>
        <w:t>5</w:t>
      </w:r>
      <w:r>
        <w:rPr>
          <w:rFonts w:ascii="仿宋" w:eastAsia="仿宋" w:hAnsi="仿宋"/>
          <w:b/>
          <w:color w:val="000000" w:themeColor="text1"/>
          <w:sz w:val="36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</w:t>
      </w:r>
      <w:r>
        <w:rPr>
          <w:rFonts w:ascii="仿宋" w:eastAsia="仿宋" w:hAnsi="仿宋"/>
          <w:b/>
          <w:color w:val="000000" w:themeColor="text1"/>
          <w:sz w:val="36"/>
          <w:szCs w:val="32"/>
        </w:rPr>
        <w:t>报告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7C42C2" w:rsidRDefault="007C42C2" w:rsidP="0046671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C42C2" w:rsidRDefault="004667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（以下简称“本公司”）董事会及董事保证基金年度报告所载资料不存在虚假记载、误导性陈述或重大遗漏，并对其内容的真实性、准确性和完整性承担个别及连带责任。</w:t>
      </w:r>
    </w:p>
    <w:p w:rsidR="007C42C2" w:rsidRDefault="004667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年年度报告的基金如下：</w:t>
      </w:r>
    </w:p>
    <w:tbl>
      <w:tblPr>
        <w:tblStyle w:val="a9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7C42C2">
        <w:trPr>
          <w:trHeight w:val="390"/>
        </w:trPr>
        <w:tc>
          <w:tcPr>
            <w:tcW w:w="988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2"/>
            <w:bookmarkStart w:id="2" w:name="OLE_LINK1"/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bookmarkEnd w:id="0"/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创金合信聚利债券型证券投资基金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创金合信货币市场基金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创金合信转债精选债券型证券投资基金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创金合信沪深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创金合信季安鑫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创金合信量化多因子股票型证券投资基金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创金合信尊盛纯债债券型证券投资基金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创金合信尊享纯债债券型证券投资基金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创金合信消费主题股票型证券投资基金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创金合信医疗保健行业股票型证券投资基金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创金合信尊丰纯债债券型证券投资基金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14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创金合信量化发现灵活配置混合型证券投资基金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创金合信尊泰纯债债券型证券投资基金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创金合信尊隆纯债债券型证券投资基金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创金合信尊智纯债债券型证券投资基金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创金合信优选回报灵活配置混合型证券投资基金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创金合信恒利超短债债券型证券投资基金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创金合信恒兴中短债债券型证券投资基金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创金合信信用红利债券型证券投资基金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创金合信泰盈双季红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年国开行债券指数证券投资基金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创金合信汇嘉三个月定期开放债券型发起式证券投资基金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创金合信鑫利混合型证券投资基金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创金合信鑫祺混合型证券投资基金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创金合信稳健增利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创金合信泰博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66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创金合信泰享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创金合信鑫祥混合型证券投资基金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创金合信景雯灵活配置混合型证券投资基金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创金合信港股通量化股票型证券投资基金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创金合信创新驱动股票型证券投资基金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ESG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责任投资股票型发起式证券投资基金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创金合信竞争优势混合型证券投资基金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创金合信积极成长股票型发起式证券投资基金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创金合信群力一年定期开放混合型管理人中管理人（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MOM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创金合信鑫瑞混合型证券投资基金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创金合信先进装备股票型发起式证券投资基金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创金合信双季享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创金合信聚鑫债券型证券投资基金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创金合信港股互联网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创金合信产业智选混合型证券投资基金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创金合信尊泓债券型证券投资基金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创金合信文娱媒体股票型发起式证券投资基金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创金合信碳中和混合型证券投资基金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创金合信宜久来福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创金合信芯片产业股票型发起式证券投资基金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创金合信大健康混合型证券投资基金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创金合信恒宁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创金合信尊睿债券型证券投资基金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创金合信兴选产业趋势混合型证券投资基金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创金合信专精特新股票型发起式证券投资基金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创金合信汇鑫一年定期开放债券型发起式证券投资基金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创金合信稳健添利债券型证券投资基金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创金合信中证同业存单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AAA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创金合信软件产业股票型发起式证券投资基金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创金合信医药优选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创金合信怡久回报债券型证券投资基金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创金合信产业臻选平衡混合型证券投资基金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创金合信宁和平衡养老目标三年持有期混合型发起式基金中基金（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创金合信利泽纯债债券型证券投资基金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创金合信中证科创创业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创金合信全球芯片产业股票型发起式证券投资基金（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017728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创金合信荣和积极养老目标五年持有期混合型发起式基金中基金（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创金合信全球医药生物股票型发起式证券投资基金（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84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创金合信益久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85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创金合信汇选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86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创金合信利辉利率债债券型证券投资基金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87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创金合信启富优选股票型发起式证券投资基金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88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创金合信北证</w:t>
            </w:r>
            <w:r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成份指数增强型证券投资基金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89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创金合信利元纯债债券型证券投资基金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90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创金合信均益量化选股混合型证券投资基金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91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92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创金合信红利甄选量化选股混合型证券投资基金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93</w:t>
            </w:r>
          </w:p>
        </w:tc>
        <w:tc>
          <w:tcPr>
            <w:tcW w:w="1559" w:type="dxa"/>
            <w:noWrap/>
          </w:tcPr>
          <w:p w:rsidR="007C42C2" w:rsidRDefault="004667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</w:tcPr>
          <w:p w:rsidR="007C42C2" w:rsidRDefault="004667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创金合信恒睿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94</w:t>
            </w:r>
          </w:p>
        </w:tc>
        <w:tc>
          <w:tcPr>
            <w:tcW w:w="1559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vAlign w:val="center"/>
          </w:tcPr>
          <w:p w:rsidR="007C42C2" w:rsidRDefault="0046671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创金合信创和一个月滚动持有债券型证券投资基金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95</w:t>
            </w:r>
          </w:p>
        </w:tc>
        <w:tc>
          <w:tcPr>
            <w:tcW w:w="1559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023485</w:t>
            </w:r>
          </w:p>
        </w:tc>
        <w:tc>
          <w:tcPr>
            <w:tcW w:w="6095" w:type="dxa"/>
            <w:noWrap/>
            <w:vAlign w:val="center"/>
          </w:tcPr>
          <w:p w:rsidR="007C42C2" w:rsidRDefault="0046671A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创金合信文丰债券型证券投资基金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96</w:t>
            </w:r>
          </w:p>
        </w:tc>
        <w:tc>
          <w:tcPr>
            <w:tcW w:w="1559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508039</w:t>
            </w:r>
          </w:p>
        </w:tc>
        <w:tc>
          <w:tcPr>
            <w:tcW w:w="6095" w:type="dxa"/>
            <w:noWrap/>
            <w:vAlign w:val="center"/>
          </w:tcPr>
          <w:p w:rsidR="007C42C2" w:rsidRDefault="0046671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创金合信首农产业园封闭式基础设施证券投资基金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97</w:t>
            </w:r>
          </w:p>
        </w:tc>
        <w:tc>
          <w:tcPr>
            <w:tcW w:w="1559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023287</w:t>
            </w:r>
          </w:p>
        </w:tc>
        <w:tc>
          <w:tcPr>
            <w:tcW w:w="6095" w:type="dxa"/>
            <w:noWrap/>
            <w:vAlign w:val="center"/>
          </w:tcPr>
          <w:p w:rsidR="007C42C2" w:rsidRDefault="0046671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创金合信恒荣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天持有期债券型证券投资基金</w:t>
            </w:r>
          </w:p>
        </w:tc>
      </w:tr>
      <w:tr w:rsidR="007C42C2">
        <w:trPr>
          <w:trHeight w:val="390"/>
        </w:trPr>
        <w:tc>
          <w:tcPr>
            <w:tcW w:w="988" w:type="dxa"/>
            <w:noWrap/>
            <w:vAlign w:val="center"/>
          </w:tcPr>
          <w:p w:rsidR="007C42C2" w:rsidRDefault="0046671A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98</w:t>
            </w:r>
          </w:p>
        </w:tc>
        <w:tc>
          <w:tcPr>
            <w:tcW w:w="1559" w:type="dxa"/>
            <w:noWrap/>
            <w:vAlign w:val="center"/>
          </w:tcPr>
          <w:p w:rsidR="007C42C2" w:rsidRDefault="0046671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563890</w:t>
            </w:r>
          </w:p>
        </w:tc>
        <w:tc>
          <w:tcPr>
            <w:tcW w:w="6095" w:type="dxa"/>
            <w:noWrap/>
            <w:vAlign w:val="center"/>
          </w:tcPr>
          <w:p w:rsidR="007C42C2" w:rsidRDefault="0046671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创金合信中证国有企业红利交易型开放式指数证券投资基金</w:t>
            </w:r>
          </w:p>
        </w:tc>
      </w:tr>
    </w:tbl>
    <w:p w:rsidR="007C42C2" w:rsidRDefault="004667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年年度报告全文于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/>
            <w:sz w:val="32"/>
            <w:szCs w:val="32"/>
          </w:rPr>
          <w:t>www.cjhxfund.com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>
        <w:rPr>
          <w:rFonts w:ascii="仿宋" w:eastAsia="仿宋" w:hAnsi="仿宋"/>
          <w:color w:val="000000" w:themeColor="text1"/>
          <w:sz w:val="32"/>
          <w:szCs w:val="32"/>
        </w:rPr>
        <w:t>400-868-0666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C42C2" w:rsidRDefault="004667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</w:t>
      </w:r>
      <w:bookmarkStart w:id="3" w:name="_GoBack"/>
      <w:bookmarkEnd w:id="3"/>
      <w:r>
        <w:rPr>
          <w:rFonts w:ascii="仿宋" w:eastAsia="仿宋" w:hAnsi="仿宋" w:hint="eastAsia"/>
          <w:color w:val="000000" w:themeColor="text1"/>
          <w:sz w:val="32"/>
          <w:szCs w:val="32"/>
        </w:rPr>
        <w:t>低收益。请充分了解基金的风险收益特征，审慎做出投资决定。</w:t>
      </w:r>
    </w:p>
    <w:p w:rsidR="007C42C2" w:rsidRDefault="004667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C42C2" w:rsidRDefault="0046671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C42C2" w:rsidRDefault="0046671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7C42C2" w:rsidSect="007C42C2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2C2" w:rsidRDefault="007C42C2" w:rsidP="007C42C2">
      <w:r>
        <w:separator/>
      </w:r>
    </w:p>
  </w:endnote>
  <w:endnote w:type="continuationSeparator" w:id="0">
    <w:p w:rsidR="007C42C2" w:rsidRDefault="007C42C2" w:rsidP="007C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C42C2" w:rsidRDefault="007C42C2">
        <w:pPr>
          <w:pStyle w:val="a5"/>
          <w:jc w:val="center"/>
        </w:pPr>
        <w:r>
          <w:fldChar w:fldCharType="begin"/>
        </w:r>
        <w:r w:rsidR="0046671A">
          <w:instrText>PAGE   \* MERGEFORMAT</w:instrText>
        </w:r>
        <w:r>
          <w:fldChar w:fldCharType="separate"/>
        </w:r>
        <w:r w:rsidR="0046671A">
          <w:rPr>
            <w:lang w:val="zh-CN"/>
          </w:rPr>
          <w:t>2</w:t>
        </w:r>
        <w:r>
          <w:fldChar w:fldCharType="end"/>
        </w:r>
      </w:p>
    </w:sdtContent>
  </w:sdt>
  <w:p w:rsidR="007C42C2" w:rsidRDefault="007C42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C42C2" w:rsidRDefault="007C42C2">
        <w:pPr>
          <w:pStyle w:val="a5"/>
          <w:jc w:val="center"/>
        </w:pPr>
        <w:r>
          <w:fldChar w:fldCharType="begin"/>
        </w:r>
        <w:r w:rsidR="0046671A">
          <w:instrText>PAGE   \* MERGEFORMAT</w:instrText>
        </w:r>
        <w:r>
          <w:fldChar w:fldCharType="separate"/>
        </w:r>
        <w:r w:rsidR="0046671A" w:rsidRPr="0046671A">
          <w:rPr>
            <w:noProof/>
            <w:lang w:val="zh-CN"/>
          </w:rPr>
          <w:t>1</w:t>
        </w:r>
        <w:r>
          <w:fldChar w:fldCharType="end"/>
        </w:r>
      </w:p>
    </w:sdtContent>
  </w:sdt>
  <w:p w:rsidR="007C42C2" w:rsidRDefault="007C42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2C2" w:rsidRDefault="007C42C2" w:rsidP="007C42C2">
      <w:r>
        <w:separator/>
      </w:r>
    </w:p>
  </w:footnote>
  <w:footnote w:type="continuationSeparator" w:id="0">
    <w:p w:rsidR="007C42C2" w:rsidRDefault="007C42C2" w:rsidP="007C4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671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3F00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21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2C2"/>
    <w:rsid w:val="007C51E4"/>
    <w:rsid w:val="007D4066"/>
    <w:rsid w:val="007E3EED"/>
    <w:rsid w:val="007F136D"/>
    <w:rsid w:val="007F60CB"/>
    <w:rsid w:val="00800661"/>
    <w:rsid w:val="00801AAB"/>
    <w:rsid w:val="00805114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0C99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7DCB"/>
    <w:rsid w:val="00A90A06"/>
    <w:rsid w:val="00AB49A1"/>
    <w:rsid w:val="00AB5B8F"/>
    <w:rsid w:val="00AC1161"/>
    <w:rsid w:val="00AD18DD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B17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151"/>
    <w:rsid w:val="00E83BC2"/>
    <w:rsid w:val="00E939B8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F7A2129"/>
    <w:rsid w:val="175059DC"/>
    <w:rsid w:val="18A56B4C"/>
    <w:rsid w:val="281F0346"/>
    <w:rsid w:val="2F3E3F9B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C42C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C42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C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C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C42C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C42C2"/>
    <w:rPr>
      <w:b/>
      <w:bCs/>
    </w:rPr>
  </w:style>
  <w:style w:type="table" w:styleId="a9">
    <w:name w:val="Table Grid"/>
    <w:basedOn w:val="a1"/>
    <w:uiPriority w:val="59"/>
    <w:rsid w:val="007C4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7C42C2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C42C2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7C42C2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7C42C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C42C2"/>
    <w:rPr>
      <w:sz w:val="18"/>
      <w:szCs w:val="18"/>
    </w:rPr>
  </w:style>
  <w:style w:type="paragraph" w:styleId="ad">
    <w:name w:val="List Paragraph"/>
    <w:basedOn w:val="a"/>
    <w:uiPriority w:val="34"/>
    <w:qFormat/>
    <w:rsid w:val="007C42C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C42C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C42C2"/>
  </w:style>
  <w:style w:type="character" w:customStyle="1" w:styleId="Char4">
    <w:name w:val="批注主题 Char"/>
    <w:basedOn w:val="Char"/>
    <w:link w:val="a8"/>
    <w:uiPriority w:val="99"/>
    <w:semiHidden/>
    <w:qFormat/>
    <w:rsid w:val="007C42C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C42C2"/>
    <w:rPr>
      <w:sz w:val="18"/>
      <w:szCs w:val="18"/>
    </w:rPr>
  </w:style>
  <w:style w:type="paragraph" w:customStyle="1" w:styleId="1">
    <w:name w:val="修订1"/>
    <w:hidden/>
    <w:uiPriority w:val="99"/>
    <w:semiHidden/>
    <w:rsid w:val="007C42C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jhx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8912-E899-40F0-9D1D-C2135D6C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4</DocSecurity>
  <Lines>26</Lines>
  <Paragraphs>7</Paragraphs>
  <ScaleCrop>false</ScaleCrop>
  <Company>CNSTOCK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2026-03-29T16:00:00Z</dcterms:created>
  <dcterms:modified xsi:type="dcterms:W3CDTF">2026-03-29T16:00:00Z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C7F72637752846F0B1E178F8862B7F91</vt:lpwstr>
  </property>
</Properties>
</file>