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FF" w:rsidRDefault="007655DF">
      <w:pPr>
        <w:spacing w:line="360" w:lineRule="auto"/>
        <w:jc w:val="center"/>
        <w:rPr>
          <w:rFonts w:ascii="宋体" w:eastAsia="宋体" w:hAnsi="Times New Roman" w:cs="宋体"/>
          <w:b/>
          <w:color w:val="000000"/>
          <w:kern w:val="0"/>
          <w:szCs w:val="21"/>
        </w:rPr>
      </w:pP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平安基金管理有限公司</w:t>
      </w:r>
    </w:p>
    <w:p w:rsidR="00AA1BFF" w:rsidRDefault="007655DF">
      <w:pPr>
        <w:spacing w:line="360" w:lineRule="auto"/>
        <w:jc w:val="center"/>
        <w:rPr>
          <w:rFonts w:hAnsi="宋体"/>
          <w:szCs w:val="21"/>
        </w:rPr>
      </w:pP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关于旗下</w:t>
      </w: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ETF</w:t>
      </w: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基金新增中国国际金融股份有限公司为申购赎回代办机构的公告</w:t>
      </w: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 xml:space="preserve"> </w:t>
      </w:r>
    </w:p>
    <w:p w:rsidR="00AA1BFF" w:rsidRDefault="007655DF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根据平安基金管理有限公司（以下简称“本公司”）与中国国际金融股份有限公司签署的协议，并经</w:t>
      </w:r>
      <w:r>
        <w:rPr>
          <w:rFonts w:hAnsi="宋体" w:hint="eastAsia"/>
          <w:sz w:val="21"/>
          <w:szCs w:val="21"/>
        </w:rPr>
        <w:t>深圳</w:t>
      </w:r>
      <w:r>
        <w:rPr>
          <w:rFonts w:hAnsi="宋体" w:hint="eastAsia"/>
          <w:sz w:val="21"/>
          <w:szCs w:val="21"/>
        </w:rPr>
        <w:t>证券交易所确认，本公司决定自</w:t>
      </w:r>
      <w:r>
        <w:rPr>
          <w:rFonts w:hAnsi="宋体" w:hint="eastAsia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6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3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27</w:t>
      </w:r>
      <w:r>
        <w:rPr>
          <w:rFonts w:hAnsi="宋体" w:hint="eastAsia"/>
          <w:sz w:val="21"/>
          <w:szCs w:val="21"/>
        </w:rPr>
        <w:t>日起增加以上机构为如下基金的申购</w:t>
      </w:r>
      <w:r>
        <w:rPr>
          <w:rFonts w:hAnsi="宋体"/>
          <w:sz w:val="21"/>
          <w:szCs w:val="21"/>
        </w:rPr>
        <w:t>赎回代办</w:t>
      </w:r>
      <w:r>
        <w:rPr>
          <w:rFonts w:hAnsi="宋体" w:hint="eastAsia"/>
          <w:sz w:val="21"/>
          <w:szCs w:val="21"/>
        </w:rPr>
        <w:t>券商，投资者可通过以上机构办理以下基金的申购赎回业务。</w:t>
      </w:r>
    </w:p>
    <w:tbl>
      <w:tblPr>
        <w:tblW w:w="8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4065"/>
        <w:gridCol w:w="1095"/>
        <w:gridCol w:w="2369"/>
      </w:tblGrid>
      <w:tr w:rsidR="00AA1BFF">
        <w:trPr>
          <w:trHeight w:val="437"/>
          <w:jc w:val="center"/>
        </w:trPr>
        <w:tc>
          <w:tcPr>
            <w:tcW w:w="735" w:type="dxa"/>
            <w:shd w:val="clear" w:color="000000" w:fill="FFFFFF"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65" w:type="dxa"/>
            <w:shd w:val="clear" w:color="000000" w:fill="FFFFFF"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产品全称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场内简称</w:t>
            </w:r>
          </w:p>
        </w:tc>
      </w:tr>
      <w:tr w:rsidR="00AA1BFF">
        <w:trPr>
          <w:trHeight w:val="627"/>
          <w:jc w:val="center"/>
        </w:trPr>
        <w:tc>
          <w:tcPr>
            <w:tcW w:w="73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6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159593</w:t>
            </w:r>
          </w:p>
        </w:tc>
        <w:tc>
          <w:tcPr>
            <w:tcW w:w="2369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  <w:tr w:rsidR="00AA1BFF">
        <w:trPr>
          <w:trHeight w:val="627"/>
          <w:jc w:val="center"/>
        </w:trPr>
        <w:tc>
          <w:tcPr>
            <w:tcW w:w="73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6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平安中证沪深港黄金产业股票交易型开放式指数证券投资基金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159322</w:t>
            </w:r>
          </w:p>
        </w:tc>
        <w:tc>
          <w:tcPr>
            <w:tcW w:w="2369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黄金股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  <w:tr w:rsidR="00AA1BFF">
        <w:trPr>
          <w:trHeight w:val="627"/>
          <w:jc w:val="center"/>
        </w:trPr>
        <w:tc>
          <w:tcPr>
            <w:tcW w:w="73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6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平安中证汽车零部件主题交易型开放式指数证券投资基金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159306</w:t>
            </w:r>
          </w:p>
        </w:tc>
        <w:tc>
          <w:tcPr>
            <w:tcW w:w="2369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  <w:tr w:rsidR="00AA1BFF">
        <w:trPr>
          <w:trHeight w:val="628"/>
          <w:jc w:val="center"/>
        </w:trPr>
        <w:tc>
          <w:tcPr>
            <w:tcW w:w="73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6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159215</w:t>
            </w:r>
          </w:p>
        </w:tc>
        <w:tc>
          <w:tcPr>
            <w:tcW w:w="2369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  <w:tr w:rsidR="00AA1BFF">
        <w:trPr>
          <w:trHeight w:val="628"/>
          <w:jc w:val="center"/>
        </w:trPr>
        <w:tc>
          <w:tcPr>
            <w:tcW w:w="73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65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平安中证全指自由现金流交易型开放式指数证券投资基金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159233</w:t>
            </w:r>
          </w:p>
        </w:tc>
        <w:tc>
          <w:tcPr>
            <w:tcW w:w="2369" w:type="dxa"/>
            <w:shd w:val="clear" w:color="000000" w:fill="FFFFFF"/>
            <w:noWrap/>
            <w:vAlign w:val="center"/>
          </w:tcPr>
          <w:p w:rsidR="00AA1BFF" w:rsidRDefault="00765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自由现金流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</w:tbl>
    <w:p w:rsidR="00AA1BFF" w:rsidRDefault="007655DF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投资者可通过以下渠道咨询详情</w:t>
      </w:r>
      <w:r>
        <w:rPr>
          <w:rFonts w:hint="eastAsia"/>
          <w:sz w:val="21"/>
          <w:szCs w:val="21"/>
        </w:rPr>
        <w:t xml:space="preserve">: </w:t>
      </w:r>
    </w:p>
    <w:p w:rsidR="00AA1BFF" w:rsidRDefault="007655DF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Ansi="宋体" w:hint="eastAsia"/>
          <w:sz w:val="21"/>
          <w:szCs w:val="21"/>
        </w:rPr>
        <w:t>中国国际金融股份有限公司</w:t>
      </w:r>
      <w:r>
        <w:rPr>
          <w:rFonts w:hAnsi="宋体" w:hint="eastAsia"/>
          <w:sz w:val="21"/>
          <w:szCs w:val="21"/>
        </w:rPr>
        <w:t xml:space="preserve">                                                              </w:t>
      </w:r>
    </w:p>
    <w:p w:rsidR="00AA1BFF" w:rsidRDefault="007655DF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客服电话：</w:t>
      </w:r>
      <w:r>
        <w:rPr>
          <w:rFonts w:hAnsi="宋体" w:hint="eastAsia"/>
          <w:sz w:val="21"/>
          <w:szCs w:val="21"/>
        </w:rPr>
        <w:t>4008209068</w:t>
      </w:r>
    </w:p>
    <w:p w:rsidR="00AA1BFF" w:rsidRDefault="007655DF">
      <w:pPr>
        <w:pStyle w:val="Default"/>
        <w:tabs>
          <w:tab w:val="left" w:pos="6516"/>
        </w:tabs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网址：</w:t>
      </w:r>
      <w:r>
        <w:rPr>
          <w:rFonts w:hAnsi="宋体" w:hint="eastAsia"/>
          <w:sz w:val="21"/>
          <w:szCs w:val="21"/>
        </w:rPr>
        <w:t xml:space="preserve"> www.cicc.com</w:t>
      </w:r>
      <w:r>
        <w:rPr>
          <w:rFonts w:hAnsi="宋体" w:hint="eastAsia"/>
          <w:sz w:val="21"/>
          <w:szCs w:val="21"/>
        </w:rPr>
        <w:tab/>
      </w:r>
    </w:p>
    <w:p w:rsidR="00AA1BFF" w:rsidRDefault="007655DF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平安基金管理有限公司</w:t>
      </w:r>
      <w:bookmarkStart w:id="0" w:name="_GoBack"/>
      <w:bookmarkEnd w:id="0"/>
    </w:p>
    <w:p w:rsidR="00AA1BFF" w:rsidRDefault="007655DF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客服电话：</w:t>
      </w:r>
      <w:r>
        <w:rPr>
          <w:sz w:val="21"/>
          <w:szCs w:val="21"/>
        </w:rPr>
        <w:t>400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800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4800</w:t>
      </w:r>
    </w:p>
    <w:p w:rsidR="00AA1BFF" w:rsidRDefault="007655DF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网址：</w:t>
      </w:r>
      <w:r>
        <w:rPr>
          <w:sz w:val="21"/>
          <w:szCs w:val="21"/>
        </w:rPr>
        <w:t xml:space="preserve">fund.pingan.com </w:t>
      </w:r>
    </w:p>
    <w:p w:rsidR="00AA1BFF" w:rsidRDefault="007655DF" w:rsidP="007655DF">
      <w:pPr>
        <w:pStyle w:val="Default"/>
        <w:spacing w:line="360" w:lineRule="auto"/>
        <w:ind w:firstLineChars="200"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AA1BFF" w:rsidRDefault="007655DF">
      <w:pPr>
        <w:pStyle w:val="Default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特此公告。</w:t>
      </w:r>
      <w:r>
        <w:rPr>
          <w:rFonts w:hint="eastAsia"/>
          <w:sz w:val="21"/>
          <w:szCs w:val="21"/>
        </w:rPr>
        <w:t xml:space="preserve"> </w:t>
      </w:r>
    </w:p>
    <w:p w:rsidR="00AA1BFF" w:rsidRDefault="007655DF">
      <w:pPr>
        <w:pStyle w:val="Default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</w:t>
      </w:r>
      <w:r>
        <w:rPr>
          <w:rFonts w:hint="eastAsia"/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              </w:t>
      </w:r>
      <w:r>
        <w:rPr>
          <w:rFonts w:hint="eastAsia"/>
          <w:sz w:val="21"/>
          <w:szCs w:val="21"/>
        </w:rPr>
        <w:t>平安基金管理有限公司</w:t>
      </w:r>
      <w:r>
        <w:rPr>
          <w:rFonts w:hint="eastAsia"/>
          <w:sz w:val="21"/>
          <w:szCs w:val="21"/>
        </w:rPr>
        <w:t xml:space="preserve"> </w:t>
      </w:r>
    </w:p>
    <w:p w:rsidR="00AA1BFF" w:rsidRDefault="007655DF">
      <w:pPr>
        <w:pStyle w:val="Default"/>
        <w:spacing w:line="360" w:lineRule="auto"/>
        <w:jc w:val="right"/>
      </w:pPr>
      <w:r>
        <w:rPr>
          <w:rFonts w:hint="eastAsia"/>
        </w:rPr>
        <w:t xml:space="preserve">                                           </w:t>
      </w:r>
      <w:r>
        <w:rPr>
          <w:rFonts w:hint="eastAsia"/>
          <w:sz w:val="21"/>
          <w:szCs w:val="21"/>
        </w:rPr>
        <w:t xml:space="preserve"> </w:t>
      </w:r>
      <w:r>
        <w:rPr>
          <w:rFonts w:hAnsi="宋体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6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3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27</w:t>
      </w:r>
      <w:r>
        <w:rPr>
          <w:rFonts w:hAnsi="宋体" w:hint="eastAsia"/>
          <w:sz w:val="21"/>
          <w:szCs w:val="21"/>
        </w:rPr>
        <w:t>日</w:t>
      </w:r>
    </w:p>
    <w:sectPr w:rsidR="00AA1BFF" w:rsidSect="00AA1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42340"/>
    <w:rsid w:val="84DE51F4"/>
    <w:rsid w:val="8CFDE9B6"/>
    <w:rsid w:val="9FDC1B75"/>
    <w:rsid w:val="A1BF0D30"/>
    <w:rsid w:val="BBFEC01E"/>
    <w:rsid w:val="BFCD2C73"/>
    <w:rsid w:val="BFD3FF3C"/>
    <w:rsid w:val="BFDFB2CC"/>
    <w:rsid w:val="DDFE60F2"/>
    <w:rsid w:val="E61A03A8"/>
    <w:rsid w:val="E75E064D"/>
    <w:rsid w:val="E7E6FCA8"/>
    <w:rsid w:val="EB5D74C2"/>
    <w:rsid w:val="EBFD0782"/>
    <w:rsid w:val="EEFB2A3A"/>
    <w:rsid w:val="EF911FD7"/>
    <w:rsid w:val="EFDB4A93"/>
    <w:rsid w:val="F5FEB29D"/>
    <w:rsid w:val="FBBE8D93"/>
    <w:rsid w:val="FFDFFF78"/>
    <w:rsid w:val="FFE702AE"/>
    <w:rsid w:val="FFFB9EC5"/>
    <w:rsid w:val="00020834"/>
    <w:rsid w:val="000220C6"/>
    <w:rsid w:val="0002555A"/>
    <w:rsid w:val="00030E3A"/>
    <w:rsid w:val="0005360B"/>
    <w:rsid w:val="00075246"/>
    <w:rsid w:val="000946E6"/>
    <w:rsid w:val="000A100A"/>
    <w:rsid w:val="000D498D"/>
    <w:rsid w:val="000E5D68"/>
    <w:rsid w:val="00114281"/>
    <w:rsid w:val="0015367C"/>
    <w:rsid w:val="00172BDC"/>
    <w:rsid w:val="001814C5"/>
    <w:rsid w:val="001B0EBF"/>
    <w:rsid w:val="001E30A1"/>
    <w:rsid w:val="001E313D"/>
    <w:rsid w:val="0021282B"/>
    <w:rsid w:val="00294B8C"/>
    <w:rsid w:val="00360DDF"/>
    <w:rsid w:val="003B10F0"/>
    <w:rsid w:val="003C12DF"/>
    <w:rsid w:val="003C7351"/>
    <w:rsid w:val="00406C56"/>
    <w:rsid w:val="00411A72"/>
    <w:rsid w:val="00432496"/>
    <w:rsid w:val="004455C2"/>
    <w:rsid w:val="004778BD"/>
    <w:rsid w:val="00494F1F"/>
    <w:rsid w:val="004A0398"/>
    <w:rsid w:val="004A5276"/>
    <w:rsid w:val="004B163E"/>
    <w:rsid w:val="004B189B"/>
    <w:rsid w:val="004E6A2F"/>
    <w:rsid w:val="005256E0"/>
    <w:rsid w:val="00545796"/>
    <w:rsid w:val="00546A41"/>
    <w:rsid w:val="00560140"/>
    <w:rsid w:val="00597805"/>
    <w:rsid w:val="005A5CCE"/>
    <w:rsid w:val="005A7E92"/>
    <w:rsid w:val="005E7123"/>
    <w:rsid w:val="0061500D"/>
    <w:rsid w:val="00634D28"/>
    <w:rsid w:val="00671EB7"/>
    <w:rsid w:val="00681420"/>
    <w:rsid w:val="00697BBE"/>
    <w:rsid w:val="006E1F2C"/>
    <w:rsid w:val="006E66C8"/>
    <w:rsid w:val="00703BB4"/>
    <w:rsid w:val="00714F0B"/>
    <w:rsid w:val="007154DC"/>
    <w:rsid w:val="007164BB"/>
    <w:rsid w:val="007655DF"/>
    <w:rsid w:val="0077015F"/>
    <w:rsid w:val="007A08DD"/>
    <w:rsid w:val="007B0B31"/>
    <w:rsid w:val="007B41CF"/>
    <w:rsid w:val="007B4F3D"/>
    <w:rsid w:val="007F6926"/>
    <w:rsid w:val="008258B5"/>
    <w:rsid w:val="00842340"/>
    <w:rsid w:val="00846948"/>
    <w:rsid w:val="00854F9B"/>
    <w:rsid w:val="00872C88"/>
    <w:rsid w:val="008C7E80"/>
    <w:rsid w:val="008D4780"/>
    <w:rsid w:val="009113AA"/>
    <w:rsid w:val="00911FDF"/>
    <w:rsid w:val="00923443"/>
    <w:rsid w:val="009371CA"/>
    <w:rsid w:val="00951898"/>
    <w:rsid w:val="00952BE2"/>
    <w:rsid w:val="0095785E"/>
    <w:rsid w:val="009A095E"/>
    <w:rsid w:val="00A16F5E"/>
    <w:rsid w:val="00A31E1A"/>
    <w:rsid w:val="00A63B79"/>
    <w:rsid w:val="00A70318"/>
    <w:rsid w:val="00AA1BFF"/>
    <w:rsid w:val="00AA3942"/>
    <w:rsid w:val="00AD212E"/>
    <w:rsid w:val="00AE20AC"/>
    <w:rsid w:val="00AE4044"/>
    <w:rsid w:val="00B04B28"/>
    <w:rsid w:val="00B12D7F"/>
    <w:rsid w:val="00B17EF2"/>
    <w:rsid w:val="00B44ECC"/>
    <w:rsid w:val="00B53422"/>
    <w:rsid w:val="00B626B6"/>
    <w:rsid w:val="00B8039B"/>
    <w:rsid w:val="00BB7E35"/>
    <w:rsid w:val="00BF1A5E"/>
    <w:rsid w:val="00BF5916"/>
    <w:rsid w:val="00C03D2E"/>
    <w:rsid w:val="00C446F8"/>
    <w:rsid w:val="00C537B4"/>
    <w:rsid w:val="00C554E1"/>
    <w:rsid w:val="00C81DA9"/>
    <w:rsid w:val="00C86E6D"/>
    <w:rsid w:val="00CB6552"/>
    <w:rsid w:val="00CB7756"/>
    <w:rsid w:val="00CF074E"/>
    <w:rsid w:val="00D02E87"/>
    <w:rsid w:val="00D15826"/>
    <w:rsid w:val="00D276A1"/>
    <w:rsid w:val="00D35807"/>
    <w:rsid w:val="00D46B28"/>
    <w:rsid w:val="00D5778D"/>
    <w:rsid w:val="00D9494A"/>
    <w:rsid w:val="00E02D10"/>
    <w:rsid w:val="00E06260"/>
    <w:rsid w:val="00E17703"/>
    <w:rsid w:val="00E2244A"/>
    <w:rsid w:val="00E53277"/>
    <w:rsid w:val="00EB1D5F"/>
    <w:rsid w:val="00F32D15"/>
    <w:rsid w:val="00F352C6"/>
    <w:rsid w:val="00F37843"/>
    <w:rsid w:val="00F450E6"/>
    <w:rsid w:val="00F50467"/>
    <w:rsid w:val="00F512B1"/>
    <w:rsid w:val="00F728FF"/>
    <w:rsid w:val="00F908A8"/>
    <w:rsid w:val="00FA20F7"/>
    <w:rsid w:val="00FB6308"/>
    <w:rsid w:val="00FC569D"/>
    <w:rsid w:val="00FD0281"/>
    <w:rsid w:val="0FD9DD99"/>
    <w:rsid w:val="1EEA4E67"/>
    <w:rsid w:val="1FD5AFC2"/>
    <w:rsid w:val="32FB5100"/>
    <w:rsid w:val="3BEFDB5C"/>
    <w:rsid w:val="3EABD5C5"/>
    <w:rsid w:val="3FFBD4B5"/>
    <w:rsid w:val="57D95D05"/>
    <w:rsid w:val="5ABB30A4"/>
    <w:rsid w:val="5DEDF3A4"/>
    <w:rsid w:val="63F3CD16"/>
    <w:rsid w:val="6D7B8D51"/>
    <w:rsid w:val="73EF5740"/>
    <w:rsid w:val="74FEF77A"/>
    <w:rsid w:val="77AD9A9A"/>
    <w:rsid w:val="7D77CC90"/>
    <w:rsid w:val="7EB547AC"/>
    <w:rsid w:val="7F619F67"/>
    <w:rsid w:val="7FF5E3AB"/>
    <w:rsid w:val="7FFB9373"/>
    <w:rsid w:val="7FFDB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1B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AA1BFF"/>
    <w:rPr>
      <w:rFonts w:ascii="宋体" w:hAnsi="Courier New"/>
    </w:rPr>
  </w:style>
  <w:style w:type="paragraph" w:styleId="a4">
    <w:name w:val="footer"/>
    <w:basedOn w:val="a"/>
    <w:link w:val="Char"/>
    <w:uiPriority w:val="99"/>
    <w:unhideWhenUsed/>
    <w:qFormat/>
    <w:rsid w:val="00AA1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AA1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uiPriority w:val="99"/>
    <w:unhideWhenUsed/>
    <w:qFormat/>
    <w:rsid w:val="00AA1BFF"/>
    <w:rPr>
      <w:color w:val="0563C1" w:themeColor="hyperlink"/>
      <w:u w:val="single"/>
    </w:rPr>
  </w:style>
  <w:style w:type="character" w:customStyle="1" w:styleId="Char0">
    <w:name w:val="页眉 Char"/>
    <w:basedOn w:val="a1"/>
    <w:link w:val="a5"/>
    <w:uiPriority w:val="99"/>
    <w:qFormat/>
    <w:rsid w:val="00AA1BFF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AA1BFF"/>
    <w:rPr>
      <w:sz w:val="18"/>
      <w:szCs w:val="18"/>
    </w:rPr>
  </w:style>
  <w:style w:type="paragraph" w:customStyle="1" w:styleId="Default">
    <w:name w:val="Default"/>
    <w:qFormat/>
    <w:rsid w:val="00AA1BF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4</DocSecurity>
  <Lines>6</Lines>
  <Paragraphs>1</Paragraphs>
  <ScaleCrop>false</ScaleCrop>
  <Company>CNSTOCK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2026-03-26T16:01:00Z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F1D3D486445EB51BBA344A69DE7C0851</vt:lpwstr>
  </property>
</Properties>
</file>