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E3" w:rsidRPr="008D0FDF" w:rsidRDefault="00974976" w:rsidP="006F7ACC">
      <w:pPr>
        <w:jc w:val="center"/>
        <w:rPr>
          <w:b/>
          <w:sz w:val="28"/>
          <w:szCs w:val="28"/>
        </w:rPr>
      </w:pPr>
      <w:r w:rsidRPr="008D0FDF">
        <w:rPr>
          <w:rFonts w:hint="eastAsia"/>
          <w:b/>
          <w:sz w:val="28"/>
          <w:szCs w:val="28"/>
        </w:rPr>
        <w:t>南方基金管理股份有限公司关于</w:t>
      </w:r>
      <w:r w:rsidR="00DA6B1B" w:rsidRPr="008D0FDF">
        <w:rPr>
          <w:rFonts w:hint="eastAsia"/>
          <w:b/>
          <w:sz w:val="28"/>
          <w:szCs w:val="28"/>
        </w:rPr>
        <w:t>调低</w:t>
      </w:r>
      <w:r w:rsidR="00A649E3" w:rsidRPr="008D0FDF">
        <w:rPr>
          <w:rFonts w:hint="eastAsia"/>
          <w:b/>
          <w:sz w:val="28"/>
          <w:szCs w:val="28"/>
        </w:rPr>
        <w:t>旗下部分基金</w:t>
      </w:r>
    </w:p>
    <w:p w:rsidR="00132357" w:rsidRPr="008D0FDF" w:rsidRDefault="00A649E3" w:rsidP="006F7ACC">
      <w:pPr>
        <w:jc w:val="center"/>
        <w:rPr>
          <w:b/>
          <w:sz w:val="28"/>
          <w:szCs w:val="28"/>
        </w:rPr>
      </w:pPr>
      <w:r w:rsidRPr="008D0FDF">
        <w:rPr>
          <w:rFonts w:hint="eastAsia"/>
          <w:b/>
          <w:sz w:val="28"/>
          <w:szCs w:val="28"/>
        </w:rPr>
        <w:t>管理费率、托管费率</w:t>
      </w:r>
      <w:r w:rsidR="00DA6B1B" w:rsidRPr="008D0FDF">
        <w:rPr>
          <w:rFonts w:hint="eastAsia"/>
          <w:b/>
          <w:sz w:val="28"/>
          <w:szCs w:val="28"/>
        </w:rPr>
        <w:t>并修订基金合同的</w:t>
      </w:r>
      <w:r w:rsidR="00974976" w:rsidRPr="008D0FDF">
        <w:rPr>
          <w:rFonts w:hint="eastAsia"/>
          <w:b/>
          <w:sz w:val="28"/>
          <w:szCs w:val="28"/>
        </w:rPr>
        <w:t>公告</w:t>
      </w:r>
    </w:p>
    <w:p w:rsidR="00A649E3" w:rsidRPr="008D0FDF" w:rsidRDefault="00A649E3" w:rsidP="006F7ACC">
      <w:pPr>
        <w:jc w:val="center"/>
        <w:rPr>
          <w:b/>
          <w:sz w:val="28"/>
          <w:szCs w:val="28"/>
        </w:rPr>
      </w:pPr>
    </w:p>
    <w:p w:rsidR="00A649E3" w:rsidRPr="008D0FDF" w:rsidRDefault="00C62547" w:rsidP="00A649E3">
      <w:pPr>
        <w:spacing w:line="360" w:lineRule="auto"/>
        <w:ind w:firstLineChars="200" w:firstLine="420"/>
        <w:rPr>
          <w:rFonts w:asciiTheme="minorEastAsia" w:hAnsiTheme="minorEastAsia"/>
          <w:szCs w:val="21"/>
        </w:rPr>
      </w:pPr>
      <w:r w:rsidRPr="008D0FDF">
        <w:rPr>
          <w:rFonts w:asciiTheme="minorEastAsia" w:hAnsiTheme="minorEastAsia" w:hint="eastAsia"/>
          <w:szCs w:val="21"/>
        </w:rPr>
        <w:t>为更好地满足广大投资者的投资理财需求，降低投资者的理财成本，</w:t>
      </w:r>
      <w:r w:rsidR="002862CC" w:rsidRPr="008D0FDF">
        <w:rPr>
          <w:rFonts w:asciiTheme="minorEastAsia" w:hAnsiTheme="minorEastAsia" w:hint="eastAsia"/>
          <w:szCs w:val="21"/>
        </w:rPr>
        <w:t>根据有关法律法规及</w:t>
      </w:r>
      <w:r w:rsidR="00A649E3" w:rsidRPr="008D0FDF">
        <w:rPr>
          <w:rFonts w:asciiTheme="minorEastAsia" w:hAnsiTheme="minorEastAsia" w:hint="eastAsia"/>
          <w:szCs w:val="21"/>
        </w:rPr>
        <w:t>相关基金合同</w:t>
      </w:r>
      <w:r w:rsidR="002862CC" w:rsidRPr="008D0FDF">
        <w:rPr>
          <w:rFonts w:asciiTheme="minorEastAsia" w:hAnsiTheme="minorEastAsia" w:hint="eastAsia"/>
          <w:szCs w:val="21"/>
        </w:rPr>
        <w:t>的规定，南方基金管理股份有限公司（以下简称“本基金管理人”或“本公司”）经与基金托管人</w:t>
      </w:r>
      <w:r w:rsidR="00A649E3" w:rsidRPr="008D0FDF">
        <w:rPr>
          <w:rFonts w:asciiTheme="minorEastAsia" w:hAnsiTheme="minorEastAsia" w:hint="eastAsia"/>
          <w:szCs w:val="21"/>
        </w:rPr>
        <w:t>中国工商银行股份有限公司</w:t>
      </w:r>
      <w:r w:rsidR="002862CC" w:rsidRPr="008D0FDF">
        <w:rPr>
          <w:rFonts w:asciiTheme="minorEastAsia" w:hAnsiTheme="minorEastAsia" w:hint="eastAsia"/>
          <w:szCs w:val="21"/>
        </w:rPr>
        <w:t>协商一致</w:t>
      </w:r>
      <w:r w:rsidR="00543D4A" w:rsidRPr="008D0FDF">
        <w:rPr>
          <w:rFonts w:asciiTheme="minorEastAsia" w:hAnsiTheme="minorEastAsia" w:hint="eastAsia"/>
          <w:szCs w:val="21"/>
        </w:rPr>
        <w:t>，</w:t>
      </w:r>
      <w:r w:rsidR="00963CDD" w:rsidRPr="008D0FDF">
        <w:rPr>
          <w:rFonts w:asciiTheme="minorEastAsia" w:hAnsiTheme="minorEastAsia" w:hint="eastAsia"/>
          <w:szCs w:val="21"/>
        </w:rPr>
        <w:t>决定</w:t>
      </w:r>
      <w:r w:rsidR="0060719F" w:rsidRPr="008D0FDF">
        <w:rPr>
          <w:rFonts w:asciiTheme="minorEastAsia" w:hAnsiTheme="minorEastAsia" w:hint="eastAsia"/>
          <w:szCs w:val="21"/>
        </w:rPr>
        <w:t>自</w:t>
      </w:r>
      <w:r w:rsidR="00543D4A" w:rsidRPr="008D0FDF">
        <w:rPr>
          <w:rFonts w:asciiTheme="minorEastAsia" w:hAnsiTheme="minorEastAsia" w:hint="eastAsia"/>
          <w:szCs w:val="21"/>
        </w:rPr>
        <w:t>202</w:t>
      </w:r>
      <w:r w:rsidR="0053283C">
        <w:rPr>
          <w:rFonts w:asciiTheme="minorEastAsia" w:hAnsiTheme="minorEastAsia"/>
          <w:szCs w:val="21"/>
        </w:rPr>
        <w:t>6</w:t>
      </w:r>
      <w:r w:rsidR="0060719F" w:rsidRPr="008D0FDF">
        <w:rPr>
          <w:rFonts w:asciiTheme="minorEastAsia" w:hAnsiTheme="minorEastAsia" w:hint="eastAsia"/>
          <w:szCs w:val="21"/>
        </w:rPr>
        <w:t>年</w:t>
      </w:r>
      <w:r w:rsidR="0053283C">
        <w:rPr>
          <w:rFonts w:asciiTheme="minorEastAsia" w:hAnsiTheme="minorEastAsia" w:hint="eastAsia"/>
          <w:szCs w:val="21"/>
        </w:rPr>
        <w:t>4</w:t>
      </w:r>
      <w:r w:rsidR="0060719F" w:rsidRPr="008D0FDF">
        <w:rPr>
          <w:rFonts w:asciiTheme="minorEastAsia" w:hAnsiTheme="minorEastAsia" w:hint="eastAsia"/>
          <w:szCs w:val="21"/>
        </w:rPr>
        <w:t>月</w:t>
      </w:r>
      <w:r w:rsidR="0053283C">
        <w:rPr>
          <w:rFonts w:asciiTheme="minorEastAsia" w:hAnsiTheme="minorEastAsia" w:hint="eastAsia"/>
          <w:szCs w:val="21"/>
        </w:rPr>
        <w:t>1</w:t>
      </w:r>
      <w:r w:rsidR="0060719F" w:rsidRPr="008D0FDF">
        <w:rPr>
          <w:rFonts w:asciiTheme="minorEastAsia" w:hAnsiTheme="minorEastAsia" w:hint="eastAsia"/>
          <w:szCs w:val="21"/>
        </w:rPr>
        <w:t>日起，</w:t>
      </w:r>
      <w:r w:rsidRPr="008D0FDF">
        <w:rPr>
          <w:rFonts w:asciiTheme="minorEastAsia" w:hAnsiTheme="minorEastAsia" w:hint="eastAsia"/>
          <w:szCs w:val="21"/>
        </w:rPr>
        <w:t>调低</w:t>
      </w:r>
      <w:r w:rsidR="00A649E3" w:rsidRPr="008D0FDF">
        <w:rPr>
          <w:rFonts w:asciiTheme="minorEastAsia" w:hAnsiTheme="minorEastAsia" w:hint="eastAsia"/>
          <w:szCs w:val="21"/>
        </w:rPr>
        <w:t>旗下部分基金管理费率</w:t>
      </w:r>
      <w:r w:rsidR="003431AD" w:rsidRPr="008D0FDF">
        <w:rPr>
          <w:rFonts w:asciiTheme="minorEastAsia" w:hAnsiTheme="minorEastAsia" w:hint="eastAsia"/>
          <w:szCs w:val="21"/>
        </w:rPr>
        <w:t>和</w:t>
      </w:r>
      <w:r w:rsidR="003431AD" w:rsidRPr="008D0FDF">
        <w:rPr>
          <w:rFonts w:asciiTheme="minorEastAsia" w:hAnsiTheme="minorEastAsia"/>
          <w:szCs w:val="21"/>
        </w:rPr>
        <w:t>/或</w:t>
      </w:r>
      <w:r w:rsidR="00A649E3" w:rsidRPr="008D0FDF">
        <w:rPr>
          <w:rFonts w:asciiTheme="minorEastAsia" w:hAnsiTheme="minorEastAsia" w:hint="eastAsia"/>
          <w:szCs w:val="21"/>
        </w:rPr>
        <w:t>托管费率，</w:t>
      </w:r>
      <w:r w:rsidR="00543D4A" w:rsidRPr="008D0FDF">
        <w:rPr>
          <w:rFonts w:asciiTheme="minorEastAsia" w:hAnsiTheme="minorEastAsia" w:hint="eastAsia"/>
          <w:szCs w:val="21"/>
        </w:rPr>
        <w:t>并对基金合同有关条款进行修订</w:t>
      </w:r>
      <w:r w:rsidR="00A649E3" w:rsidRPr="008D0FDF">
        <w:rPr>
          <w:rFonts w:asciiTheme="minorEastAsia" w:hAnsiTheme="minorEastAsia" w:hint="eastAsia"/>
          <w:szCs w:val="21"/>
        </w:rPr>
        <w:t>，具体如下：</w:t>
      </w:r>
    </w:p>
    <w:tbl>
      <w:tblPr>
        <w:tblW w:w="5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7"/>
        <w:gridCol w:w="1095"/>
        <w:gridCol w:w="1095"/>
        <w:gridCol w:w="1095"/>
        <w:gridCol w:w="1093"/>
      </w:tblGrid>
      <w:tr w:rsidR="00A649E3" w:rsidRPr="008D0FDF" w:rsidTr="0053283C">
        <w:trPr>
          <w:trHeight w:val="207"/>
          <w:jc w:val="center"/>
        </w:trPr>
        <w:tc>
          <w:tcPr>
            <w:tcW w:w="2777" w:type="pct"/>
            <w:vMerge w:val="restart"/>
            <w:tcBorders>
              <w:top w:val="single" w:sz="4" w:space="0" w:color="auto"/>
              <w:left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基金名称</w:t>
            </w:r>
          </w:p>
        </w:tc>
        <w:tc>
          <w:tcPr>
            <w:tcW w:w="1112" w:type="pct"/>
            <w:gridSpan w:val="2"/>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管理费率</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托管费率</w:t>
            </w:r>
          </w:p>
        </w:tc>
      </w:tr>
      <w:tr w:rsidR="00A649E3" w:rsidRPr="008D0FDF" w:rsidTr="0053283C">
        <w:trPr>
          <w:trHeight w:val="207"/>
          <w:jc w:val="center"/>
        </w:trPr>
        <w:tc>
          <w:tcPr>
            <w:tcW w:w="2777" w:type="pct"/>
            <w:vMerge/>
            <w:tcBorders>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调整前</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调整后</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调整前</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b/>
                <w:sz w:val="21"/>
              </w:rPr>
            </w:pPr>
            <w:r w:rsidRPr="008D0FDF">
              <w:rPr>
                <w:rFonts w:hint="eastAsia"/>
                <w:b/>
                <w:sz w:val="21"/>
              </w:rPr>
              <w:t>调整后</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南方致远</w:t>
            </w:r>
            <w:r w:rsidR="00475F00" w:rsidRPr="008D0FDF">
              <w:rPr>
                <w:rFonts w:hint="eastAsia"/>
                <w:sz w:val="21"/>
              </w:rPr>
              <w:t>混合型证券投资基金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南方安裕</w:t>
            </w:r>
            <w:r w:rsidR="002B5D7F" w:rsidRPr="008D0FDF">
              <w:rPr>
                <w:rFonts w:hint="eastAsia"/>
                <w:sz w:val="21"/>
              </w:rPr>
              <w:t>混合型证券投资基金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南方宝昌</w:t>
            </w:r>
            <w:r w:rsidR="002B5D7F" w:rsidRPr="008D0FDF">
              <w:rPr>
                <w:rFonts w:hint="eastAsia"/>
                <w:sz w:val="21"/>
              </w:rPr>
              <w:t>混合型证券投资基金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南方利众</w:t>
            </w:r>
            <w:r w:rsidR="002B5D7F" w:rsidRPr="008D0FDF">
              <w:rPr>
                <w:rFonts w:hint="eastAsia"/>
                <w:sz w:val="21"/>
              </w:rPr>
              <w:t>灵活配置混合型证券投资基金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南方上海金</w:t>
            </w:r>
            <w:r w:rsidR="002B5D7F" w:rsidRPr="008D0FDF">
              <w:rPr>
                <w:rFonts w:hint="eastAsia"/>
                <w:sz w:val="21"/>
              </w:rPr>
              <w:t>交易型开放式证券投资基金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0.05%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南方上海金</w:t>
            </w:r>
            <w:r w:rsidR="001A2E09" w:rsidRPr="008D0FDF">
              <w:rPr>
                <w:rFonts w:hint="eastAsia"/>
                <w:sz w:val="21"/>
              </w:rPr>
              <w:t>交易型开放式证券投资基金发起式联接基金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0.05%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南方金利定期开放</w:t>
            </w:r>
            <w:r w:rsidR="001A2E09" w:rsidRPr="008D0FDF">
              <w:rPr>
                <w:rFonts w:hint="eastAsia"/>
                <w:sz w:val="21"/>
              </w:rPr>
              <w:t>债券型证券投资基金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0.18%</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0.15%</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南方丰元信用增强</w:t>
            </w:r>
            <w:r w:rsidR="001A2E09" w:rsidRPr="008D0FDF">
              <w:rPr>
                <w:rFonts w:hint="eastAsia"/>
                <w:sz w:val="21"/>
              </w:rPr>
              <w:t>债券型证券投资基金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0.3%</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不变</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南方金添利三年定期开放</w:t>
            </w:r>
            <w:r w:rsidR="001A2E09" w:rsidRPr="008D0FDF">
              <w:rPr>
                <w:rFonts w:hint="eastAsia"/>
                <w:sz w:val="21"/>
              </w:rPr>
              <w:t>债券型证券投资基金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0.3%</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不变</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南方旺元60天滚动持有中短债</w:t>
            </w:r>
            <w:r w:rsidR="001944F6" w:rsidRPr="008D0FDF">
              <w:rPr>
                <w:rFonts w:hint="eastAsia"/>
                <w:sz w:val="21"/>
              </w:rPr>
              <w:t>债券型证券投资基金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0.05%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不变</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南方多利增强</w:t>
            </w:r>
            <w:r w:rsidR="001944F6" w:rsidRPr="008D0FDF">
              <w:rPr>
                <w:rFonts w:hint="eastAsia"/>
                <w:sz w:val="21"/>
              </w:rPr>
              <w:t>债券型证券投资基金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0.3%</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0.12%</w:t>
            </w:r>
          </w:p>
        </w:tc>
      </w:tr>
      <w:tr w:rsidR="00A649E3"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南方宝元债券</w:t>
            </w:r>
            <w:r w:rsidR="001944F6" w:rsidRPr="008D0FDF">
              <w:rPr>
                <w:rFonts w:hint="eastAsia"/>
                <w:sz w:val="21"/>
              </w:rPr>
              <w:t>型基金</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0.75%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0.6%</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0.175%</w:t>
            </w:r>
          </w:p>
        </w:tc>
        <w:tc>
          <w:tcPr>
            <w:tcW w:w="556" w:type="pct"/>
            <w:tcBorders>
              <w:top w:val="single" w:sz="4" w:space="0" w:color="auto"/>
              <w:left w:val="single" w:sz="4" w:space="0" w:color="auto"/>
              <w:bottom w:val="single" w:sz="4" w:space="0" w:color="auto"/>
              <w:right w:val="single" w:sz="4" w:space="0" w:color="auto"/>
            </w:tcBorders>
            <w:vAlign w:val="center"/>
          </w:tcPr>
          <w:p w:rsidR="00A649E3" w:rsidRPr="008D0FDF" w:rsidRDefault="00A649E3" w:rsidP="00A649E3">
            <w:pPr>
              <w:pStyle w:val="Default"/>
              <w:jc w:val="center"/>
              <w:rPr>
                <w:sz w:val="21"/>
              </w:rPr>
            </w:pPr>
            <w:r w:rsidRPr="008D0FDF">
              <w:rPr>
                <w:rFonts w:hint="eastAsia"/>
                <w:sz w:val="21"/>
              </w:rPr>
              <w:t>0.16%</w:t>
            </w:r>
          </w:p>
        </w:tc>
      </w:tr>
      <w:tr w:rsidR="00F04947" w:rsidRPr="008D0FDF" w:rsidTr="0053283C">
        <w:trPr>
          <w:trHeight w:val="207"/>
          <w:jc w:val="center"/>
        </w:trPr>
        <w:tc>
          <w:tcPr>
            <w:tcW w:w="2777" w:type="pct"/>
            <w:tcBorders>
              <w:top w:val="single" w:sz="4" w:space="0" w:color="auto"/>
              <w:left w:val="single" w:sz="4" w:space="0" w:color="auto"/>
              <w:bottom w:val="single" w:sz="4" w:space="0" w:color="auto"/>
              <w:right w:val="single" w:sz="4" w:space="0" w:color="auto"/>
            </w:tcBorders>
            <w:vAlign w:val="center"/>
          </w:tcPr>
          <w:p w:rsidR="00F04947" w:rsidRPr="008D0FDF" w:rsidRDefault="00F04947" w:rsidP="00F04947">
            <w:pPr>
              <w:pStyle w:val="Default"/>
              <w:jc w:val="center"/>
              <w:rPr>
                <w:sz w:val="21"/>
              </w:rPr>
            </w:pPr>
            <w:r w:rsidRPr="00F04947">
              <w:rPr>
                <w:rFonts w:hint="eastAsia"/>
                <w:sz w:val="21"/>
              </w:rPr>
              <w:t>南方均衡优选一年持有期混合型证券投资基金</w:t>
            </w:r>
          </w:p>
        </w:tc>
        <w:tc>
          <w:tcPr>
            <w:tcW w:w="556" w:type="pct"/>
            <w:tcBorders>
              <w:top w:val="single" w:sz="4" w:space="0" w:color="auto"/>
              <w:left w:val="single" w:sz="4" w:space="0" w:color="auto"/>
              <w:bottom w:val="single" w:sz="4" w:space="0" w:color="auto"/>
              <w:right w:val="single" w:sz="4" w:space="0" w:color="auto"/>
            </w:tcBorders>
            <w:vAlign w:val="center"/>
          </w:tcPr>
          <w:p w:rsidR="00F04947" w:rsidRPr="008D0FDF" w:rsidRDefault="00F04947" w:rsidP="00F04947">
            <w:pPr>
              <w:pStyle w:val="Default"/>
              <w:jc w:val="center"/>
              <w:rPr>
                <w:sz w:val="21"/>
              </w:rPr>
            </w:pPr>
            <w:r w:rsidRPr="00F04947">
              <w:rPr>
                <w:rFonts w:hint="eastAsia"/>
                <w:sz w:val="21"/>
              </w:rPr>
              <w:t>1</w:t>
            </w:r>
            <w:r w:rsidRPr="00F04947">
              <w:rPr>
                <w:sz w:val="21"/>
              </w:rPr>
              <w:t>.</w:t>
            </w:r>
            <w:r w:rsidRPr="00F04947">
              <w:rPr>
                <w:rFonts w:hint="eastAsia"/>
                <w:sz w:val="21"/>
              </w:rPr>
              <w:t>2%</w:t>
            </w:r>
          </w:p>
        </w:tc>
        <w:tc>
          <w:tcPr>
            <w:tcW w:w="556" w:type="pct"/>
            <w:tcBorders>
              <w:top w:val="single" w:sz="4" w:space="0" w:color="auto"/>
              <w:left w:val="single" w:sz="4" w:space="0" w:color="auto"/>
              <w:bottom w:val="single" w:sz="4" w:space="0" w:color="auto"/>
              <w:right w:val="single" w:sz="4" w:space="0" w:color="auto"/>
            </w:tcBorders>
            <w:vAlign w:val="center"/>
          </w:tcPr>
          <w:p w:rsidR="00F04947" w:rsidRPr="008D0FDF" w:rsidRDefault="00F04947" w:rsidP="00F04947">
            <w:pPr>
              <w:pStyle w:val="Default"/>
              <w:jc w:val="center"/>
              <w:rPr>
                <w:sz w:val="21"/>
              </w:rPr>
            </w:pPr>
            <w:r w:rsidRPr="00F04947">
              <w:rPr>
                <w:rFonts w:hint="eastAsia"/>
                <w:sz w:val="21"/>
              </w:rPr>
              <w:t>1.0%</w:t>
            </w:r>
          </w:p>
        </w:tc>
        <w:tc>
          <w:tcPr>
            <w:tcW w:w="556" w:type="pct"/>
            <w:tcBorders>
              <w:top w:val="single" w:sz="4" w:space="0" w:color="auto"/>
              <w:left w:val="single" w:sz="4" w:space="0" w:color="auto"/>
              <w:bottom w:val="single" w:sz="4" w:space="0" w:color="auto"/>
              <w:right w:val="single" w:sz="4" w:space="0" w:color="auto"/>
            </w:tcBorders>
            <w:vAlign w:val="center"/>
          </w:tcPr>
          <w:p w:rsidR="00F04947" w:rsidRPr="008D0FDF" w:rsidRDefault="00F04947" w:rsidP="00F04947">
            <w:pPr>
              <w:pStyle w:val="Default"/>
              <w:jc w:val="center"/>
              <w:rPr>
                <w:sz w:val="21"/>
              </w:rPr>
            </w:pPr>
            <w:r w:rsidRPr="00F04947">
              <w:rPr>
                <w:rFonts w:hint="eastAsia"/>
                <w:sz w:val="21"/>
              </w:rPr>
              <w:t>0.2%</w:t>
            </w:r>
          </w:p>
        </w:tc>
        <w:tc>
          <w:tcPr>
            <w:tcW w:w="556" w:type="pct"/>
            <w:tcBorders>
              <w:top w:val="single" w:sz="4" w:space="0" w:color="auto"/>
              <w:left w:val="single" w:sz="4" w:space="0" w:color="auto"/>
              <w:bottom w:val="single" w:sz="4" w:space="0" w:color="auto"/>
              <w:right w:val="single" w:sz="4" w:space="0" w:color="auto"/>
            </w:tcBorders>
            <w:vAlign w:val="center"/>
          </w:tcPr>
          <w:p w:rsidR="00F04947" w:rsidRPr="008D0FDF" w:rsidRDefault="00F04947" w:rsidP="00F04947">
            <w:pPr>
              <w:pStyle w:val="Default"/>
              <w:jc w:val="center"/>
              <w:rPr>
                <w:sz w:val="21"/>
              </w:rPr>
            </w:pPr>
            <w:r w:rsidRPr="00F04947">
              <w:rPr>
                <w:rFonts w:hint="eastAsia"/>
                <w:sz w:val="21"/>
              </w:rPr>
              <w:t>不变</w:t>
            </w:r>
          </w:p>
        </w:tc>
      </w:tr>
    </w:tbl>
    <w:p w:rsidR="00A649E3" w:rsidRPr="008D0FDF" w:rsidRDefault="00A649E3" w:rsidP="00A649E3">
      <w:pPr>
        <w:spacing w:line="360" w:lineRule="auto"/>
        <w:ind w:firstLineChars="200" w:firstLine="420"/>
        <w:rPr>
          <w:rFonts w:asciiTheme="minorEastAsia" w:hAnsiTheme="minorEastAsia"/>
          <w:szCs w:val="21"/>
        </w:rPr>
      </w:pPr>
    </w:p>
    <w:p w:rsidR="00543D4A" w:rsidRPr="008D0FDF" w:rsidRDefault="00543D4A" w:rsidP="00A649E3">
      <w:pPr>
        <w:spacing w:line="360" w:lineRule="auto"/>
        <w:ind w:firstLineChars="200" w:firstLine="420"/>
        <w:rPr>
          <w:rFonts w:asciiTheme="minorEastAsia" w:hAnsiTheme="minorEastAsia"/>
          <w:szCs w:val="21"/>
        </w:rPr>
      </w:pPr>
      <w:r w:rsidRPr="008D0FDF">
        <w:rPr>
          <w:rFonts w:hint="eastAsia"/>
          <w:szCs w:val="21"/>
        </w:rPr>
        <w:t>本次相关基金的基金合同、</w:t>
      </w:r>
      <w:r w:rsidR="00E62F7E" w:rsidRPr="008D0FDF">
        <w:rPr>
          <w:rFonts w:hint="eastAsia"/>
          <w:szCs w:val="21"/>
        </w:rPr>
        <w:t>托管协议</w:t>
      </w:r>
      <w:r w:rsidR="00E62F7E" w:rsidRPr="008D0FDF">
        <w:rPr>
          <w:rFonts w:hint="eastAsia"/>
        </w:rPr>
        <w:t>、</w:t>
      </w:r>
      <w:r w:rsidRPr="008D0FDF">
        <w:rPr>
          <w:rFonts w:hint="eastAsia"/>
          <w:szCs w:val="21"/>
        </w:rPr>
        <w:t>招募说明书和基金产品资料概要修订的内容和程序符合有关法律法规和基金合同的规定。</w:t>
      </w:r>
      <w:r w:rsidR="00105903" w:rsidRPr="008D0FDF">
        <w:rPr>
          <w:rFonts w:hint="eastAsia"/>
          <w:szCs w:val="21"/>
        </w:rPr>
        <w:t>除上述要素外，其余要素不作变更。</w:t>
      </w:r>
      <w:r w:rsidR="002862CC" w:rsidRPr="008D0FDF">
        <w:rPr>
          <w:rFonts w:hint="eastAsia"/>
          <w:szCs w:val="21"/>
        </w:rPr>
        <w:t>本次修订的内容对原有基金份额持有人的利益无实质性不利影响，</w:t>
      </w:r>
      <w:bookmarkStart w:id="0" w:name="_GoBack"/>
      <w:bookmarkEnd w:id="0"/>
      <w:r w:rsidR="002862CC" w:rsidRPr="008D0FDF">
        <w:rPr>
          <w:rFonts w:hint="eastAsia"/>
          <w:szCs w:val="21"/>
        </w:rPr>
        <w:t>不需召开基金份额持有人大会。</w:t>
      </w:r>
      <w:r w:rsidRPr="008D0FDF">
        <w:rPr>
          <w:rFonts w:hint="eastAsia"/>
          <w:szCs w:val="21"/>
        </w:rPr>
        <w:t>本次修订后的基金合同、</w:t>
      </w:r>
      <w:r w:rsidR="00E62F7E" w:rsidRPr="008D0FDF">
        <w:rPr>
          <w:rFonts w:hint="eastAsia"/>
          <w:szCs w:val="21"/>
        </w:rPr>
        <w:t>托管协议</w:t>
      </w:r>
      <w:r w:rsidR="00E62F7E" w:rsidRPr="008D0FDF">
        <w:rPr>
          <w:rFonts w:hint="eastAsia"/>
        </w:rPr>
        <w:t>、</w:t>
      </w:r>
      <w:r w:rsidRPr="008D0FDF">
        <w:rPr>
          <w:rFonts w:hint="eastAsia"/>
          <w:szCs w:val="21"/>
        </w:rPr>
        <w:t>招募说明书（更新）和基金产品资料概要</w:t>
      </w:r>
      <w:r w:rsidR="0098733E" w:rsidRPr="008D0FDF">
        <w:rPr>
          <w:rFonts w:hint="eastAsia"/>
          <w:szCs w:val="21"/>
        </w:rPr>
        <w:t>（更新）</w:t>
      </w:r>
      <w:r w:rsidRPr="008D0FDF">
        <w:rPr>
          <w:rFonts w:hint="eastAsia"/>
          <w:szCs w:val="21"/>
        </w:rPr>
        <w:t>将在本公司网站（</w:t>
      </w:r>
      <w:r w:rsidRPr="008D0FDF">
        <w:rPr>
          <w:szCs w:val="21"/>
        </w:rPr>
        <w:t>www.nffund.com</w:t>
      </w:r>
      <w:r w:rsidRPr="008D0FDF">
        <w:rPr>
          <w:rFonts w:hint="eastAsia"/>
          <w:szCs w:val="21"/>
        </w:rPr>
        <w:t>）和中国证监会基金电子披露网站（</w:t>
      </w:r>
      <w:r w:rsidRPr="008D0FDF">
        <w:rPr>
          <w:szCs w:val="21"/>
        </w:rPr>
        <w:t>http://eid.csrc.gov.cn/fund</w:t>
      </w:r>
      <w:r w:rsidRPr="008D0FDF">
        <w:rPr>
          <w:rFonts w:hint="eastAsia"/>
          <w:szCs w:val="21"/>
        </w:rPr>
        <w:t>）发</w:t>
      </w:r>
      <w:r w:rsidRPr="008D0FDF">
        <w:rPr>
          <w:rFonts w:hAnsi="Calibri" w:hint="eastAsia"/>
          <w:szCs w:val="21"/>
        </w:rPr>
        <w:t>布。投资人办理基金交易等相关业务前，应仔细阅读各基金的基金合同、招募说明书、基金产品资料概要、风险提示及相关业务规则和操作指南等文件。</w:t>
      </w:r>
    </w:p>
    <w:p w:rsidR="00543D4A" w:rsidRPr="008D0FDF" w:rsidRDefault="00543D4A" w:rsidP="00B94EDE">
      <w:pPr>
        <w:spacing w:line="360" w:lineRule="auto"/>
        <w:ind w:firstLineChars="200" w:firstLine="420"/>
        <w:rPr>
          <w:rFonts w:asciiTheme="minorEastAsia" w:hAnsiTheme="minorEastAsia"/>
          <w:szCs w:val="21"/>
        </w:rPr>
      </w:pPr>
      <w:r w:rsidRPr="008D0FDF">
        <w:rPr>
          <w:rFonts w:asciiTheme="minorEastAsia" w:hAnsiTheme="minorEastAsia" w:hint="eastAsia"/>
          <w:szCs w:val="21"/>
        </w:rPr>
        <w:t>投资人可访问本公司网站</w:t>
      </w:r>
      <w:r w:rsidRPr="008D0FDF">
        <w:rPr>
          <w:rFonts w:asciiTheme="minorEastAsia" w:hAnsiTheme="minorEastAsia"/>
          <w:szCs w:val="21"/>
        </w:rPr>
        <w:t>(www.nffund.com)或拨打客户服务电话（400－889－8899）咨询相关情况。</w:t>
      </w:r>
    </w:p>
    <w:p w:rsidR="00543D4A" w:rsidRPr="008D0FDF" w:rsidRDefault="00543D4A" w:rsidP="00543D4A">
      <w:pPr>
        <w:pStyle w:val="Default"/>
      </w:pPr>
    </w:p>
    <w:p w:rsidR="00543D4A" w:rsidRPr="008D0FDF" w:rsidRDefault="00543D4A" w:rsidP="00543D4A">
      <w:pPr>
        <w:pStyle w:val="Default"/>
        <w:rPr>
          <w:sz w:val="21"/>
          <w:szCs w:val="21"/>
        </w:rPr>
      </w:pPr>
      <w:r w:rsidRPr="008D0FDF">
        <w:rPr>
          <w:rFonts w:hint="eastAsia"/>
          <w:sz w:val="21"/>
          <w:szCs w:val="21"/>
        </w:rPr>
        <w:t>风险提示：</w:t>
      </w:r>
    </w:p>
    <w:p w:rsidR="00543D4A" w:rsidRPr="008D0FDF" w:rsidRDefault="00543D4A" w:rsidP="00543D4A">
      <w:pPr>
        <w:spacing w:line="360" w:lineRule="auto"/>
        <w:ind w:firstLineChars="200" w:firstLine="420"/>
        <w:rPr>
          <w:rFonts w:asciiTheme="minorEastAsia" w:hAnsiTheme="minorEastAsia"/>
          <w:szCs w:val="21"/>
        </w:rPr>
      </w:pPr>
      <w:r w:rsidRPr="008D0FDF">
        <w:rPr>
          <w:rFonts w:hint="eastAsia"/>
          <w:szCs w:val="21"/>
        </w:rPr>
        <w:lastRenderedPageBreak/>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543D4A" w:rsidRPr="008D0FDF" w:rsidRDefault="00543D4A" w:rsidP="00543D4A">
      <w:pPr>
        <w:spacing w:line="360" w:lineRule="auto"/>
        <w:ind w:firstLineChars="200" w:firstLine="420"/>
        <w:rPr>
          <w:rFonts w:asciiTheme="minorEastAsia" w:hAnsiTheme="minorEastAsia"/>
          <w:szCs w:val="21"/>
        </w:rPr>
      </w:pPr>
    </w:p>
    <w:p w:rsidR="00543D4A" w:rsidRPr="008D0FDF" w:rsidRDefault="00543D4A" w:rsidP="002862CC">
      <w:pPr>
        <w:spacing w:line="360" w:lineRule="auto"/>
        <w:ind w:firstLineChars="200" w:firstLine="420"/>
        <w:rPr>
          <w:rFonts w:asciiTheme="minorEastAsia" w:hAnsiTheme="minorEastAsia"/>
          <w:szCs w:val="21"/>
        </w:rPr>
      </w:pPr>
      <w:r w:rsidRPr="008D0FDF">
        <w:rPr>
          <w:rFonts w:asciiTheme="minorEastAsia" w:hAnsiTheme="minorEastAsia" w:hint="eastAsia"/>
          <w:szCs w:val="21"/>
        </w:rPr>
        <w:t>特此公告。</w:t>
      </w:r>
    </w:p>
    <w:p w:rsidR="00543D4A" w:rsidRPr="008D0FDF" w:rsidRDefault="00543D4A" w:rsidP="00543D4A">
      <w:pPr>
        <w:spacing w:line="360" w:lineRule="auto"/>
        <w:ind w:firstLineChars="200" w:firstLine="420"/>
        <w:jc w:val="right"/>
        <w:rPr>
          <w:rFonts w:asciiTheme="minorEastAsia" w:hAnsiTheme="minorEastAsia"/>
          <w:color w:val="000000"/>
        </w:rPr>
      </w:pPr>
      <w:r w:rsidRPr="008D0FDF">
        <w:rPr>
          <w:rFonts w:asciiTheme="minorEastAsia" w:hAnsiTheme="minorEastAsia" w:hint="eastAsia"/>
          <w:szCs w:val="21"/>
        </w:rPr>
        <w:t>南</w:t>
      </w:r>
      <w:r w:rsidRPr="008D0FDF">
        <w:rPr>
          <w:rFonts w:asciiTheme="minorEastAsia" w:hAnsiTheme="minorEastAsia" w:hint="eastAsia"/>
          <w:color w:val="000000"/>
        </w:rPr>
        <w:t>方基金管理股份有限公司</w:t>
      </w:r>
    </w:p>
    <w:p w:rsidR="00B90A48" w:rsidRPr="00FF3779" w:rsidRDefault="0053283C" w:rsidP="002862CC">
      <w:pPr>
        <w:spacing w:line="360" w:lineRule="auto"/>
        <w:jc w:val="right"/>
        <w:rPr>
          <w:rFonts w:asciiTheme="minorEastAsia" w:hAnsiTheme="minorEastAsia"/>
          <w:color w:val="000000"/>
        </w:rPr>
      </w:pPr>
      <w:r>
        <w:rPr>
          <w:rFonts w:asciiTheme="minorEastAsia" w:hAnsiTheme="minorEastAsia" w:hint="eastAsia"/>
          <w:color w:val="000000"/>
        </w:rPr>
        <w:t>2</w:t>
      </w:r>
      <w:r>
        <w:rPr>
          <w:rFonts w:asciiTheme="minorEastAsia" w:hAnsiTheme="minorEastAsia"/>
          <w:color w:val="000000"/>
        </w:rPr>
        <w:t>026</w:t>
      </w:r>
      <w:r w:rsidR="000B7FFE" w:rsidRPr="008D0FDF">
        <w:rPr>
          <w:rFonts w:asciiTheme="minorEastAsia" w:hAnsiTheme="minorEastAsia" w:hint="eastAsia"/>
          <w:color w:val="000000"/>
        </w:rPr>
        <w:t>年</w:t>
      </w:r>
      <w:r>
        <w:rPr>
          <w:rFonts w:asciiTheme="minorEastAsia" w:hAnsiTheme="minorEastAsia" w:hint="eastAsia"/>
          <w:color w:val="000000"/>
        </w:rPr>
        <w:t>3</w:t>
      </w:r>
      <w:r w:rsidR="00543D4A" w:rsidRPr="008D0FDF">
        <w:rPr>
          <w:rFonts w:asciiTheme="minorEastAsia" w:hAnsiTheme="minorEastAsia" w:hint="eastAsia"/>
          <w:color w:val="000000"/>
        </w:rPr>
        <w:t>月</w:t>
      </w:r>
      <w:r>
        <w:rPr>
          <w:rFonts w:asciiTheme="minorEastAsia" w:hAnsiTheme="minorEastAsia" w:hint="eastAsia"/>
          <w:color w:val="000000"/>
        </w:rPr>
        <w:t>2</w:t>
      </w:r>
      <w:r>
        <w:rPr>
          <w:rFonts w:asciiTheme="minorEastAsia" w:hAnsiTheme="minorEastAsia"/>
          <w:color w:val="000000"/>
        </w:rPr>
        <w:t>7</w:t>
      </w:r>
      <w:r w:rsidR="00543D4A" w:rsidRPr="008D0FDF">
        <w:rPr>
          <w:rFonts w:asciiTheme="minorEastAsia" w:hAnsiTheme="minorEastAsia" w:hint="eastAsia"/>
          <w:color w:val="000000"/>
        </w:rPr>
        <w:t>日</w:t>
      </w:r>
    </w:p>
    <w:sectPr w:rsidR="00B90A48" w:rsidRPr="00FF3779" w:rsidSect="0010216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745" w:rsidRDefault="007B7745" w:rsidP="00E855BB">
      <w:r>
        <w:separator/>
      </w:r>
    </w:p>
  </w:endnote>
  <w:endnote w:type="continuationSeparator" w:id="0">
    <w:p w:rsidR="007B7745" w:rsidRDefault="007B7745" w:rsidP="00E85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docPartObj>
        <w:docPartGallery w:val="Page Numbers (Bottom of Page)"/>
        <w:docPartUnique/>
      </w:docPartObj>
    </w:sdtPr>
    <w:sdtContent>
      <w:p w:rsidR="006A2A7E" w:rsidRDefault="00AC2EAD">
        <w:pPr>
          <w:pStyle w:val="a8"/>
          <w:jc w:val="center"/>
        </w:pPr>
        <w:r>
          <w:fldChar w:fldCharType="begin"/>
        </w:r>
        <w:r w:rsidR="006A2A7E">
          <w:instrText>PAGE   \* MERGEFORMAT</w:instrText>
        </w:r>
        <w:r>
          <w:fldChar w:fldCharType="separate"/>
        </w:r>
        <w:r w:rsidR="009543B6" w:rsidRPr="009543B6">
          <w:rPr>
            <w:noProof/>
            <w:lang w:val="zh-CN"/>
          </w:rPr>
          <w:t>1</w:t>
        </w:r>
        <w:r>
          <w:fldChar w:fldCharType="end"/>
        </w:r>
      </w:p>
    </w:sdtContent>
  </w:sdt>
  <w:p w:rsidR="006A2A7E" w:rsidRDefault="006A2A7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745" w:rsidRDefault="007B7745" w:rsidP="00E855BB">
      <w:r>
        <w:separator/>
      </w:r>
    </w:p>
  </w:footnote>
  <w:footnote w:type="continuationSeparator" w:id="0">
    <w:p w:rsidR="007B7745" w:rsidRDefault="007B7745" w:rsidP="00E85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A4ABB"/>
    <w:multiLevelType w:val="hybridMultilevel"/>
    <w:tmpl w:val="4F4A2A74"/>
    <w:lvl w:ilvl="0" w:tplc="114CC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1033C7"/>
    <w:multiLevelType w:val="hybridMultilevel"/>
    <w:tmpl w:val="E9028C22"/>
    <w:lvl w:ilvl="0" w:tplc="C08E81F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7E20"/>
    <w:rsid w:val="000274FB"/>
    <w:rsid w:val="00033D83"/>
    <w:rsid w:val="000377E2"/>
    <w:rsid w:val="000377EB"/>
    <w:rsid w:val="00050411"/>
    <w:rsid w:val="000540A5"/>
    <w:rsid w:val="00054735"/>
    <w:rsid w:val="00063E11"/>
    <w:rsid w:val="0006424A"/>
    <w:rsid w:val="00064F06"/>
    <w:rsid w:val="000673E4"/>
    <w:rsid w:val="0006764A"/>
    <w:rsid w:val="00070D7F"/>
    <w:rsid w:val="00076884"/>
    <w:rsid w:val="00076D0F"/>
    <w:rsid w:val="000823C2"/>
    <w:rsid w:val="000930E9"/>
    <w:rsid w:val="000A6828"/>
    <w:rsid w:val="000B79BB"/>
    <w:rsid w:val="000B7FFE"/>
    <w:rsid w:val="000C4FD4"/>
    <w:rsid w:val="000D4457"/>
    <w:rsid w:val="000E4BE0"/>
    <w:rsid w:val="000F2CF2"/>
    <w:rsid w:val="000F57BA"/>
    <w:rsid w:val="0010216C"/>
    <w:rsid w:val="00104696"/>
    <w:rsid w:val="00105903"/>
    <w:rsid w:val="0010794C"/>
    <w:rsid w:val="00107FE8"/>
    <w:rsid w:val="00113FD0"/>
    <w:rsid w:val="00114609"/>
    <w:rsid w:val="00127582"/>
    <w:rsid w:val="00132357"/>
    <w:rsid w:val="00132DB9"/>
    <w:rsid w:val="00136F4B"/>
    <w:rsid w:val="00140601"/>
    <w:rsid w:val="00153F74"/>
    <w:rsid w:val="001779D7"/>
    <w:rsid w:val="0019018C"/>
    <w:rsid w:val="00192CC8"/>
    <w:rsid w:val="001944F6"/>
    <w:rsid w:val="001970F0"/>
    <w:rsid w:val="001A2E09"/>
    <w:rsid w:val="001A7647"/>
    <w:rsid w:val="001C44F1"/>
    <w:rsid w:val="001C6FE3"/>
    <w:rsid w:val="001D0CEA"/>
    <w:rsid w:val="001E746C"/>
    <w:rsid w:val="001E7BF0"/>
    <w:rsid w:val="001F55B8"/>
    <w:rsid w:val="002224CB"/>
    <w:rsid w:val="00223B8B"/>
    <w:rsid w:val="00224ED0"/>
    <w:rsid w:val="002335CF"/>
    <w:rsid w:val="002364A7"/>
    <w:rsid w:val="002679C4"/>
    <w:rsid w:val="00271FF6"/>
    <w:rsid w:val="0027567E"/>
    <w:rsid w:val="002769B1"/>
    <w:rsid w:val="002804A9"/>
    <w:rsid w:val="0028554A"/>
    <w:rsid w:val="00285D8B"/>
    <w:rsid w:val="002862CC"/>
    <w:rsid w:val="002B2F3D"/>
    <w:rsid w:val="002B4DC4"/>
    <w:rsid w:val="002B5D7F"/>
    <w:rsid w:val="002B6702"/>
    <w:rsid w:val="002C18B0"/>
    <w:rsid w:val="002C636E"/>
    <w:rsid w:val="002D0177"/>
    <w:rsid w:val="002D1F64"/>
    <w:rsid w:val="002D389C"/>
    <w:rsid w:val="002D5039"/>
    <w:rsid w:val="002E3CFD"/>
    <w:rsid w:val="00313858"/>
    <w:rsid w:val="00316EB7"/>
    <w:rsid w:val="003431AD"/>
    <w:rsid w:val="00343E31"/>
    <w:rsid w:val="00350CD3"/>
    <w:rsid w:val="00354AAF"/>
    <w:rsid w:val="00355487"/>
    <w:rsid w:val="00376098"/>
    <w:rsid w:val="0038202E"/>
    <w:rsid w:val="003906D9"/>
    <w:rsid w:val="00390765"/>
    <w:rsid w:val="00391AC3"/>
    <w:rsid w:val="00393DF1"/>
    <w:rsid w:val="003A20B4"/>
    <w:rsid w:val="003A4D43"/>
    <w:rsid w:val="003A776F"/>
    <w:rsid w:val="003A7D95"/>
    <w:rsid w:val="003A7DED"/>
    <w:rsid w:val="003C609E"/>
    <w:rsid w:val="003D56F0"/>
    <w:rsid w:val="003D6D28"/>
    <w:rsid w:val="003E7C95"/>
    <w:rsid w:val="003F74CE"/>
    <w:rsid w:val="004010FF"/>
    <w:rsid w:val="0040699A"/>
    <w:rsid w:val="00421046"/>
    <w:rsid w:val="004325E9"/>
    <w:rsid w:val="004419A3"/>
    <w:rsid w:val="00455882"/>
    <w:rsid w:val="004620AD"/>
    <w:rsid w:val="00464163"/>
    <w:rsid w:val="0046638D"/>
    <w:rsid w:val="00475F00"/>
    <w:rsid w:val="004814F7"/>
    <w:rsid w:val="00481DC1"/>
    <w:rsid w:val="00487032"/>
    <w:rsid w:val="00491DE9"/>
    <w:rsid w:val="00493C3E"/>
    <w:rsid w:val="0049632A"/>
    <w:rsid w:val="00496845"/>
    <w:rsid w:val="00497380"/>
    <w:rsid w:val="004A1951"/>
    <w:rsid w:val="004A6CF3"/>
    <w:rsid w:val="004B45E0"/>
    <w:rsid w:val="004B655A"/>
    <w:rsid w:val="004C2E4C"/>
    <w:rsid w:val="004C36FF"/>
    <w:rsid w:val="004D38C4"/>
    <w:rsid w:val="004F774F"/>
    <w:rsid w:val="00501459"/>
    <w:rsid w:val="00510B32"/>
    <w:rsid w:val="005204B8"/>
    <w:rsid w:val="005269A9"/>
    <w:rsid w:val="0053283C"/>
    <w:rsid w:val="005370A5"/>
    <w:rsid w:val="00540A72"/>
    <w:rsid w:val="00543D4A"/>
    <w:rsid w:val="00550285"/>
    <w:rsid w:val="00553146"/>
    <w:rsid w:val="00563ABB"/>
    <w:rsid w:val="00575066"/>
    <w:rsid w:val="00594BB3"/>
    <w:rsid w:val="00596A5D"/>
    <w:rsid w:val="005A0FD0"/>
    <w:rsid w:val="005A3BB6"/>
    <w:rsid w:val="005C20B3"/>
    <w:rsid w:val="005D5535"/>
    <w:rsid w:val="005F5342"/>
    <w:rsid w:val="0060233F"/>
    <w:rsid w:val="00606D85"/>
    <w:rsid w:val="0060719F"/>
    <w:rsid w:val="00614769"/>
    <w:rsid w:val="006155E6"/>
    <w:rsid w:val="00635B29"/>
    <w:rsid w:val="006413CE"/>
    <w:rsid w:val="006549F0"/>
    <w:rsid w:val="00674640"/>
    <w:rsid w:val="00697EFD"/>
    <w:rsid w:val="006A2A7E"/>
    <w:rsid w:val="006B21CF"/>
    <w:rsid w:val="006D393E"/>
    <w:rsid w:val="006F7ACC"/>
    <w:rsid w:val="00706B4F"/>
    <w:rsid w:val="00707F6C"/>
    <w:rsid w:val="00710ACA"/>
    <w:rsid w:val="00713670"/>
    <w:rsid w:val="00715F35"/>
    <w:rsid w:val="00716D59"/>
    <w:rsid w:val="00717124"/>
    <w:rsid w:val="007173FD"/>
    <w:rsid w:val="00721283"/>
    <w:rsid w:val="00723530"/>
    <w:rsid w:val="00725532"/>
    <w:rsid w:val="00731E24"/>
    <w:rsid w:val="00731E52"/>
    <w:rsid w:val="007331B2"/>
    <w:rsid w:val="00745300"/>
    <w:rsid w:val="00746F4C"/>
    <w:rsid w:val="007513FB"/>
    <w:rsid w:val="007914EE"/>
    <w:rsid w:val="007962D0"/>
    <w:rsid w:val="007A2FC6"/>
    <w:rsid w:val="007A3E7C"/>
    <w:rsid w:val="007A60AB"/>
    <w:rsid w:val="007B7745"/>
    <w:rsid w:val="007B7D03"/>
    <w:rsid w:val="007C0222"/>
    <w:rsid w:val="007C23B3"/>
    <w:rsid w:val="007C3E87"/>
    <w:rsid w:val="007C57D6"/>
    <w:rsid w:val="007F386B"/>
    <w:rsid w:val="007F7C7C"/>
    <w:rsid w:val="00810830"/>
    <w:rsid w:val="00811C2E"/>
    <w:rsid w:val="00813C52"/>
    <w:rsid w:val="0081572D"/>
    <w:rsid w:val="00817F20"/>
    <w:rsid w:val="008407DD"/>
    <w:rsid w:val="00841593"/>
    <w:rsid w:val="00843620"/>
    <w:rsid w:val="0087500E"/>
    <w:rsid w:val="00880ADE"/>
    <w:rsid w:val="00885E42"/>
    <w:rsid w:val="008B7FF1"/>
    <w:rsid w:val="008D0FDF"/>
    <w:rsid w:val="008D3AF0"/>
    <w:rsid w:val="008E076D"/>
    <w:rsid w:val="008E0DCB"/>
    <w:rsid w:val="008E4ECB"/>
    <w:rsid w:val="008E56A9"/>
    <w:rsid w:val="008F5E65"/>
    <w:rsid w:val="00920FFB"/>
    <w:rsid w:val="00922B5F"/>
    <w:rsid w:val="00923F2B"/>
    <w:rsid w:val="0092781E"/>
    <w:rsid w:val="00930E0C"/>
    <w:rsid w:val="00932224"/>
    <w:rsid w:val="00935342"/>
    <w:rsid w:val="00935379"/>
    <w:rsid w:val="00943CC1"/>
    <w:rsid w:val="0094654A"/>
    <w:rsid w:val="00947AE6"/>
    <w:rsid w:val="0095243B"/>
    <w:rsid w:val="009543B6"/>
    <w:rsid w:val="009563F4"/>
    <w:rsid w:val="00963CDD"/>
    <w:rsid w:val="00971998"/>
    <w:rsid w:val="00974368"/>
    <w:rsid w:val="00974976"/>
    <w:rsid w:val="0098426F"/>
    <w:rsid w:val="0098733E"/>
    <w:rsid w:val="00987C71"/>
    <w:rsid w:val="009946D1"/>
    <w:rsid w:val="00996874"/>
    <w:rsid w:val="009C04FB"/>
    <w:rsid w:val="009E081D"/>
    <w:rsid w:val="009E6774"/>
    <w:rsid w:val="009F216B"/>
    <w:rsid w:val="00A0143B"/>
    <w:rsid w:val="00A0161E"/>
    <w:rsid w:val="00A12347"/>
    <w:rsid w:val="00A40C89"/>
    <w:rsid w:val="00A41307"/>
    <w:rsid w:val="00A45EA3"/>
    <w:rsid w:val="00A5535D"/>
    <w:rsid w:val="00A649E3"/>
    <w:rsid w:val="00A74F16"/>
    <w:rsid w:val="00A877F9"/>
    <w:rsid w:val="00A906F3"/>
    <w:rsid w:val="00A91E09"/>
    <w:rsid w:val="00A92265"/>
    <w:rsid w:val="00A940E8"/>
    <w:rsid w:val="00AA0CFA"/>
    <w:rsid w:val="00AA63D6"/>
    <w:rsid w:val="00AB5549"/>
    <w:rsid w:val="00AB7791"/>
    <w:rsid w:val="00AB7C19"/>
    <w:rsid w:val="00AC2EAD"/>
    <w:rsid w:val="00AC64E6"/>
    <w:rsid w:val="00AD17BF"/>
    <w:rsid w:val="00AD484A"/>
    <w:rsid w:val="00AD5C5E"/>
    <w:rsid w:val="00AE57DC"/>
    <w:rsid w:val="00B07614"/>
    <w:rsid w:val="00B10717"/>
    <w:rsid w:val="00B11207"/>
    <w:rsid w:val="00B140E9"/>
    <w:rsid w:val="00B24FDA"/>
    <w:rsid w:val="00B26A61"/>
    <w:rsid w:val="00B402D2"/>
    <w:rsid w:val="00B447AA"/>
    <w:rsid w:val="00B45023"/>
    <w:rsid w:val="00B47398"/>
    <w:rsid w:val="00B50FDE"/>
    <w:rsid w:val="00B56D5E"/>
    <w:rsid w:val="00B72415"/>
    <w:rsid w:val="00B73F4A"/>
    <w:rsid w:val="00B74614"/>
    <w:rsid w:val="00B81597"/>
    <w:rsid w:val="00B81DFD"/>
    <w:rsid w:val="00B82AD1"/>
    <w:rsid w:val="00B85891"/>
    <w:rsid w:val="00B90A48"/>
    <w:rsid w:val="00B91CAD"/>
    <w:rsid w:val="00B94EDE"/>
    <w:rsid w:val="00BA18FC"/>
    <w:rsid w:val="00BC2EFA"/>
    <w:rsid w:val="00BD7D4A"/>
    <w:rsid w:val="00BE3877"/>
    <w:rsid w:val="00BE476F"/>
    <w:rsid w:val="00BE5357"/>
    <w:rsid w:val="00BF59BE"/>
    <w:rsid w:val="00C05906"/>
    <w:rsid w:val="00C20F00"/>
    <w:rsid w:val="00C31943"/>
    <w:rsid w:val="00C41346"/>
    <w:rsid w:val="00C53082"/>
    <w:rsid w:val="00C5569E"/>
    <w:rsid w:val="00C62547"/>
    <w:rsid w:val="00C631F7"/>
    <w:rsid w:val="00C7250F"/>
    <w:rsid w:val="00C90B02"/>
    <w:rsid w:val="00C95CA7"/>
    <w:rsid w:val="00C970E8"/>
    <w:rsid w:val="00CA5EE0"/>
    <w:rsid w:val="00CB5753"/>
    <w:rsid w:val="00CC05D1"/>
    <w:rsid w:val="00CC285B"/>
    <w:rsid w:val="00CC34D7"/>
    <w:rsid w:val="00CC3E69"/>
    <w:rsid w:val="00CD2CA8"/>
    <w:rsid w:val="00CD3404"/>
    <w:rsid w:val="00CD4293"/>
    <w:rsid w:val="00CD678F"/>
    <w:rsid w:val="00CE0143"/>
    <w:rsid w:val="00CE2E89"/>
    <w:rsid w:val="00CE513A"/>
    <w:rsid w:val="00CF2A1F"/>
    <w:rsid w:val="00CF6FB4"/>
    <w:rsid w:val="00D130A7"/>
    <w:rsid w:val="00D1365B"/>
    <w:rsid w:val="00D20635"/>
    <w:rsid w:val="00D365A6"/>
    <w:rsid w:val="00D46ADC"/>
    <w:rsid w:val="00D5260A"/>
    <w:rsid w:val="00D62A17"/>
    <w:rsid w:val="00D86584"/>
    <w:rsid w:val="00D87C91"/>
    <w:rsid w:val="00DA515B"/>
    <w:rsid w:val="00DA62BB"/>
    <w:rsid w:val="00DA6B1B"/>
    <w:rsid w:val="00DB0626"/>
    <w:rsid w:val="00DB73C6"/>
    <w:rsid w:val="00DD07A8"/>
    <w:rsid w:val="00DD43D6"/>
    <w:rsid w:val="00DE4BFC"/>
    <w:rsid w:val="00DE6022"/>
    <w:rsid w:val="00E07F6F"/>
    <w:rsid w:val="00E4430F"/>
    <w:rsid w:val="00E467C9"/>
    <w:rsid w:val="00E52C30"/>
    <w:rsid w:val="00E5367A"/>
    <w:rsid w:val="00E55467"/>
    <w:rsid w:val="00E56F36"/>
    <w:rsid w:val="00E62C70"/>
    <w:rsid w:val="00E62F7E"/>
    <w:rsid w:val="00E63BCC"/>
    <w:rsid w:val="00E71860"/>
    <w:rsid w:val="00E7189C"/>
    <w:rsid w:val="00E724B4"/>
    <w:rsid w:val="00E73E53"/>
    <w:rsid w:val="00E855BB"/>
    <w:rsid w:val="00E86DAC"/>
    <w:rsid w:val="00E92EF9"/>
    <w:rsid w:val="00EA0880"/>
    <w:rsid w:val="00EA1CFF"/>
    <w:rsid w:val="00EB4998"/>
    <w:rsid w:val="00ED6BDF"/>
    <w:rsid w:val="00EF5AE2"/>
    <w:rsid w:val="00F04947"/>
    <w:rsid w:val="00F04FBD"/>
    <w:rsid w:val="00F05B95"/>
    <w:rsid w:val="00F21261"/>
    <w:rsid w:val="00F249E6"/>
    <w:rsid w:val="00F251E8"/>
    <w:rsid w:val="00F275CE"/>
    <w:rsid w:val="00F47579"/>
    <w:rsid w:val="00F56D5E"/>
    <w:rsid w:val="00F61BAA"/>
    <w:rsid w:val="00F74F2A"/>
    <w:rsid w:val="00F831E7"/>
    <w:rsid w:val="00F942CD"/>
    <w:rsid w:val="00FA5606"/>
    <w:rsid w:val="00FA5BAD"/>
    <w:rsid w:val="00FC1ABC"/>
    <w:rsid w:val="00FC451C"/>
    <w:rsid w:val="00FD3667"/>
    <w:rsid w:val="00FD530D"/>
    <w:rsid w:val="00FE43B4"/>
    <w:rsid w:val="00FE4E33"/>
    <w:rsid w:val="00FF3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E92EF9"/>
    <w:rPr>
      <w:sz w:val="21"/>
      <w:szCs w:val="21"/>
    </w:rPr>
  </w:style>
  <w:style w:type="paragraph" w:styleId="a4">
    <w:name w:val="annotation text"/>
    <w:basedOn w:val="a"/>
    <w:link w:val="Char"/>
    <w:unhideWhenUsed/>
    <w:rsid w:val="00E92EF9"/>
    <w:pPr>
      <w:jc w:val="left"/>
    </w:pPr>
  </w:style>
  <w:style w:type="character" w:customStyle="1" w:styleId="Char">
    <w:name w:val="批注文字 Char"/>
    <w:basedOn w:val="a0"/>
    <w:link w:val="a4"/>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 w:type="paragraph" w:styleId="aa">
    <w:name w:val="Normal (Web)"/>
    <w:basedOn w:val="a"/>
    <w:uiPriority w:val="99"/>
    <w:rsid w:val="00E4430F"/>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tl1">
    <w:name w:val="tl1"/>
    <w:basedOn w:val="a"/>
    <w:rsid w:val="00715F35"/>
    <w:pPr>
      <w:widowControl/>
      <w:jc w:val="center"/>
    </w:pPr>
    <w:rPr>
      <w:rFonts w:ascii="黑体" w:eastAsia="黑体" w:hAnsi="黑体" w:cs="Arial"/>
      <w:color w:val="003F8E"/>
      <w:kern w:val="0"/>
      <w:sz w:val="15"/>
      <w:szCs w:val="15"/>
    </w:rPr>
  </w:style>
  <w:style w:type="paragraph" w:styleId="ab">
    <w:name w:val="List Paragraph"/>
    <w:basedOn w:val="a"/>
    <w:uiPriority w:val="34"/>
    <w:qFormat/>
    <w:rsid w:val="00715F35"/>
    <w:pPr>
      <w:ind w:firstLineChars="200" w:firstLine="420"/>
    </w:pPr>
  </w:style>
  <w:style w:type="paragraph" w:styleId="3">
    <w:name w:val="Body Text Indent 3"/>
    <w:basedOn w:val="a"/>
    <w:link w:val="3Char"/>
    <w:rsid w:val="00715F35"/>
    <w:pPr>
      <w:spacing w:line="400" w:lineRule="atLeast"/>
      <w:ind w:firstLineChars="100" w:firstLine="600"/>
    </w:pPr>
    <w:rPr>
      <w:rFonts w:ascii="宋体" w:eastAsia="仿宋_GB2312" w:hAnsi="Times New Roman" w:cs="Times New Roman" w:hint="eastAsia"/>
      <w:sz w:val="28"/>
      <w:szCs w:val="20"/>
    </w:rPr>
  </w:style>
  <w:style w:type="character" w:customStyle="1" w:styleId="3Char">
    <w:name w:val="正文文本缩进 3 Char"/>
    <w:basedOn w:val="a0"/>
    <w:link w:val="3"/>
    <w:rsid w:val="00715F35"/>
    <w:rPr>
      <w:rFonts w:ascii="宋体" w:eastAsia="仿宋_GB2312" w:hAnsi="Times New Roman" w:cs="Times New Roman"/>
      <w:sz w:val="28"/>
      <w:szCs w:val="20"/>
    </w:rPr>
  </w:style>
  <w:style w:type="paragraph" w:styleId="ac">
    <w:name w:val="Document Map"/>
    <w:basedOn w:val="a"/>
    <w:link w:val="Char4"/>
    <w:uiPriority w:val="99"/>
    <w:semiHidden/>
    <w:unhideWhenUsed/>
    <w:rsid w:val="00715F35"/>
    <w:rPr>
      <w:rFonts w:ascii="宋体" w:eastAsia="宋体"/>
      <w:sz w:val="18"/>
      <w:szCs w:val="18"/>
    </w:rPr>
  </w:style>
  <w:style w:type="character" w:customStyle="1" w:styleId="Char4">
    <w:name w:val="文档结构图 Char"/>
    <w:basedOn w:val="a0"/>
    <w:link w:val="ac"/>
    <w:uiPriority w:val="99"/>
    <w:semiHidden/>
    <w:rsid w:val="00715F35"/>
    <w:rPr>
      <w:rFonts w:ascii="宋体" w:eastAsia="宋体"/>
      <w:sz w:val="18"/>
      <w:szCs w:val="18"/>
    </w:rPr>
  </w:style>
  <w:style w:type="paragraph" w:styleId="2">
    <w:name w:val="Body Text 2"/>
    <w:basedOn w:val="a"/>
    <w:link w:val="2Char"/>
    <w:uiPriority w:val="99"/>
    <w:unhideWhenUsed/>
    <w:rsid w:val="00715F35"/>
    <w:pPr>
      <w:spacing w:after="120" w:line="480" w:lineRule="auto"/>
    </w:pPr>
  </w:style>
  <w:style w:type="character" w:customStyle="1" w:styleId="2Char">
    <w:name w:val="正文文本 2 Char"/>
    <w:basedOn w:val="a0"/>
    <w:link w:val="2"/>
    <w:uiPriority w:val="99"/>
    <w:rsid w:val="00715F35"/>
  </w:style>
  <w:style w:type="table" w:styleId="ad">
    <w:name w:val="Table Grid"/>
    <w:basedOn w:val="a1"/>
    <w:uiPriority w:val="59"/>
    <w:rsid w:val="00715F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uiPriority w:val="22"/>
    <w:qFormat/>
    <w:rsid w:val="00715F35"/>
    <w:rPr>
      <w:b/>
      <w:bCs/>
    </w:rPr>
  </w:style>
  <w:style w:type="paragraph" w:customStyle="1" w:styleId="Default">
    <w:name w:val="Default"/>
    <w:rsid w:val="00543D4A"/>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3864-9A8D-42B4-BBDB-45C92EC3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1059</Characters>
  <Application>Microsoft Office Word</Application>
  <DocSecurity>4</DocSecurity>
  <Lines>8</Lines>
  <Paragraphs>2</Paragraphs>
  <ScaleCrop>false</ScaleCrop>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2023-07-04T01:32:00Z</cp:lastPrinted>
  <dcterms:created xsi:type="dcterms:W3CDTF">2026-03-26T16:02:00Z</dcterms:created>
  <dcterms:modified xsi:type="dcterms:W3CDTF">2026-03-26T16:02:00Z</dcterms:modified>
</cp:coreProperties>
</file>