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A8B" w:rsidRPr="000E63AB" w:rsidRDefault="00353C70" w:rsidP="00353C70">
      <w:pPr>
        <w:autoSpaceDE w:val="0"/>
        <w:autoSpaceDN w:val="0"/>
        <w:adjustRightInd w:val="0"/>
        <w:spacing w:line="360" w:lineRule="auto"/>
        <w:ind w:firstLineChars="200" w:firstLine="482"/>
        <w:jc w:val="center"/>
        <w:rPr>
          <w:rFonts w:ascii="宋体" w:eastAsia="宋体" w:hAnsi="Times New Roman" w:cs="宋体"/>
          <w:b/>
          <w:kern w:val="0"/>
          <w:sz w:val="24"/>
          <w:szCs w:val="24"/>
        </w:rPr>
      </w:pPr>
      <w:r>
        <w:rPr>
          <w:rFonts w:ascii="宋体" w:eastAsia="宋体" w:hAnsi="Times New Roman" w:cs="宋体" w:hint="eastAsia"/>
          <w:b/>
          <w:kern w:val="0"/>
          <w:sz w:val="24"/>
          <w:szCs w:val="24"/>
        </w:rPr>
        <w:t>关于易方达中证香港证券投资主题交易型开放式指数证券投资基金</w:t>
      </w:r>
      <w:r>
        <w:rPr>
          <w:rFonts w:ascii="宋体" w:eastAsia="宋体" w:hAnsi="Times New Roman" w:cs="宋体" w:hint="eastAsia"/>
          <w:b/>
          <w:kern w:val="0"/>
          <w:sz w:val="24"/>
          <w:szCs w:val="24"/>
        </w:rPr>
        <w:t>2026</w:t>
      </w:r>
      <w:r>
        <w:rPr>
          <w:rFonts w:ascii="宋体" w:eastAsia="宋体" w:hAnsi="Times New Roman" w:cs="宋体" w:hint="eastAsia"/>
          <w:b/>
          <w:kern w:val="0"/>
          <w:sz w:val="24"/>
          <w:szCs w:val="24"/>
        </w:rPr>
        <w:t>年因港股通不提供服务暂停申购、赎回业务的公告</w:t>
      </w:r>
    </w:p>
    <w:p w:rsidR="00751D7B" w:rsidRDefault="00353C70" w:rsidP="00AA1890">
      <w:pPr>
        <w:autoSpaceDE w:val="0"/>
        <w:autoSpaceDN w:val="0"/>
        <w:adjustRightInd w:val="0"/>
        <w:spacing w:line="360" w:lineRule="auto"/>
        <w:ind w:firstLineChars="200" w:firstLine="480"/>
        <w:rPr>
          <w:rFonts w:ascii="宋体" w:eastAsia="宋体" w:hAnsi="Times New Roman" w:cs="宋体"/>
          <w:kern w:val="0"/>
          <w:sz w:val="24"/>
          <w:szCs w:val="24"/>
        </w:rPr>
      </w:pPr>
      <w:r w:rsidRPr="00BA3088">
        <w:rPr>
          <w:rFonts w:ascii="宋体" w:eastAsia="宋体" w:hAnsi="Times New Roman" w:cs="宋体" w:hint="eastAsia"/>
          <w:kern w:val="0"/>
          <w:sz w:val="24"/>
          <w:szCs w:val="24"/>
        </w:rPr>
        <w:t>为保护基金份额持有人的利益，保障基金平稳运作，根据《易方达中证香港证券投资主题交易型开放式指数证券投资基金基金合同》《易方达中证香港证券投资主题交易型开放式指数证券投资基金更新的招募说明书》的相关规定及港股通交易日安排，易方达中证香港证券投资主题交易型开放式指数证券投资基金（场内简称：香港证券</w:t>
      </w:r>
      <w:r w:rsidRPr="00BA3088">
        <w:rPr>
          <w:rFonts w:ascii="宋体" w:eastAsia="宋体" w:hAnsi="Times New Roman" w:cs="宋体" w:hint="eastAsia"/>
          <w:kern w:val="0"/>
          <w:sz w:val="24"/>
          <w:szCs w:val="24"/>
        </w:rPr>
        <w:t>,</w:t>
      </w:r>
      <w:r w:rsidRPr="00BA3088">
        <w:rPr>
          <w:rFonts w:ascii="宋体" w:eastAsia="宋体" w:hAnsi="Times New Roman" w:cs="宋体" w:hint="eastAsia"/>
          <w:kern w:val="0"/>
          <w:sz w:val="24"/>
          <w:szCs w:val="24"/>
        </w:rPr>
        <w:t>扩位简称：香港证券</w:t>
      </w:r>
      <w:r w:rsidRPr="00BA3088">
        <w:rPr>
          <w:rFonts w:ascii="宋体" w:eastAsia="宋体" w:hAnsi="Times New Roman" w:cs="宋体" w:hint="eastAsia"/>
          <w:kern w:val="0"/>
          <w:sz w:val="24"/>
          <w:szCs w:val="24"/>
        </w:rPr>
        <w:t>ETF</w:t>
      </w:r>
      <w:r w:rsidRPr="00BA3088">
        <w:rPr>
          <w:rFonts w:ascii="宋体" w:eastAsia="宋体" w:hAnsi="Times New Roman" w:cs="宋体" w:hint="eastAsia"/>
          <w:kern w:val="0"/>
          <w:sz w:val="24"/>
          <w:szCs w:val="24"/>
        </w:rPr>
        <w:t>易方达</w:t>
      </w:r>
      <w:r w:rsidRPr="00BA3088">
        <w:rPr>
          <w:rFonts w:ascii="宋体" w:eastAsia="宋体" w:hAnsi="Times New Roman" w:cs="宋体" w:hint="eastAsia"/>
          <w:kern w:val="0"/>
          <w:sz w:val="24"/>
          <w:szCs w:val="24"/>
        </w:rPr>
        <w:t>,</w:t>
      </w:r>
      <w:r w:rsidRPr="00BA3088">
        <w:rPr>
          <w:rFonts w:ascii="宋体" w:eastAsia="宋体" w:hAnsi="Times New Roman" w:cs="宋体" w:hint="eastAsia"/>
          <w:kern w:val="0"/>
          <w:sz w:val="24"/>
          <w:szCs w:val="24"/>
        </w:rPr>
        <w:t>以下简称“本基金”，基金代码：</w:t>
      </w:r>
      <w:r w:rsidRPr="00BA3088">
        <w:rPr>
          <w:rFonts w:ascii="宋体" w:eastAsia="宋体" w:hAnsi="Times New Roman" w:cs="宋体" w:hint="eastAsia"/>
          <w:kern w:val="0"/>
          <w:sz w:val="24"/>
          <w:szCs w:val="24"/>
        </w:rPr>
        <w:t>513090</w:t>
      </w:r>
      <w:r w:rsidRPr="00BA3088">
        <w:rPr>
          <w:rFonts w:ascii="宋体" w:eastAsia="宋体" w:hAnsi="Times New Roman" w:cs="宋体" w:hint="eastAsia"/>
          <w:kern w:val="0"/>
          <w:sz w:val="24"/>
          <w:szCs w:val="24"/>
        </w:rPr>
        <w:t>）将在</w:t>
      </w:r>
      <w:r w:rsidRPr="00BA3088">
        <w:rPr>
          <w:rFonts w:ascii="宋体" w:eastAsia="宋体" w:hAnsi="Times New Roman" w:cs="宋体" w:hint="eastAsia"/>
          <w:kern w:val="0"/>
          <w:sz w:val="24"/>
          <w:szCs w:val="24"/>
        </w:rPr>
        <w:t>2026</w:t>
      </w:r>
      <w:r w:rsidRPr="00BA3088">
        <w:rPr>
          <w:rFonts w:ascii="宋体" w:eastAsia="宋体" w:hAnsi="Times New Roman" w:cs="宋体" w:hint="eastAsia"/>
          <w:kern w:val="0"/>
          <w:sz w:val="24"/>
          <w:szCs w:val="24"/>
        </w:rPr>
        <w:t>年港股通不提供服务相关日期暂停办理申购、赎回业务</w:t>
      </w:r>
      <w:r w:rsidRPr="00BA3088">
        <w:rPr>
          <w:rFonts w:ascii="宋体" w:eastAsia="宋体" w:hAnsi="Times New Roman" w:cs="宋体" w:hint="eastAsia"/>
          <w:kern w:val="0"/>
          <w:sz w:val="24"/>
          <w:szCs w:val="24"/>
        </w:rPr>
        <w:t>,</w:t>
      </w:r>
      <w:r w:rsidRPr="00BA3088">
        <w:rPr>
          <w:rFonts w:ascii="宋体" w:eastAsia="宋体" w:hAnsi="Times New Roman" w:cs="宋体" w:hint="eastAsia"/>
          <w:kern w:val="0"/>
          <w:sz w:val="24"/>
          <w:szCs w:val="24"/>
        </w:rPr>
        <w:t>并将自其下一开放日恢复办理上述业务。具体安排如下：</w:t>
      </w:r>
    </w:p>
    <w:p w:rsidR="00097B5C" w:rsidRPr="00AA1890" w:rsidRDefault="00097B5C" w:rsidP="00AA1890">
      <w:pPr>
        <w:autoSpaceDE w:val="0"/>
        <w:autoSpaceDN w:val="0"/>
        <w:adjustRightInd w:val="0"/>
        <w:spacing w:line="360" w:lineRule="auto"/>
        <w:ind w:firstLineChars="200" w:firstLine="480"/>
        <w:rPr>
          <w:rFonts w:ascii="Times New Roman" w:hAnsi="Times New Roman" w:cs="Times New Roman"/>
          <w:kern w:val="0"/>
          <w:sz w:val="24"/>
          <w:szCs w:val="24"/>
        </w:rPr>
      </w:pPr>
    </w:p>
    <w:tbl>
      <w:tblPr>
        <w:tblStyle w:val="a"/>
        <w:tblW w:w="5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2856"/>
      </w:tblGrid>
      <w:tr w:rsidR="006E5844" w:rsidTr="001C79CD">
        <w:trPr>
          <w:trHeight w:val="213"/>
          <w:jc w:val="center"/>
        </w:trPr>
        <w:tc>
          <w:tcPr>
            <w:tcW w:w="2830" w:type="dxa"/>
            <w:shd w:val="clear" w:color="auto" w:fill="auto"/>
            <w:noWrap/>
            <w:vAlign w:val="center"/>
            <w:hideMark/>
          </w:tcPr>
          <w:p w:rsidR="001C79CD" w:rsidRPr="00A43F85" w:rsidRDefault="00353C70" w:rsidP="009D70E7">
            <w:pPr>
              <w:widowControl/>
              <w:jc w:val="center"/>
              <w:rPr>
                <w:rFonts w:asciiTheme="minorEastAsia" w:hAnsiTheme="minorEastAsia" w:cs="Arial"/>
                <w:color w:val="000000" w:themeColor="text1"/>
                <w:kern w:val="0"/>
                <w:sz w:val="24"/>
                <w:szCs w:val="24"/>
              </w:rPr>
            </w:pPr>
            <w:r w:rsidRPr="00A43F85">
              <w:rPr>
                <w:rFonts w:asciiTheme="minorEastAsia" w:hAnsiTheme="minorEastAsia" w:cs="Arial"/>
                <w:kern w:val="0"/>
                <w:sz w:val="24"/>
                <w:szCs w:val="24"/>
              </w:rPr>
              <w:t>日期</w:t>
            </w:r>
          </w:p>
        </w:tc>
        <w:tc>
          <w:tcPr>
            <w:tcW w:w="2856" w:type="dxa"/>
            <w:vMerge w:val="restart"/>
            <w:vAlign w:val="center"/>
          </w:tcPr>
          <w:p w:rsidR="001C79CD" w:rsidRPr="00A43F85" w:rsidRDefault="00353C70" w:rsidP="009D70E7">
            <w:pPr>
              <w:widowControl/>
              <w:jc w:val="center"/>
              <w:rPr>
                <w:rFonts w:asciiTheme="minorEastAsia" w:hAnsiTheme="minorEastAsia" w:cs="Arial"/>
                <w:kern w:val="0"/>
                <w:sz w:val="24"/>
                <w:szCs w:val="24"/>
              </w:rPr>
            </w:pPr>
            <w:r>
              <w:rPr>
                <w:rFonts w:asciiTheme="minorEastAsia" w:hAnsiTheme="minorEastAsia" w:cs="Arial" w:hint="eastAsia"/>
                <w:kern w:val="0"/>
                <w:sz w:val="24"/>
                <w:szCs w:val="24"/>
              </w:rPr>
              <w:t>暂停原因</w:t>
            </w:r>
          </w:p>
        </w:tc>
      </w:tr>
      <w:tr w:rsidR="006E5844" w:rsidTr="001C79CD">
        <w:trPr>
          <w:trHeight w:val="213"/>
          <w:jc w:val="center"/>
        </w:trPr>
        <w:tc>
          <w:tcPr>
            <w:tcW w:w="2830" w:type="dxa"/>
            <w:shd w:val="clear" w:color="auto" w:fill="auto"/>
            <w:noWrap/>
            <w:vAlign w:val="center"/>
            <w:hideMark/>
          </w:tcPr>
          <w:p w:rsidR="001C79CD" w:rsidRPr="00A43F85" w:rsidRDefault="00353C70" w:rsidP="009D70E7">
            <w:pPr>
              <w:widowControl/>
              <w:jc w:val="center"/>
              <w:rPr>
                <w:rFonts w:asciiTheme="minorEastAsia" w:hAnsiTheme="minorEastAsia" w:cs="Arial"/>
                <w:color w:val="000000" w:themeColor="text1"/>
                <w:kern w:val="0"/>
                <w:sz w:val="24"/>
                <w:szCs w:val="24"/>
              </w:rPr>
            </w:pPr>
            <w:r w:rsidRPr="00A43F85">
              <w:rPr>
                <w:rFonts w:asciiTheme="minorEastAsia" w:hAnsiTheme="minorEastAsia" w:cs="Arial"/>
                <w:kern w:val="0"/>
                <w:sz w:val="24"/>
                <w:szCs w:val="24"/>
              </w:rPr>
              <w:t>202</w:t>
            </w:r>
            <w:r w:rsidRPr="00A43F85">
              <w:rPr>
                <w:rFonts w:asciiTheme="minorEastAsia" w:hAnsiTheme="minorEastAsia" w:cs="Arial"/>
                <w:kern w:val="0"/>
                <w:sz w:val="24"/>
                <w:szCs w:val="24"/>
              </w:rPr>
              <w:t>6</w:t>
            </w:r>
            <w:r w:rsidRPr="00A43F85">
              <w:rPr>
                <w:rFonts w:asciiTheme="minorEastAsia" w:hAnsiTheme="minorEastAsia" w:cs="Arial"/>
                <w:kern w:val="0"/>
                <w:sz w:val="24"/>
                <w:szCs w:val="24"/>
              </w:rPr>
              <w:t>年</w:t>
            </w:r>
            <w:r w:rsidRPr="00A43F85">
              <w:rPr>
                <w:rFonts w:asciiTheme="minorEastAsia" w:hAnsiTheme="minorEastAsia" w:cs="Arial"/>
                <w:kern w:val="0"/>
                <w:sz w:val="24"/>
                <w:szCs w:val="24"/>
              </w:rPr>
              <w:t>4</w:t>
            </w:r>
            <w:r w:rsidRPr="00A43F85">
              <w:rPr>
                <w:rFonts w:asciiTheme="minorEastAsia" w:hAnsiTheme="minorEastAsia" w:cs="Arial"/>
                <w:kern w:val="0"/>
                <w:sz w:val="24"/>
                <w:szCs w:val="24"/>
              </w:rPr>
              <w:t>月</w:t>
            </w:r>
            <w:r w:rsidRPr="00A43F85">
              <w:rPr>
                <w:rFonts w:asciiTheme="minorEastAsia" w:hAnsiTheme="minorEastAsia" w:cs="Arial"/>
                <w:kern w:val="0"/>
                <w:sz w:val="24"/>
                <w:szCs w:val="24"/>
              </w:rPr>
              <w:t>3</w:t>
            </w:r>
            <w:r w:rsidRPr="00A43F85">
              <w:rPr>
                <w:rFonts w:asciiTheme="minorEastAsia" w:hAnsiTheme="minorEastAsia" w:cs="Arial"/>
                <w:kern w:val="0"/>
                <w:sz w:val="24"/>
                <w:szCs w:val="24"/>
              </w:rPr>
              <w:t>日</w:t>
            </w:r>
          </w:p>
        </w:tc>
        <w:tc>
          <w:tcPr>
            <w:tcW w:w="2856" w:type="dxa"/>
            <w:vMerge w:val="restart"/>
            <w:vAlign w:val="center"/>
          </w:tcPr>
          <w:p w:rsidR="001C79CD" w:rsidRPr="00A43F85" w:rsidRDefault="00353C70" w:rsidP="009D70E7">
            <w:pPr>
              <w:widowControl/>
              <w:jc w:val="center"/>
              <w:rPr>
                <w:rFonts w:asciiTheme="minorEastAsia" w:hAnsiTheme="minorEastAsia" w:cs="Arial"/>
                <w:kern w:val="0"/>
                <w:sz w:val="24"/>
                <w:szCs w:val="24"/>
              </w:rPr>
            </w:pPr>
            <w:r>
              <w:rPr>
                <w:rFonts w:asciiTheme="minorEastAsia" w:hAnsiTheme="minorEastAsia" w:cs="Arial" w:hint="eastAsia"/>
                <w:kern w:val="0"/>
                <w:sz w:val="24"/>
                <w:szCs w:val="24"/>
              </w:rPr>
              <w:t>港股通非交易日</w:t>
            </w:r>
          </w:p>
        </w:tc>
      </w:tr>
      <w:tr w:rsidR="006E5844" w:rsidTr="001C79CD">
        <w:trPr>
          <w:trHeight w:val="213"/>
          <w:jc w:val="center"/>
        </w:trPr>
        <w:tc>
          <w:tcPr>
            <w:tcW w:w="2830" w:type="dxa"/>
            <w:shd w:val="clear" w:color="auto" w:fill="auto"/>
            <w:noWrap/>
            <w:vAlign w:val="center"/>
            <w:hideMark/>
          </w:tcPr>
          <w:p w:rsidR="001C79CD" w:rsidRPr="00A43F85" w:rsidRDefault="00353C70" w:rsidP="009D70E7">
            <w:pPr>
              <w:widowControl/>
              <w:jc w:val="center"/>
              <w:rPr>
                <w:rFonts w:asciiTheme="minorEastAsia" w:hAnsiTheme="minorEastAsia" w:cs="Arial"/>
                <w:color w:val="000000" w:themeColor="text1"/>
                <w:kern w:val="0"/>
                <w:sz w:val="24"/>
                <w:szCs w:val="24"/>
              </w:rPr>
            </w:pPr>
            <w:r w:rsidRPr="00A43F85">
              <w:rPr>
                <w:rFonts w:asciiTheme="minorEastAsia" w:hAnsiTheme="minorEastAsia" w:cs="Arial"/>
                <w:kern w:val="0"/>
                <w:sz w:val="24"/>
                <w:szCs w:val="24"/>
              </w:rPr>
              <w:t>2026</w:t>
            </w:r>
            <w:r w:rsidRPr="00A43F85">
              <w:rPr>
                <w:rFonts w:asciiTheme="minorEastAsia" w:hAnsiTheme="minorEastAsia" w:cs="Arial"/>
                <w:kern w:val="0"/>
                <w:sz w:val="24"/>
                <w:szCs w:val="24"/>
              </w:rPr>
              <w:t>年</w:t>
            </w:r>
            <w:r w:rsidRPr="00A43F85">
              <w:rPr>
                <w:rFonts w:asciiTheme="minorEastAsia" w:hAnsiTheme="minorEastAsia" w:cs="Arial"/>
                <w:kern w:val="0"/>
                <w:sz w:val="24"/>
                <w:szCs w:val="24"/>
              </w:rPr>
              <w:t>4</w:t>
            </w:r>
            <w:r w:rsidRPr="00A43F85">
              <w:rPr>
                <w:rFonts w:asciiTheme="minorEastAsia" w:hAnsiTheme="minorEastAsia" w:cs="Arial"/>
                <w:kern w:val="0"/>
                <w:sz w:val="24"/>
                <w:szCs w:val="24"/>
              </w:rPr>
              <w:t>月</w:t>
            </w:r>
            <w:r w:rsidRPr="00A43F85">
              <w:rPr>
                <w:rFonts w:asciiTheme="minorEastAsia" w:hAnsiTheme="minorEastAsia" w:cs="Arial"/>
                <w:kern w:val="0"/>
                <w:sz w:val="24"/>
                <w:szCs w:val="24"/>
              </w:rPr>
              <w:t>7</w:t>
            </w:r>
            <w:r w:rsidRPr="00A43F85">
              <w:rPr>
                <w:rFonts w:asciiTheme="minorEastAsia" w:hAnsiTheme="minorEastAsia" w:cs="Arial"/>
                <w:kern w:val="0"/>
                <w:sz w:val="24"/>
                <w:szCs w:val="24"/>
              </w:rPr>
              <w:t>日</w:t>
            </w:r>
          </w:p>
        </w:tc>
        <w:tc>
          <w:tcPr>
            <w:tcW w:w="2856" w:type="dxa"/>
            <w:vMerge/>
            <w:vAlign w:val="center"/>
          </w:tcPr>
          <w:p w:rsidR="001C79CD" w:rsidRPr="00A43F85" w:rsidRDefault="00353C70" w:rsidP="009D70E7">
            <w:pPr>
              <w:widowControl/>
              <w:jc w:val="center"/>
              <w:rPr>
                <w:rFonts w:asciiTheme="minorEastAsia" w:hAnsiTheme="minorEastAsia" w:cs="Arial"/>
                <w:kern w:val="0"/>
                <w:sz w:val="24"/>
                <w:szCs w:val="24"/>
              </w:rPr>
            </w:pPr>
            <w:r>
              <w:rPr>
                <w:rFonts w:asciiTheme="minorEastAsia" w:hAnsiTheme="minorEastAsia" w:cs="Arial" w:hint="eastAsia"/>
                <w:kern w:val="0"/>
                <w:sz w:val="24"/>
                <w:szCs w:val="24"/>
              </w:rPr>
              <w:t>港股通非交易日</w:t>
            </w:r>
          </w:p>
        </w:tc>
      </w:tr>
      <w:tr w:rsidR="006E5844" w:rsidTr="001C79CD">
        <w:trPr>
          <w:trHeight w:val="213"/>
          <w:jc w:val="center"/>
        </w:trPr>
        <w:tc>
          <w:tcPr>
            <w:tcW w:w="2830" w:type="dxa"/>
            <w:shd w:val="clear" w:color="auto" w:fill="auto"/>
            <w:noWrap/>
            <w:vAlign w:val="center"/>
            <w:hideMark/>
          </w:tcPr>
          <w:p w:rsidR="001C79CD" w:rsidRPr="00A43F85" w:rsidRDefault="00353C70" w:rsidP="009D70E7">
            <w:pPr>
              <w:widowControl/>
              <w:jc w:val="center"/>
              <w:rPr>
                <w:rFonts w:asciiTheme="minorEastAsia" w:hAnsiTheme="minorEastAsia" w:cs="Arial"/>
                <w:color w:val="000000" w:themeColor="text1"/>
                <w:kern w:val="0"/>
                <w:sz w:val="24"/>
                <w:szCs w:val="24"/>
              </w:rPr>
            </w:pPr>
            <w:r w:rsidRPr="00A43F85">
              <w:rPr>
                <w:rFonts w:asciiTheme="minorEastAsia" w:hAnsiTheme="minorEastAsia" w:cs="Arial"/>
                <w:kern w:val="0"/>
                <w:sz w:val="24"/>
                <w:szCs w:val="24"/>
              </w:rPr>
              <w:t>2026</w:t>
            </w:r>
            <w:r w:rsidRPr="00A43F85">
              <w:rPr>
                <w:rFonts w:asciiTheme="minorEastAsia" w:hAnsiTheme="minorEastAsia" w:cs="Arial"/>
                <w:kern w:val="0"/>
                <w:sz w:val="24"/>
                <w:szCs w:val="24"/>
              </w:rPr>
              <w:t>年</w:t>
            </w:r>
            <w:r w:rsidRPr="00A43F85">
              <w:rPr>
                <w:rFonts w:asciiTheme="minorEastAsia" w:hAnsiTheme="minorEastAsia" w:cs="Arial"/>
                <w:kern w:val="0"/>
                <w:sz w:val="24"/>
                <w:szCs w:val="24"/>
              </w:rPr>
              <w:t>5</w:t>
            </w:r>
            <w:r w:rsidRPr="00A43F85">
              <w:rPr>
                <w:rFonts w:asciiTheme="minorEastAsia" w:hAnsiTheme="minorEastAsia" w:cs="Arial"/>
                <w:kern w:val="0"/>
                <w:sz w:val="24"/>
                <w:szCs w:val="24"/>
              </w:rPr>
              <w:t>月</w:t>
            </w:r>
            <w:r w:rsidRPr="00A43F85">
              <w:rPr>
                <w:rFonts w:asciiTheme="minorEastAsia" w:hAnsiTheme="minorEastAsia" w:cs="Arial"/>
                <w:kern w:val="0"/>
                <w:sz w:val="24"/>
                <w:szCs w:val="24"/>
              </w:rPr>
              <w:t>25</w:t>
            </w:r>
            <w:r w:rsidRPr="00A43F85">
              <w:rPr>
                <w:rFonts w:asciiTheme="minorEastAsia" w:hAnsiTheme="minorEastAsia" w:cs="Arial"/>
                <w:kern w:val="0"/>
                <w:sz w:val="24"/>
                <w:szCs w:val="24"/>
              </w:rPr>
              <w:t>日</w:t>
            </w:r>
          </w:p>
        </w:tc>
        <w:tc>
          <w:tcPr>
            <w:tcW w:w="2856" w:type="dxa"/>
            <w:vMerge/>
            <w:vAlign w:val="center"/>
          </w:tcPr>
          <w:p w:rsidR="001C79CD" w:rsidRPr="00A43F85" w:rsidRDefault="00353C70" w:rsidP="009D70E7">
            <w:pPr>
              <w:widowControl/>
              <w:jc w:val="center"/>
              <w:rPr>
                <w:rFonts w:asciiTheme="minorEastAsia" w:hAnsiTheme="minorEastAsia" w:cs="Arial"/>
                <w:kern w:val="0"/>
                <w:sz w:val="24"/>
                <w:szCs w:val="24"/>
              </w:rPr>
            </w:pPr>
            <w:r>
              <w:rPr>
                <w:rFonts w:asciiTheme="minorEastAsia" w:hAnsiTheme="minorEastAsia" w:cs="Arial" w:hint="eastAsia"/>
                <w:kern w:val="0"/>
                <w:sz w:val="24"/>
                <w:szCs w:val="24"/>
              </w:rPr>
              <w:t>港股通非交易日</w:t>
            </w:r>
          </w:p>
        </w:tc>
      </w:tr>
      <w:tr w:rsidR="006E5844" w:rsidTr="001C79CD">
        <w:trPr>
          <w:trHeight w:val="213"/>
          <w:jc w:val="center"/>
        </w:trPr>
        <w:tc>
          <w:tcPr>
            <w:tcW w:w="2830" w:type="dxa"/>
            <w:shd w:val="clear" w:color="auto" w:fill="auto"/>
            <w:noWrap/>
            <w:vAlign w:val="center"/>
            <w:hideMark/>
          </w:tcPr>
          <w:p w:rsidR="001C79CD" w:rsidRPr="00A43F85" w:rsidRDefault="00353C70" w:rsidP="009D70E7">
            <w:pPr>
              <w:widowControl/>
              <w:jc w:val="center"/>
              <w:rPr>
                <w:rFonts w:asciiTheme="minorEastAsia" w:hAnsiTheme="minorEastAsia" w:cs="Arial"/>
                <w:color w:val="000000" w:themeColor="text1"/>
                <w:kern w:val="0"/>
                <w:sz w:val="24"/>
                <w:szCs w:val="24"/>
              </w:rPr>
            </w:pPr>
            <w:r w:rsidRPr="00A43F85">
              <w:rPr>
                <w:rFonts w:asciiTheme="minorEastAsia" w:hAnsiTheme="minorEastAsia" w:cs="Arial"/>
                <w:kern w:val="0"/>
                <w:sz w:val="24"/>
                <w:szCs w:val="24"/>
              </w:rPr>
              <w:t>2026</w:t>
            </w:r>
            <w:r w:rsidRPr="00A43F85">
              <w:rPr>
                <w:rFonts w:asciiTheme="minorEastAsia" w:hAnsiTheme="minorEastAsia" w:cs="Arial"/>
                <w:kern w:val="0"/>
                <w:sz w:val="24"/>
                <w:szCs w:val="24"/>
              </w:rPr>
              <w:t>年</w:t>
            </w:r>
            <w:r w:rsidRPr="00A43F85">
              <w:rPr>
                <w:rFonts w:asciiTheme="minorEastAsia" w:hAnsiTheme="minorEastAsia" w:cs="Arial"/>
                <w:kern w:val="0"/>
                <w:sz w:val="24"/>
                <w:szCs w:val="24"/>
              </w:rPr>
              <w:t>7</w:t>
            </w:r>
            <w:r w:rsidRPr="00A43F85">
              <w:rPr>
                <w:rFonts w:asciiTheme="minorEastAsia" w:hAnsiTheme="minorEastAsia" w:cs="Arial"/>
                <w:kern w:val="0"/>
                <w:sz w:val="24"/>
                <w:szCs w:val="24"/>
              </w:rPr>
              <w:t>月</w:t>
            </w:r>
            <w:r w:rsidRPr="00A43F85">
              <w:rPr>
                <w:rFonts w:asciiTheme="minorEastAsia" w:hAnsiTheme="minorEastAsia" w:cs="Arial"/>
                <w:kern w:val="0"/>
                <w:sz w:val="24"/>
                <w:szCs w:val="24"/>
              </w:rPr>
              <w:t>1</w:t>
            </w:r>
            <w:r w:rsidRPr="00A43F85">
              <w:rPr>
                <w:rFonts w:asciiTheme="minorEastAsia" w:hAnsiTheme="minorEastAsia" w:cs="Arial"/>
                <w:kern w:val="0"/>
                <w:sz w:val="24"/>
                <w:szCs w:val="24"/>
              </w:rPr>
              <w:t>日</w:t>
            </w:r>
          </w:p>
        </w:tc>
        <w:tc>
          <w:tcPr>
            <w:tcW w:w="2856" w:type="dxa"/>
            <w:vMerge/>
            <w:vAlign w:val="center"/>
          </w:tcPr>
          <w:p w:rsidR="001C79CD" w:rsidRPr="00A43F85" w:rsidRDefault="00353C70" w:rsidP="009D70E7">
            <w:pPr>
              <w:widowControl/>
              <w:jc w:val="center"/>
              <w:rPr>
                <w:rFonts w:asciiTheme="minorEastAsia" w:hAnsiTheme="minorEastAsia" w:cs="Arial"/>
                <w:kern w:val="0"/>
                <w:sz w:val="24"/>
                <w:szCs w:val="24"/>
              </w:rPr>
            </w:pPr>
            <w:r>
              <w:rPr>
                <w:rFonts w:asciiTheme="minorEastAsia" w:hAnsiTheme="minorEastAsia" w:cs="Arial" w:hint="eastAsia"/>
                <w:kern w:val="0"/>
                <w:sz w:val="24"/>
                <w:szCs w:val="24"/>
              </w:rPr>
              <w:t>港股通非交易日</w:t>
            </w:r>
          </w:p>
        </w:tc>
      </w:tr>
      <w:tr w:rsidR="006E5844" w:rsidTr="001C79CD">
        <w:trPr>
          <w:trHeight w:val="213"/>
          <w:jc w:val="center"/>
        </w:trPr>
        <w:tc>
          <w:tcPr>
            <w:tcW w:w="2830" w:type="dxa"/>
            <w:shd w:val="clear" w:color="auto" w:fill="auto"/>
            <w:noWrap/>
            <w:vAlign w:val="center"/>
            <w:hideMark/>
          </w:tcPr>
          <w:p w:rsidR="001C79CD" w:rsidRPr="00A43F85" w:rsidRDefault="00353C70" w:rsidP="009D70E7">
            <w:pPr>
              <w:widowControl/>
              <w:jc w:val="center"/>
              <w:rPr>
                <w:rFonts w:asciiTheme="minorEastAsia" w:hAnsiTheme="minorEastAsia" w:cs="Arial"/>
                <w:color w:val="000000" w:themeColor="text1"/>
                <w:kern w:val="0"/>
                <w:sz w:val="24"/>
                <w:szCs w:val="24"/>
              </w:rPr>
            </w:pPr>
            <w:r w:rsidRPr="00A43F85">
              <w:rPr>
                <w:rFonts w:asciiTheme="minorEastAsia" w:hAnsiTheme="minorEastAsia" w:cs="Arial"/>
                <w:kern w:val="0"/>
                <w:sz w:val="24"/>
                <w:szCs w:val="24"/>
              </w:rPr>
              <w:t>2026</w:t>
            </w:r>
            <w:r w:rsidRPr="00A43F85">
              <w:rPr>
                <w:rFonts w:asciiTheme="minorEastAsia" w:hAnsiTheme="minorEastAsia" w:cs="Arial"/>
                <w:kern w:val="0"/>
                <w:sz w:val="24"/>
                <w:szCs w:val="24"/>
              </w:rPr>
              <w:t>年</w:t>
            </w:r>
            <w:r w:rsidRPr="00A43F85">
              <w:rPr>
                <w:rFonts w:asciiTheme="minorEastAsia" w:hAnsiTheme="minorEastAsia" w:cs="Arial"/>
                <w:kern w:val="0"/>
                <w:sz w:val="24"/>
                <w:szCs w:val="24"/>
              </w:rPr>
              <w:t>10</w:t>
            </w:r>
            <w:r w:rsidRPr="00A43F85">
              <w:rPr>
                <w:rFonts w:asciiTheme="minorEastAsia" w:hAnsiTheme="minorEastAsia" w:cs="Arial"/>
                <w:kern w:val="0"/>
                <w:sz w:val="24"/>
                <w:szCs w:val="24"/>
              </w:rPr>
              <w:t>月</w:t>
            </w:r>
            <w:r w:rsidRPr="00A43F85">
              <w:rPr>
                <w:rFonts w:asciiTheme="minorEastAsia" w:hAnsiTheme="minorEastAsia" w:cs="Arial"/>
                <w:kern w:val="0"/>
                <w:sz w:val="24"/>
                <w:szCs w:val="24"/>
              </w:rPr>
              <w:t>19</w:t>
            </w:r>
            <w:r w:rsidRPr="00A43F85">
              <w:rPr>
                <w:rFonts w:asciiTheme="minorEastAsia" w:hAnsiTheme="minorEastAsia" w:cs="Arial"/>
                <w:kern w:val="0"/>
                <w:sz w:val="24"/>
                <w:szCs w:val="24"/>
              </w:rPr>
              <w:t>日</w:t>
            </w:r>
          </w:p>
        </w:tc>
        <w:tc>
          <w:tcPr>
            <w:tcW w:w="2856" w:type="dxa"/>
            <w:vMerge/>
            <w:vAlign w:val="center"/>
          </w:tcPr>
          <w:p w:rsidR="001C79CD" w:rsidRPr="00A43F85" w:rsidRDefault="00353C70" w:rsidP="009D70E7">
            <w:pPr>
              <w:widowControl/>
              <w:jc w:val="center"/>
              <w:rPr>
                <w:rFonts w:asciiTheme="minorEastAsia" w:hAnsiTheme="minorEastAsia" w:cs="Arial"/>
                <w:kern w:val="0"/>
                <w:sz w:val="24"/>
                <w:szCs w:val="24"/>
              </w:rPr>
            </w:pPr>
            <w:r>
              <w:rPr>
                <w:rFonts w:asciiTheme="minorEastAsia" w:hAnsiTheme="minorEastAsia" w:cs="Arial" w:hint="eastAsia"/>
                <w:kern w:val="0"/>
                <w:sz w:val="24"/>
                <w:szCs w:val="24"/>
              </w:rPr>
              <w:t>港股通非交易日</w:t>
            </w:r>
          </w:p>
        </w:tc>
      </w:tr>
      <w:tr w:rsidR="006E5844" w:rsidTr="001C79CD">
        <w:trPr>
          <w:trHeight w:val="213"/>
          <w:jc w:val="center"/>
        </w:trPr>
        <w:tc>
          <w:tcPr>
            <w:tcW w:w="2830" w:type="dxa"/>
            <w:shd w:val="clear" w:color="auto" w:fill="auto"/>
            <w:noWrap/>
            <w:vAlign w:val="center"/>
            <w:hideMark/>
          </w:tcPr>
          <w:p w:rsidR="001C79CD" w:rsidRPr="00A43F85" w:rsidRDefault="00353C70" w:rsidP="009D70E7">
            <w:pPr>
              <w:widowControl/>
              <w:jc w:val="center"/>
              <w:rPr>
                <w:rFonts w:asciiTheme="minorEastAsia" w:hAnsiTheme="minorEastAsia" w:cs="Arial"/>
                <w:color w:val="000000" w:themeColor="text1"/>
                <w:kern w:val="0"/>
                <w:sz w:val="24"/>
                <w:szCs w:val="24"/>
              </w:rPr>
            </w:pPr>
            <w:r w:rsidRPr="00A43F85">
              <w:rPr>
                <w:rFonts w:asciiTheme="minorEastAsia" w:hAnsiTheme="minorEastAsia" w:cs="Arial"/>
                <w:kern w:val="0"/>
                <w:sz w:val="24"/>
                <w:szCs w:val="24"/>
              </w:rPr>
              <w:t>2026</w:t>
            </w:r>
            <w:r w:rsidRPr="00A43F85">
              <w:rPr>
                <w:rFonts w:asciiTheme="minorEastAsia" w:hAnsiTheme="minorEastAsia" w:cs="Arial"/>
                <w:kern w:val="0"/>
                <w:sz w:val="24"/>
                <w:szCs w:val="24"/>
              </w:rPr>
              <w:t>年</w:t>
            </w:r>
            <w:r w:rsidRPr="00A43F85">
              <w:rPr>
                <w:rFonts w:asciiTheme="minorEastAsia" w:hAnsiTheme="minorEastAsia" w:cs="Arial"/>
                <w:kern w:val="0"/>
                <w:sz w:val="24"/>
                <w:szCs w:val="24"/>
              </w:rPr>
              <w:t>12</w:t>
            </w:r>
            <w:r w:rsidRPr="00A43F85">
              <w:rPr>
                <w:rFonts w:asciiTheme="minorEastAsia" w:hAnsiTheme="minorEastAsia" w:cs="Arial"/>
                <w:kern w:val="0"/>
                <w:sz w:val="24"/>
                <w:szCs w:val="24"/>
              </w:rPr>
              <w:t>月</w:t>
            </w:r>
            <w:r w:rsidRPr="00A43F85">
              <w:rPr>
                <w:rFonts w:asciiTheme="minorEastAsia" w:hAnsiTheme="minorEastAsia" w:cs="Arial"/>
                <w:kern w:val="0"/>
                <w:sz w:val="24"/>
                <w:szCs w:val="24"/>
              </w:rPr>
              <w:t>24</w:t>
            </w:r>
            <w:r w:rsidRPr="00A43F85">
              <w:rPr>
                <w:rFonts w:asciiTheme="minorEastAsia" w:hAnsiTheme="minorEastAsia" w:cs="Arial"/>
                <w:kern w:val="0"/>
                <w:sz w:val="24"/>
                <w:szCs w:val="24"/>
              </w:rPr>
              <w:t>日</w:t>
            </w:r>
          </w:p>
        </w:tc>
        <w:tc>
          <w:tcPr>
            <w:tcW w:w="2856" w:type="dxa"/>
            <w:vAlign w:val="center"/>
          </w:tcPr>
          <w:p w:rsidR="001C79CD" w:rsidRPr="00A43F85" w:rsidRDefault="00353C70" w:rsidP="009D70E7">
            <w:pPr>
              <w:widowControl/>
              <w:jc w:val="center"/>
              <w:rPr>
                <w:rFonts w:asciiTheme="minorEastAsia" w:hAnsiTheme="minorEastAsia" w:cs="Arial"/>
                <w:kern w:val="0"/>
                <w:sz w:val="24"/>
                <w:szCs w:val="24"/>
              </w:rPr>
            </w:pPr>
            <w:r>
              <w:rPr>
                <w:rFonts w:asciiTheme="minorEastAsia" w:hAnsiTheme="minorEastAsia" w:cs="Arial" w:hint="eastAsia"/>
                <w:kern w:val="0"/>
                <w:sz w:val="24"/>
                <w:szCs w:val="24"/>
              </w:rPr>
              <w:t>港股通下午不提供服务</w:t>
            </w:r>
          </w:p>
        </w:tc>
      </w:tr>
      <w:tr w:rsidR="006E5844" w:rsidTr="001C79CD">
        <w:trPr>
          <w:trHeight w:val="213"/>
          <w:jc w:val="center"/>
        </w:trPr>
        <w:tc>
          <w:tcPr>
            <w:tcW w:w="2830" w:type="dxa"/>
            <w:shd w:val="clear" w:color="auto" w:fill="auto"/>
            <w:noWrap/>
            <w:vAlign w:val="center"/>
            <w:hideMark/>
          </w:tcPr>
          <w:p w:rsidR="001C79CD" w:rsidRPr="00A43F85" w:rsidRDefault="00353C70" w:rsidP="009D70E7">
            <w:pPr>
              <w:widowControl/>
              <w:jc w:val="center"/>
              <w:rPr>
                <w:rFonts w:asciiTheme="minorEastAsia" w:hAnsiTheme="minorEastAsia" w:cs="Arial"/>
                <w:color w:val="000000" w:themeColor="text1"/>
                <w:kern w:val="0"/>
                <w:sz w:val="24"/>
                <w:szCs w:val="24"/>
              </w:rPr>
            </w:pPr>
            <w:r w:rsidRPr="00A43F85">
              <w:rPr>
                <w:rFonts w:asciiTheme="minorEastAsia" w:hAnsiTheme="minorEastAsia" w:cs="Arial"/>
                <w:kern w:val="0"/>
                <w:sz w:val="24"/>
                <w:szCs w:val="24"/>
              </w:rPr>
              <w:t>2026</w:t>
            </w:r>
            <w:r w:rsidRPr="00A43F85">
              <w:rPr>
                <w:rFonts w:asciiTheme="minorEastAsia" w:hAnsiTheme="minorEastAsia" w:cs="Arial"/>
                <w:kern w:val="0"/>
                <w:sz w:val="24"/>
                <w:szCs w:val="24"/>
              </w:rPr>
              <w:t>年</w:t>
            </w:r>
            <w:r w:rsidRPr="00A43F85">
              <w:rPr>
                <w:rFonts w:asciiTheme="minorEastAsia" w:hAnsiTheme="minorEastAsia" w:cs="Arial"/>
                <w:kern w:val="0"/>
                <w:sz w:val="24"/>
                <w:szCs w:val="24"/>
              </w:rPr>
              <w:t>12</w:t>
            </w:r>
            <w:r w:rsidRPr="00A43F85">
              <w:rPr>
                <w:rFonts w:asciiTheme="minorEastAsia" w:hAnsiTheme="minorEastAsia" w:cs="Arial"/>
                <w:kern w:val="0"/>
                <w:sz w:val="24"/>
                <w:szCs w:val="24"/>
              </w:rPr>
              <w:t>月</w:t>
            </w:r>
            <w:r w:rsidRPr="00A43F85">
              <w:rPr>
                <w:rFonts w:asciiTheme="minorEastAsia" w:hAnsiTheme="minorEastAsia" w:cs="Arial"/>
                <w:kern w:val="0"/>
                <w:sz w:val="24"/>
                <w:szCs w:val="24"/>
              </w:rPr>
              <w:t>25</w:t>
            </w:r>
            <w:r w:rsidRPr="00A43F85">
              <w:rPr>
                <w:rFonts w:asciiTheme="minorEastAsia" w:hAnsiTheme="minorEastAsia" w:cs="Arial"/>
                <w:kern w:val="0"/>
                <w:sz w:val="24"/>
                <w:szCs w:val="24"/>
              </w:rPr>
              <w:t>日</w:t>
            </w:r>
          </w:p>
        </w:tc>
        <w:tc>
          <w:tcPr>
            <w:tcW w:w="2856" w:type="dxa"/>
            <w:vAlign w:val="center"/>
          </w:tcPr>
          <w:p w:rsidR="001C79CD" w:rsidRPr="00A43F85" w:rsidRDefault="00353C70" w:rsidP="009D70E7">
            <w:pPr>
              <w:widowControl/>
              <w:jc w:val="center"/>
              <w:rPr>
                <w:rFonts w:asciiTheme="minorEastAsia" w:hAnsiTheme="minorEastAsia" w:cs="Arial"/>
                <w:kern w:val="0"/>
                <w:sz w:val="24"/>
                <w:szCs w:val="24"/>
              </w:rPr>
            </w:pPr>
            <w:r>
              <w:rPr>
                <w:rFonts w:asciiTheme="minorEastAsia" w:hAnsiTheme="minorEastAsia" w:cs="Arial" w:hint="eastAsia"/>
                <w:kern w:val="0"/>
                <w:sz w:val="24"/>
                <w:szCs w:val="24"/>
              </w:rPr>
              <w:t>港股通非交易日</w:t>
            </w:r>
          </w:p>
        </w:tc>
      </w:tr>
      <w:tr w:rsidR="006E5844" w:rsidTr="001C79CD">
        <w:trPr>
          <w:trHeight w:val="213"/>
          <w:jc w:val="center"/>
        </w:trPr>
        <w:tc>
          <w:tcPr>
            <w:tcW w:w="2830" w:type="dxa"/>
            <w:shd w:val="clear" w:color="auto" w:fill="auto"/>
            <w:noWrap/>
            <w:vAlign w:val="center"/>
            <w:hideMark/>
          </w:tcPr>
          <w:p w:rsidR="001C79CD" w:rsidRPr="00A43F85" w:rsidRDefault="00353C70" w:rsidP="009D70E7">
            <w:pPr>
              <w:widowControl/>
              <w:jc w:val="center"/>
              <w:rPr>
                <w:rFonts w:asciiTheme="minorEastAsia" w:hAnsiTheme="minorEastAsia" w:cs="Arial"/>
                <w:color w:val="000000" w:themeColor="text1"/>
                <w:kern w:val="0"/>
                <w:sz w:val="24"/>
                <w:szCs w:val="24"/>
              </w:rPr>
            </w:pPr>
            <w:r w:rsidRPr="00A43F85">
              <w:rPr>
                <w:rFonts w:asciiTheme="minorEastAsia" w:hAnsiTheme="minorEastAsia" w:cs="Arial"/>
                <w:kern w:val="0"/>
                <w:sz w:val="24"/>
                <w:szCs w:val="24"/>
              </w:rPr>
              <w:t>2026</w:t>
            </w:r>
            <w:r w:rsidRPr="00A43F85">
              <w:rPr>
                <w:rFonts w:asciiTheme="minorEastAsia" w:hAnsiTheme="minorEastAsia" w:cs="Arial"/>
                <w:kern w:val="0"/>
                <w:sz w:val="24"/>
                <w:szCs w:val="24"/>
              </w:rPr>
              <w:t>年</w:t>
            </w:r>
            <w:r w:rsidRPr="00A43F85">
              <w:rPr>
                <w:rFonts w:asciiTheme="minorEastAsia" w:hAnsiTheme="minorEastAsia" w:cs="Arial"/>
                <w:kern w:val="0"/>
                <w:sz w:val="24"/>
                <w:szCs w:val="24"/>
              </w:rPr>
              <w:t>12</w:t>
            </w:r>
            <w:r w:rsidRPr="00A43F85">
              <w:rPr>
                <w:rFonts w:asciiTheme="minorEastAsia" w:hAnsiTheme="minorEastAsia" w:cs="Arial"/>
                <w:kern w:val="0"/>
                <w:sz w:val="24"/>
                <w:szCs w:val="24"/>
              </w:rPr>
              <w:t>月</w:t>
            </w:r>
            <w:r w:rsidRPr="00A43F85">
              <w:rPr>
                <w:rFonts w:asciiTheme="minorEastAsia" w:hAnsiTheme="minorEastAsia" w:cs="Arial"/>
                <w:kern w:val="0"/>
                <w:sz w:val="24"/>
                <w:szCs w:val="24"/>
              </w:rPr>
              <w:t>31</w:t>
            </w:r>
            <w:r w:rsidRPr="00A43F85">
              <w:rPr>
                <w:rFonts w:asciiTheme="minorEastAsia" w:hAnsiTheme="minorEastAsia" w:cs="Arial"/>
                <w:kern w:val="0"/>
                <w:sz w:val="24"/>
                <w:szCs w:val="24"/>
              </w:rPr>
              <w:t>日</w:t>
            </w:r>
          </w:p>
        </w:tc>
        <w:tc>
          <w:tcPr>
            <w:tcW w:w="2856" w:type="dxa"/>
            <w:vAlign w:val="center"/>
          </w:tcPr>
          <w:p w:rsidR="001C79CD" w:rsidRPr="00A43F85" w:rsidRDefault="00353C70" w:rsidP="009D70E7">
            <w:pPr>
              <w:widowControl/>
              <w:jc w:val="center"/>
              <w:rPr>
                <w:rFonts w:asciiTheme="minorEastAsia" w:hAnsiTheme="minorEastAsia" w:cs="Arial"/>
                <w:kern w:val="0"/>
                <w:sz w:val="24"/>
                <w:szCs w:val="24"/>
              </w:rPr>
            </w:pPr>
            <w:r>
              <w:rPr>
                <w:rFonts w:asciiTheme="minorEastAsia" w:hAnsiTheme="minorEastAsia" w:cs="Arial" w:hint="eastAsia"/>
                <w:kern w:val="0"/>
                <w:sz w:val="24"/>
                <w:szCs w:val="24"/>
              </w:rPr>
              <w:t>港股通下午不提供服务</w:t>
            </w:r>
          </w:p>
        </w:tc>
      </w:tr>
    </w:tbl>
    <w:p w:rsidR="00533BA4" w:rsidRDefault="00533BA4" w:rsidP="00751D7B">
      <w:pPr>
        <w:autoSpaceDE w:val="0"/>
        <w:autoSpaceDN w:val="0"/>
        <w:adjustRightInd w:val="0"/>
        <w:spacing w:line="360" w:lineRule="auto"/>
        <w:jc w:val="left"/>
        <w:rPr>
          <w:rFonts w:ascii="宋体" w:eastAsia="宋体" w:hAnsi="Times New Roman" w:cs="宋体"/>
          <w:kern w:val="0"/>
          <w:sz w:val="24"/>
          <w:szCs w:val="24"/>
        </w:rPr>
      </w:pPr>
    </w:p>
    <w:p w:rsidR="00927A8B" w:rsidRPr="007B3490" w:rsidRDefault="00353C70" w:rsidP="00E773F0">
      <w:pPr>
        <w:autoSpaceDE w:val="0"/>
        <w:autoSpaceDN w:val="0"/>
        <w:adjustRightInd w:val="0"/>
        <w:spacing w:line="360" w:lineRule="auto"/>
        <w:ind w:firstLineChars="200" w:firstLine="480"/>
        <w:rPr>
          <w:rFonts w:ascii="宋体" w:eastAsia="宋体" w:hAnsi="Times New Roman" w:cs="宋体"/>
          <w:kern w:val="0"/>
          <w:sz w:val="24"/>
          <w:szCs w:val="24"/>
        </w:rPr>
      </w:pPr>
      <w:r w:rsidRPr="00BA3088">
        <w:rPr>
          <w:rFonts w:ascii="宋体" w:eastAsia="宋体" w:hAnsi="Times New Roman" w:cs="宋体" w:hint="eastAsia"/>
          <w:kern w:val="0"/>
          <w:sz w:val="24"/>
          <w:szCs w:val="24"/>
        </w:rPr>
        <w:t>注：</w:t>
      </w:r>
      <w:r w:rsidRPr="00BA3088">
        <w:rPr>
          <w:rFonts w:ascii="宋体" w:eastAsia="宋体" w:hAnsi="Times New Roman" w:cs="宋体" w:hint="eastAsia"/>
          <w:kern w:val="0"/>
          <w:sz w:val="24"/>
          <w:szCs w:val="24"/>
        </w:rPr>
        <w:t>1.</w:t>
      </w:r>
      <w:r w:rsidRPr="00BA3088">
        <w:rPr>
          <w:rFonts w:ascii="宋体" w:eastAsia="宋体" w:hAnsi="Times New Roman" w:cs="宋体" w:hint="eastAsia"/>
          <w:kern w:val="0"/>
          <w:sz w:val="24"/>
          <w:szCs w:val="24"/>
        </w:rPr>
        <w:t>上述日期已剔除和上海证券交易所、深圳证券交易所休市日重合的日期。</w:t>
      </w:r>
    </w:p>
    <w:p w:rsidR="00927A8B" w:rsidRPr="007B3490" w:rsidRDefault="00353C70" w:rsidP="00E773F0">
      <w:pPr>
        <w:autoSpaceDE w:val="0"/>
        <w:autoSpaceDN w:val="0"/>
        <w:adjustRightInd w:val="0"/>
        <w:spacing w:line="360" w:lineRule="auto"/>
        <w:ind w:firstLineChars="200" w:firstLine="480"/>
        <w:rPr>
          <w:rFonts w:ascii="宋体" w:eastAsia="宋体" w:hAnsi="Times New Roman" w:cs="宋体"/>
          <w:kern w:val="0"/>
          <w:sz w:val="24"/>
          <w:szCs w:val="24"/>
        </w:rPr>
      </w:pPr>
      <w:r w:rsidRPr="00BA3088">
        <w:rPr>
          <w:rFonts w:ascii="宋体" w:eastAsia="宋体" w:hAnsi="Times New Roman" w:cs="宋体" w:hint="eastAsia"/>
          <w:kern w:val="0"/>
          <w:sz w:val="24"/>
          <w:szCs w:val="24"/>
        </w:rPr>
        <w:t>2.</w:t>
      </w:r>
      <w:r w:rsidRPr="00BA3088">
        <w:rPr>
          <w:rFonts w:ascii="宋体" w:eastAsia="宋体" w:hAnsi="Times New Roman" w:cs="宋体" w:hint="eastAsia"/>
          <w:kern w:val="0"/>
          <w:sz w:val="24"/>
          <w:szCs w:val="24"/>
        </w:rPr>
        <w:t>如本基金因其他原因暂停申购、赎回或有其他交易状态限制的，具体业务办理以相关公告为准。</w:t>
      </w:r>
    </w:p>
    <w:p w:rsidR="00927A8B" w:rsidRPr="007B3490" w:rsidRDefault="00353C70" w:rsidP="00E773F0">
      <w:pPr>
        <w:autoSpaceDE w:val="0"/>
        <w:autoSpaceDN w:val="0"/>
        <w:adjustRightInd w:val="0"/>
        <w:spacing w:line="360" w:lineRule="auto"/>
        <w:ind w:firstLineChars="200" w:firstLine="480"/>
        <w:rPr>
          <w:rFonts w:ascii="宋体" w:eastAsia="宋体" w:hAnsi="Times New Roman" w:cs="宋体"/>
          <w:kern w:val="0"/>
          <w:sz w:val="24"/>
          <w:szCs w:val="24"/>
        </w:rPr>
      </w:pPr>
      <w:r w:rsidRPr="00BA3088">
        <w:rPr>
          <w:rFonts w:ascii="宋体" w:eastAsia="宋体" w:hAnsi="Times New Roman" w:cs="宋体" w:hint="eastAsia"/>
          <w:kern w:val="0"/>
          <w:sz w:val="24"/>
          <w:szCs w:val="24"/>
        </w:rPr>
        <w:t>3.</w:t>
      </w:r>
      <w:r w:rsidRPr="00BA3088">
        <w:rPr>
          <w:rFonts w:ascii="宋体" w:eastAsia="宋体" w:hAnsi="Times New Roman" w:cs="宋体" w:hint="eastAsia"/>
          <w:kern w:val="0"/>
          <w:sz w:val="24"/>
          <w:szCs w:val="24"/>
        </w:rPr>
        <w:t>若港股通交易日安排发生变化，或根据法律法规、基金合同等规定需要调整上述事项的，本公司将相应调整并及时公告。</w:t>
      </w:r>
    </w:p>
    <w:p w:rsidR="00927A8B" w:rsidRPr="007B3490" w:rsidRDefault="00353C70" w:rsidP="00E773F0">
      <w:pPr>
        <w:autoSpaceDE w:val="0"/>
        <w:autoSpaceDN w:val="0"/>
        <w:adjustRightInd w:val="0"/>
        <w:spacing w:line="360" w:lineRule="auto"/>
        <w:ind w:firstLineChars="200" w:firstLine="480"/>
        <w:rPr>
          <w:rFonts w:ascii="宋体" w:eastAsia="宋体" w:hAnsi="Times New Roman" w:cs="宋体"/>
          <w:kern w:val="0"/>
          <w:sz w:val="24"/>
          <w:szCs w:val="24"/>
        </w:rPr>
      </w:pPr>
      <w:r w:rsidRPr="00BA3088">
        <w:rPr>
          <w:rFonts w:ascii="宋体" w:eastAsia="宋体" w:hAnsi="Times New Roman" w:cs="宋体" w:hint="eastAsia"/>
          <w:kern w:val="0"/>
          <w:sz w:val="24"/>
          <w:szCs w:val="24"/>
        </w:rPr>
        <w:t>为避免因港股通不提供服务原因带来的不便，敬请投资者提前进行相关业务安排。</w:t>
      </w:r>
    </w:p>
    <w:p w:rsidR="00927A8B" w:rsidRPr="007B3490" w:rsidRDefault="00353C70" w:rsidP="00E773F0">
      <w:pPr>
        <w:autoSpaceDE w:val="0"/>
        <w:autoSpaceDN w:val="0"/>
        <w:adjustRightInd w:val="0"/>
        <w:spacing w:line="360" w:lineRule="auto"/>
        <w:ind w:firstLineChars="200" w:firstLine="480"/>
        <w:rPr>
          <w:rFonts w:ascii="宋体" w:eastAsia="宋体" w:hAnsi="Times New Roman" w:cs="宋体"/>
          <w:kern w:val="0"/>
          <w:sz w:val="24"/>
          <w:szCs w:val="24"/>
        </w:rPr>
      </w:pPr>
      <w:r w:rsidRPr="00BA3088">
        <w:rPr>
          <w:rFonts w:ascii="宋体" w:eastAsia="宋体" w:hAnsi="Times New Roman" w:cs="宋体" w:hint="eastAsia"/>
          <w:kern w:val="0"/>
          <w:sz w:val="24"/>
          <w:szCs w:val="24"/>
        </w:rPr>
        <w:t>投资者可登录本公司网站（</w:t>
      </w:r>
      <w:r w:rsidRPr="00BA3088">
        <w:rPr>
          <w:rFonts w:ascii="宋体" w:eastAsia="宋体" w:hAnsi="Times New Roman" w:cs="宋体" w:hint="eastAsia"/>
          <w:kern w:val="0"/>
          <w:sz w:val="24"/>
          <w:szCs w:val="24"/>
        </w:rPr>
        <w:t>www.efunds.com.cn</w:t>
      </w:r>
      <w:r w:rsidRPr="00BA3088">
        <w:rPr>
          <w:rFonts w:ascii="宋体" w:eastAsia="宋体" w:hAnsi="Times New Roman" w:cs="宋体" w:hint="eastAsia"/>
          <w:kern w:val="0"/>
          <w:sz w:val="24"/>
          <w:szCs w:val="24"/>
        </w:rPr>
        <w:t>）或拨打本公司客户服务电话（</w:t>
      </w:r>
      <w:r w:rsidRPr="00BA3088">
        <w:rPr>
          <w:rFonts w:ascii="宋体" w:eastAsia="宋体" w:hAnsi="Times New Roman" w:cs="宋体" w:hint="eastAsia"/>
          <w:kern w:val="0"/>
          <w:sz w:val="24"/>
          <w:szCs w:val="24"/>
        </w:rPr>
        <w:t>400 881 8088</w:t>
      </w:r>
      <w:r w:rsidRPr="00BA3088">
        <w:rPr>
          <w:rFonts w:ascii="宋体" w:eastAsia="宋体" w:hAnsi="Times New Roman" w:cs="宋体" w:hint="eastAsia"/>
          <w:kern w:val="0"/>
          <w:sz w:val="24"/>
          <w:szCs w:val="24"/>
        </w:rPr>
        <w:t>）获取相关信息。</w:t>
      </w:r>
    </w:p>
    <w:p w:rsidR="00927A8B" w:rsidRPr="007B3490" w:rsidRDefault="00353C70" w:rsidP="00E773F0">
      <w:pPr>
        <w:autoSpaceDE w:val="0"/>
        <w:autoSpaceDN w:val="0"/>
        <w:adjustRightInd w:val="0"/>
        <w:spacing w:line="360" w:lineRule="auto"/>
        <w:ind w:firstLineChars="200" w:firstLine="480"/>
        <w:rPr>
          <w:rFonts w:ascii="宋体" w:eastAsia="宋体" w:hAnsi="Times New Roman" w:cs="宋体"/>
          <w:kern w:val="0"/>
          <w:sz w:val="24"/>
          <w:szCs w:val="24"/>
        </w:rPr>
      </w:pPr>
      <w:r w:rsidRPr="00BA3088">
        <w:rPr>
          <w:rFonts w:ascii="宋体" w:eastAsia="宋体" w:hAnsi="Times New Roman" w:cs="宋体" w:hint="eastAsia"/>
          <w:kern w:val="0"/>
          <w:sz w:val="24"/>
          <w:szCs w:val="24"/>
        </w:rPr>
        <w:t>特此公告。</w:t>
      </w:r>
    </w:p>
    <w:p w:rsidR="00C65F7E" w:rsidRDefault="00353C70" w:rsidP="00E773F0">
      <w:pPr>
        <w:autoSpaceDE w:val="0"/>
        <w:autoSpaceDN w:val="0"/>
        <w:adjustRightInd w:val="0"/>
        <w:spacing w:line="360" w:lineRule="auto"/>
        <w:jc w:val="right"/>
        <w:rPr>
          <w:rFonts w:ascii="宋体" w:eastAsia="宋体" w:hAnsi="Times New Roman" w:cs="宋体"/>
          <w:kern w:val="0"/>
          <w:sz w:val="24"/>
          <w:szCs w:val="24"/>
        </w:rPr>
      </w:pPr>
      <w:r w:rsidRPr="008F7D16">
        <w:rPr>
          <w:rFonts w:ascii="宋体" w:eastAsia="宋体" w:hAnsi="Times New Roman" w:cs="宋体" w:hint="eastAsia"/>
          <w:kern w:val="0"/>
          <w:sz w:val="24"/>
          <w:szCs w:val="24"/>
        </w:rPr>
        <w:t>易方达基金管理有限公司</w:t>
      </w:r>
    </w:p>
    <w:p w:rsidR="00BC1095" w:rsidRPr="00C12A64" w:rsidRDefault="00353C70" w:rsidP="00E773F0">
      <w:pPr>
        <w:autoSpaceDE w:val="0"/>
        <w:autoSpaceDN w:val="0"/>
        <w:adjustRightInd w:val="0"/>
        <w:spacing w:line="360" w:lineRule="auto"/>
        <w:jc w:val="right"/>
        <w:rPr>
          <w:rFonts w:ascii="宋体" w:eastAsia="宋体" w:hAnsi="Times New Roman" w:cs="宋体"/>
          <w:kern w:val="0"/>
          <w:sz w:val="24"/>
          <w:szCs w:val="24"/>
        </w:rPr>
      </w:pPr>
      <w:r w:rsidRPr="00C12A64">
        <w:rPr>
          <w:rFonts w:ascii="宋体" w:eastAsia="宋体" w:hAnsi="Times New Roman" w:cs="宋体" w:hint="eastAsia"/>
          <w:kern w:val="0"/>
          <w:sz w:val="24"/>
          <w:szCs w:val="24"/>
        </w:rPr>
        <w:lastRenderedPageBreak/>
        <w:t>2026</w:t>
      </w:r>
      <w:r w:rsidRPr="00C12A64">
        <w:rPr>
          <w:rFonts w:ascii="宋体" w:eastAsia="宋体" w:hAnsi="Times New Roman" w:cs="宋体" w:hint="eastAsia"/>
          <w:kern w:val="0"/>
          <w:sz w:val="24"/>
          <w:szCs w:val="24"/>
        </w:rPr>
        <w:t>年</w:t>
      </w:r>
      <w:r w:rsidRPr="00C12A64">
        <w:rPr>
          <w:rFonts w:ascii="宋体" w:eastAsia="宋体" w:hAnsi="Times New Roman" w:cs="宋体" w:hint="eastAsia"/>
          <w:kern w:val="0"/>
          <w:sz w:val="24"/>
          <w:szCs w:val="24"/>
        </w:rPr>
        <w:t>3</w:t>
      </w:r>
      <w:r w:rsidRPr="00C12A64">
        <w:rPr>
          <w:rFonts w:ascii="宋体" w:eastAsia="宋体" w:hAnsi="Times New Roman" w:cs="宋体" w:hint="eastAsia"/>
          <w:kern w:val="0"/>
          <w:sz w:val="24"/>
          <w:szCs w:val="24"/>
        </w:rPr>
        <w:t>月</w:t>
      </w:r>
      <w:r w:rsidRPr="00C12A64">
        <w:rPr>
          <w:rFonts w:ascii="宋体" w:eastAsia="宋体" w:hAnsi="Times New Roman" w:cs="宋体" w:hint="eastAsia"/>
          <w:kern w:val="0"/>
          <w:sz w:val="24"/>
          <w:szCs w:val="24"/>
        </w:rPr>
        <w:t>27</w:t>
      </w:r>
      <w:r w:rsidRPr="00C12A64">
        <w:rPr>
          <w:rFonts w:ascii="宋体" w:eastAsia="宋体" w:hAnsi="Times New Roman" w:cs="宋体" w:hint="eastAsia"/>
          <w:kern w:val="0"/>
          <w:sz w:val="24"/>
          <w:szCs w:val="24"/>
        </w:rPr>
        <w:t>日</w:t>
      </w:r>
      <w:bookmarkStart w:id="0" w:name="_GoBack"/>
      <w:bookmarkEnd w:id="0"/>
    </w:p>
    <w:sectPr w:rsidR="00BC1095" w:rsidRPr="00C12A64" w:rsidSect="006E584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844" w:rsidRDefault="006E5844" w:rsidP="006E5844">
      <w:r>
        <w:separator/>
      </w:r>
    </w:p>
  </w:endnote>
  <w:endnote w:type="continuationSeparator" w:id="0">
    <w:p w:rsidR="006E5844" w:rsidRDefault="006E5844" w:rsidP="006E58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76" w:rsidRDefault="00E82F7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76" w:rsidRDefault="00E82F7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76" w:rsidRDefault="00E82F7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844" w:rsidRDefault="006E5844" w:rsidP="006E5844">
      <w:r>
        <w:separator/>
      </w:r>
    </w:p>
  </w:footnote>
  <w:footnote w:type="continuationSeparator" w:id="0">
    <w:p w:rsidR="006E5844" w:rsidRDefault="006E5844" w:rsidP="006E5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76" w:rsidRDefault="00E82F7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76" w:rsidRDefault="00E82F76">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76" w:rsidRDefault="00E82F76">
    <w:pPr>
      <w:pStyle w:val="a8"/>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甘世培">
    <w15:presenceInfo w15:providerId="AD" w15:userId="S-1-5-21-4192046361-1944119394-1811551143-2624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7A8B"/>
    <w:rsid w:val="000004FF"/>
    <w:rsid w:val="00097B5C"/>
    <w:rsid w:val="000E3E70"/>
    <w:rsid w:val="000E63AB"/>
    <w:rsid w:val="001C79CD"/>
    <w:rsid w:val="001F2CC8"/>
    <w:rsid w:val="002B08D8"/>
    <w:rsid w:val="00323211"/>
    <w:rsid w:val="00353C70"/>
    <w:rsid w:val="003772C3"/>
    <w:rsid w:val="003B6098"/>
    <w:rsid w:val="003C6C44"/>
    <w:rsid w:val="003F68E4"/>
    <w:rsid w:val="00410DF5"/>
    <w:rsid w:val="00472B04"/>
    <w:rsid w:val="004D5DA0"/>
    <w:rsid w:val="00533BA4"/>
    <w:rsid w:val="00591A4A"/>
    <w:rsid w:val="005F6E0B"/>
    <w:rsid w:val="00614D3D"/>
    <w:rsid w:val="00681E93"/>
    <w:rsid w:val="006D1792"/>
    <w:rsid w:val="006E5844"/>
    <w:rsid w:val="00751D7B"/>
    <w:rsid w:val="0077658A"/>
    <w:rsid w:val="007A529D"/>
    <w:rsid w:val="007B3490"/>
    <w:rsid w:val="008370B9"/>
    <w:rsid w:val="008F7D16"/>
    <w:rsid w:val="00927A8B"/>
    <w:rsid w:val="00955CBE"/>
    <w:rsid w:val="009D70E7"/>
    <w:rsid w:val="00A43F85"/>
    <w:rsid w:val="00AA1890"/>
    <w:rsid w:val="00AA526A"/>
    <w:rsid w:val="00B0338B"/>
    <w:rsid w:val="00B07771"/>
    <w:rsid w:val="00BA3088"/>
    <w:rsid w:val="00BC1095"/>
    <w:rsid w:val="00BF1A27"/>
    <w:rsid w:val="00C12A64"/>
    <w:rsid w:val="00C65F7E"/>
    <w:rsid w:val="00C91B34"/>
    <w:rsid w:val="00CC453F"/>
    <w:rsid w:val="00CD558B"/>
    <w:rsid w:val="00DE4CFA"/>
    <w:rsid w:val="00E012B3"/>
    <w:rsid w:val="00E26D85"/>
    <w:rsid w:val="00E773F0"/>
    <w:rsid w:val="00E82F76"/>
    <w:rsid w:val="00EB7CD5"/>
    <w:rsid w:val="00F037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420"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A8B"/>
    <w:pPr>
      <w:widowControl w:val="0"/>
      <w:ind w:left="0" w:firstLineChars="0" w:firstLine="0"/>
    </w:pPr>
  </w:style>
  <w:style w:type="paragraph" w:styleId="5">
    <w:name w:val="heading 5"/>
    <w:basedOn w:val="a"/>
    <w:next w:val="a"/>
    <w:link w:val="5Char"/>
    <w:uiPriority w:val="9"/>
    <w:unhideWhenUsed/>
    <w:qFormat/>
    <w:rsid w:val="00751D7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7A8B"/>
    <w:pPr>
      <w:ind w:left="0" w:firstLineChars="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3C6C44"/>
    <w:rPr>
      <w:sz w:val="21"/>
      <w:szCs w:val="21"/>
    </w:rPr>
  </w:style>
  <w:style w:type="paragraph" w:styleId="a5">
    <w:name w:val="annotation text"/>
    <w:basedOn w:val="a"/>
    <w:link w:val="Char"/>
    <w:uiPriority w:val="99"/>
    <w:unhideWhenUsed/>
    <w:rsid w:val="003C6C44"/>
    <w:pPr>
      <w:jc w:val="left"/>
    </w:pPr>
  </w:style>
  <w:style w:type="character" w:customStyle="1" w:styleId="Char">
    <w:name w:val="批注文字 Char"/>
    <w:basedOn w:val="a0"/>
    <w:link w:val="a5"/>
    <w:uiPriority w:val="99"/>
    <w:rsid w:val="003C6C44"/>
  </w:style>
  <w:style w:type="paragraph" w:styleId="a6">
    <w:name w:val="annotation subject"/>
    <w:basedOn w:val="a5"/>
    <w:next w:val="a5"/>
    <w:link w:val="Char0"/>
    <w:uiPriority w:val="99"/>
    <w:semiHidden/>
    <w:unhideWhenUsed/>
    <w:rsid w:val="003C6C44"/>
    <w:rPr>
      <w:b/>
      <w:bCs/>
    </w:rPr>
  </w:style>
  <w:style w:type="character" w:customStyle="1" w:styleId="Char0">
    <w:name w:val="批注主题 Char"/>
    <w:basedOn w:val="Char"/>
    <w:link w:val="a6"/>
    <w:uiPriority w:val="99"/>
    <w:semiHidden/>
    <w:rsid w:val="003C6C44"/>
    <w:rPr>
      <w:b/>
      <w:bCs/>
    </w:rPr>
  </w:style>
  <w:style w:type="paragraph" w:styleId="a7">
    <w:name w:val="Balloon Text"/>
    <w:basedOn w:val="a"/>
    <w:link w:val="Char1"/>
    <w:uiPriority w:val="99"/>
    <w:semiHidden/>
    <w:unhideWhenUsed/>
    <w:rsid w:val="003C6C44"/>
    <w:rPr>
      <w:sz w:val="18"/>
      <w:szCs w:val="18"/>
    </w:rPr>
  </w:style>
  <w:style w:type="character" w:customStyle="1" w:styleId="Char1">
    <w:name w:val="批注框文本 Char"/>
    <w:basedOn w:val="a0"/>
    <w:link w:val="a7"/>
    <w:uiPriority w:val="99"/>
    <w:semiHidden/>
    <w:rsid w:val="003C6C44"/>
    <w:rPr>
      <w:sz w:val="18"/>
      <w:szCs w:val="18"/>
    </w:rPr>
  </w:style>
  <w:style w:type="paragraph" w:styleId="a8">
    <w:name w:val="header"/>
    <w:basedOn w:val="a"/>
    <w:link w:val="Char2"/>
    <w:uiPriority w:val="99"/>
    <w:unhideWhenUsed/>
    <w:rsid w:val="00E82F7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E82F76"/>
    <w:rPr>
      <w:sz w:val="18"/>
      <w:szCs w:val="18"/>
    </w:rPr>
  </w:style>
  <w:style w:type="paragraph" w:styleId="a9">
    <w:name w:val="footer"/>
    <w:basedOn w:val="a"/>
    <w:link w:val="Char3"/>
    <w:uiPriority w:val="99"/>
    <w:unhideWhenUsed/>
    <w:rsid w:val="00E82F76"/>
    <w:pPr>
      <w:tabs>
        <w:tab w:val="center" w:pos="4153"/>
        <w:tab w:val="right" w:pos="8306"/>
      </w:tabs>
      <w:snapToGrid w:val="0"/>
      <w:jc w:val="left"/>
    </w:pPr>
    <w:rPr>
      <w:sz w:val="18"/>
      <w:szCs w:val="18"/>
    </w:rPr>
  </w:style>
  <w:style w:type="character" w:customStyle="1" w:styleId="Char3">
    <w:name w:val="页脚 Char"/>
    <w:basedOn w:val="a0"/>
    <w:link w:val="a9"/>
    <w:uiPriority w:val="99"/>
    <w:rsid w:val="00E82F76"/>
    <w:rPr>
      <w:sz w:val="18"/>
      <w:szCs w:val="18"/>
    </w:rPr>
  </w:style>
  <w:style w:type="character" w:customStyle="1" w:styleId="5Char">
    <w:name w:val="标题 5 Char"/>
    <w:basedOn w:val="a0"/>
    <w:link w:val="5"/>
    <w:uiPriority w:val="9"/>
    <w:rsid w:val="00751D7B"/>
    <w:rPr>
      <w:b/>
      <w:bCs/>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ns9="http://schemas.openxmlformats.org/markup-compatibility/2006" xmlns:ns8="http://schemas.microsoft.com/office/word/2012/wordml" xmlns:ns7="http://schemas.microsoft.com/office/word/2010/wordprocessingDrawing" xmlns:ns6="http://schemas.openxmlformats.org/drawingml/2006/main" xmlns:ns5="http://schemas.openxmlformats.org/drawingml/2006/wordprocessingDrawing" xmlns:ns4="http://schemas.microsoft.com/office/word/2010/wordml" xmlns:ns33="http://schemas.microsoft.com/office/webextensions/webextension/2010/11" xmlns:ns32="http://schemas.microsoft.com/office/webextensions/taskpanes/2010/11" xmlns:ns31="http://schemas.openxmlformats.org/officeDocument/2006/bibliography" xmlns:ns30="http://opendope.org/SmartArt/DataHierarchy" xmlns:ns3="http://schemas.openxmlformats.org/officeDocument/2006/relationships" xmlns:ns29="http://opendope.org/components" xmlns:ns28="http://opendope.org/answers" xmlns:ns27="http://opendope.org/questions" xmlns:ns26="http://opendope.org/conditions" xmlns:ns25="http://opendope.org/xpaths" xmlns:ns21="urn:schemas-microsoft-com:office:word" xmlns:ns20="urn:schemas-microsoft-com:vml" xmlns:ns2="http://schemas.openxmlformats.org/officeDocument/2006/math" xmlns:ns19="urn:schemas-microsoft-com:office:office" xmlns:ns17="http://schemas.microsoft.com/office/drawing/2008/diagram" xmlns:ns16="http://schemas.openxmlformats.org/drawingml/2006/spreadsheetDrawing" xmlns:ns15="http://schemas.openxmlformats.org/drawingml/2006/picture" xmlns:ns14="http://schemas.openxmlformats.org/drawingml/2006/diagram" xmlns:ns12="http://schemas.openxmlformats.org/drawingml/2006/chart" xmlns:ns11="http://schemas.microsoft.com/office/word/2006/wordml" xmlns:ns1="http://schemas.openxmlformats.org/wordprocessingml/2006/main" xmlns:thm15="http://schemas.microsoft.com/office/thememl/2012/main" xmlns:ns35="http://schemas.openxmlformats.org/drawingml/2006/lockedCanvas" xmlns:ns34="http://schemas.openxmlformats.org/drawingml/2006/compatibility" xmlns:we="http://schemas.microsoft.com/office/webextensions/webextension/2010/11" xmlns:wetp="http://schemas.microsoft.com/office/webextensions/taskpanes/2010/11" xmlns:b="http://schemas.openxmlformats.org/officeDocument/2006/bibliography" xmlns:odgm="http://opendope.org/SmartArt/DataHierarchy" xmlns:odi="http://opendope.org/components" xmlns:oda="http://opendope.org/answers" xmlns:odq="http://opendope.org/questions" xmlns:odc="http://opendope.org/conditions" xmlns:odx="http://opendope.org/xpaths" xmlns:ns24="http://schemas.microsoft.com/office/2006/coverPageProps" xmlns:ns22="urn:schemas-microsoft-com:office:powerpoint" xmlns:w10="urn:schemas-microsoft-com:office:word" xmlns:v="urn:schemas-microsoft-com:vml" xmlns:o="urn:schemas-microsoft-com:office:office" xmlns:ns18="urn:schemas-microsoft-com:office:excel" xmlns:dsp="http://schemas.microsoft.com/office/drawing/2008/diagram" xmlns:xdr="http://schemas.openxmlformats.org/drawingml/2006/spreadsheetDrawing" xmlns:pic="http://schemas.openxmlformats.org/drawingml/2006/picture" xmlns:dgm="http://schemas.openxmlformats.org/drawingml/2006/diagram" xmlns:ns13="http://schemas.openxmlformats.org/drawingml/2006/chartDrawing" xmlns:c="http://schemas.openxmlformats.org/drawingml/2006/chart" xmlns:wne="http://schemas.microsoft.com/office/word/2006/wordml" xmlns:ns10="http://schemas.openxmlformats.org/schemaLibrary/2006/main" xmlns:mc="http://schemas.openxmlformats.org/markup-compatibility/2006" xmlns:w15="http://schemas.microsoft.com/office/word/2012/wordml" xmlns:wp14="http://schemas.microsoft.com/office/word/2010/wordprocessingDrawing" xmlns:wp="http://schemas.openxmlformats.org/drawingml/2006/wordprocessingDrawing" xmlns:w14="http://schemas.microsoft.com/office/word/2010/wordml" xmlns:r="http://schemas.openxmlformats.org/officeDocument/2006/relationships" xmlns:m="http://schemas.openxmlformats.org/officeDocument/2006/math" xmlns:w="http://schemas.openxmlformats.org/wordprocessingml/2006/main" xmlns="" id="{62F939B6-93AF-4DB8-9C6B-D6C7DFDC589F}" name="Office Theme"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8997BB48-8E44-45F9-B488-38613B21888A}">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634</Characters>
  <Application>Microsoft Office Word</Application>
  <DocSecurity>4</DocSecurity>
  <Lines>5</Lines>
  <Paragraphs>1</Paragraphs>
  <ScaleCrop>false</ScaleCrop>
  <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2026-03-26T16:03:00Z</dcterms:created>
  <dcterms:modified xsi:type="dcterms:W3CDTF">2026-03-26T16:03:00Z</dcterms:modified>
</cp:coreProperties>
</file>