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2E160B" w:rsidP="002E160B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关于易方达成长动力混合型证券投资基金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2E160B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成长动力混合型证券投资基金基金合同》《易方达成长动力混合型证券投资基金更新的招募说明书》的相关规定及港股通交易日安排，易方达成长动力混合型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014727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014728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B5BF9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2E160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2E160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2E160B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2E160B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2B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F9" w:rsidRDefault="002B5BF9" w:rsidP="002B5BF9">
      <w:r>
        <w:separator/>
      </w:r>
    </w:p>
  </w:endnote>
  <w:endnote w:type="continuationSeparator" w:id="0">
    <w:p w:rsidR="002B5BF9" w:rsidRDefault="002B5BF9" w:rsidP="002B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F9" w:rsidRDefault="002B5BF9" w:rsidP="002B5BF9">
      <w:r>
        <w:separator/>
      </w:r>
    </w:p>
  </w:footnote>
  <w:footnote w:type="continuationSeparator" w:id="0">
    <w:p w:rsidR="002B5BF9" w:rsidRDefault="002B5BF9" w:rsidP="002B5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2B5BF9"/>
    <w:rsid w:val="002E160B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4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