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B0266">
      <w:pPr>
        <w:spacing w:line="360" w:lineRule="auto"/>
        <w:jc w:val="center"/>
        <w:rPr>
          <w:rFonts w:hint="eastAsia"/>
          <w:b/>
          <w:sz w:val="36"/>
          <w:lang w:val="zh-CN"/>
        </w:rPr>
      </w:pPr>
      <w:r>
        <w:rPr>
          <w:rFonts w:hint="eastAsia"/>
          <w:b/>
          <w:sz w:val="36"/>
          <w:lang w:val="zh-CN"/>
        </w:rPr>
        <w:t>创金合信积极成长股票型发起式证券投资基金</w:t>
      </w:r>
      <w:r>
        <w:rPr>
          <w:rFonts w:hint="eastAsia"/>
          <w:b/>
          <w:sz w:val="36"/>
          <w:lang w:val="zh-CN"/>
        </w:rPr>
        <w:t>开</w:t>
      </w:r>
      <w:r>
        <w:rPr>
          <w:rFonts w:hint="eastAsia"/>
          <w:b/>
          <w:sz w:val="36"/>
          <w:lang w:val="zh-CN"/>
        </w:rPr>
        <w:t>通同一基金不同份额类别相互转换业务的公告</w:t>
      </w:r>
    </w:p>
    <w:p w:rsidR="00000000" w:rsidRDefault="00DB0266">
      <w:pPr>
        <w:spacing w:line="360" w:lineRule="auto"/>
        <w:ind w:firstLine="420"/>
        <w:jc w:val="center"/>
        <w:rPr>
          <w:rFonts w:ascii="宋体" w:hAnsi="宋体"/>
          <w:sz w:val="24"/>
          <w:lang w:val="zh-CN"/>
        </w:rPr>
      </w:pPr>
    </w:p>
    <w:p w:rsidR="00000000" w:rsidRDefault="00DB0266">
      <w:pPr>
        <w:spacing w:line="360" w:lineRule="auto"/>
        <w:ind w:firstLine="420"/>
        <w:jc w:val="center"/>
        <w:rPr>
          <w:rFonts w:ascii="宋体" w:hAnsi="宋体" w:hint="eastAsia"/>
          <w:sz w:val="24"/>
          <w:lang w:val="zh-CN"/>
        </w:rPr>
      </w:pPr>
      <w:r>
        <w:rPr>
          <w:rFonts w:ascii="宋体" w:hAnsi="宋体" w:hint="eastAsia"/>
          <w:sz w:val="24"/>
          <w:lang w:val="zh-CN"/>
        </w:rPr>
        <w:t>公告日期：</w:t>
      </w:r>
      <w:r>
        <w:rPr>
          <w:rFonts w:ascii="宋体" w:hAnsi="宋体" w:hint="eastAsia"/>
          <w:sz w:val="24"/>
          <w:lang w:val="zh-CN"/>
        </w:rPr>
        <w:t>202</w:t>
      </w:r>
      <w:r>
        <w:rPr>
          <w:rFonts w:ascii="宋体" w:hAnsi="宋体" w:hint="eastAsia"/>
          <w:sz w:val="24"/>
        </w:rPr>
        <w:t>6</w:t>
      </w:r>
      <w:r>
        <w:rPr>
          <w:rFonts w:ascii="宋体" w:hAnsi="宋体" w:hint="eastAsia"/>
          <w:sz w:val="24"/>
          <w:lang w:val="zh-CN"/>
        </w:rPr>
        <w:t>年</w:t>
      </w:r>
      <w:r>
        <w:rPr>
          <w:rFonts w:ascii="宋体" w:hAnsi="宋体" w:hint="eastAsia"/>
          <w:sz w:val="24"/>
        </w:rPr>
        <w:t>3</w:t>
      </w:r>
      <w:r>
        <w:rPr>
          <w:rFonts w:ascii="宋体" w:hAnsi="宋体" w:hint="eastAsia"/>
          <w:sz w:val="24"/>
          <w:lang w:val="zh-CN"/>
        </w:rPr>
        <w:t>月</w:t>
      </w:r>
      <w:r>
        <w:rPr>
          <w:rFonts w:ascii="宋体" w:hAnsi="宋体" w:hint="eastAsia"/>
          <w:sz w:val="24"/>
        </w:rPr>
        <w:t>26</w:t>
      </w:r>
      <w:r>
        <w:rPr>
          <w:rFonts w:ascii="宋体" w:hAnsi="宋体" w:hint="eastAsia"/>
          <w:sz w:val="24"/>
          <w:lang w:val="zh-CN"/>
        </w:rPr>
        <w:t>日</w:t>
      </w:r>
    </w:p>
    <w:p w:rsidR="00000000" w:rsidRDefault="00DB0266">
      <w:pPr>
        <w:spacing w:line="360" w:lineRule="auto"/>
        <w:rPr>
          <w:rFonts w:ascii="宋体" w:hAnsi="宋体"/>
          <w:sz w:val="24"/>
          <w:lang w:val="zh-CN"/>
        </w:rPr>
      </w:pPr>
    </w:p>
    <w:p w:rsidR="00000000" w:rsidRDefault="00DB0266">
      <w:pPr>
        <w:spacing w:line="360" w:lineRule="auto"/>
        <w:ind w:firstLine="420"/>
        <w:rPr>
          <w:rFonts w:ascii="宋体" w:hAnsi="宋体" w:hint="eastAsia"/>
          <w:sz w:val="24"/>
          <w:lang w:val="zh-CN"/>
        </w:rPr>
      </w:pPr>
      <w:r>
        <w:rPr>
          <w:rFonts w:ascii="宋体" w:hAnsi="宋体" w:hint="eastAsia"/>
          <w:sz w:val="24"/>
          <w:lang w:val="zh-CN"/>
        </w:rPr>
        <w:t>为</w:t>
      </w:r>
      <w:r>
        <w:rPr>
          <w:rFonts w:ascii="宋体" w:hAnsi="宋体" w:hint="eastAsia"/>
          <w:sz w:val="24"/>
        </w:rPr>
        <w:t>给</w:t>
      </w:r>
      <w:r>
        <w:rPr>
          <w:rFonts w:ascii="宋体" w:hAnsi="宋体" w:hint="eastAsia"/>
          <w:sz w:val="24"/>
          <w:lang w:val="zh-CN"/>
        </w:rPr>
        <w:t>投资者</w:t>
      </w:r>
      <w:r>
        <w:rPr>
          <w:rFonts w:ascii="宋体" w:hAnsi="宋体" w:hint="eastAsia"/>
          <w:sz w:val="24"/>
        </w:rPr>
        <w:t>提供更好的服务</w:t>
      </w:r>
      <w:r>
        <w:rPr>
          <w:rFonts w:ascii="宋体" w:hAnsi="宋体" w:hint="eastAsia"/>
          <w:sz w:val="24"/>
          <w:lang w:val="zh-CN"/>
        </w:rPr>
        <w:t>，创金合信</w:t>
      </w:r>
      <w:r>
        <w:rPr>
          <w:rFonts w:ascii="宋体" w:hAnsi="宋体" w:hint="eastAsia"/>
          <w:sz w:val="24"/>
          <w:lang w:val="zh-CN"/>
        </w:rPr>
        <w:t>基金管理有限公司（以下简称“本公司”）决定自</w:t>
      </w:r>
      <w:r>
        <w:rPr>
          <w:rFonts w:ascii="宋体" w:hAnsi="宋体" w:hint="eastAsia"/>
          <w:sz w:val="24"/>
          <w:lang w:val="zh-CN"/>
        </w:rPr>
        <w:t>202</w:t>
      </w:r>
      <w:r>
        <w:rPr>
          <w:rFonts w:ascii="宋体" w:hAnsi="宋体" w:hint="eastAsia"/>
          <w:sz w:val="24"/>
        </w:rPr>
        <w:t>6</w:t>
      </w:r>
      <w:r>
        <w:rPr>
          <w:rFonts w:ascii="宋体" w:hAnsi="宋体" w:hint="eastAsia"/>
          <w:sz w:val="24"/>
          <w:lang w:val="zh-CN"/>
        </w:rPr>
        <w:t>年</w:t>
      </w:r>
      <w:r>
        <w:rPr>
          <w:rFonts w:ascii="宋体" w:hAnsi="宋体" w:hint="eastAsia"/>
          <w:sz w:val="24"/>
        </w:rPr>
        <w:t>3</w:t>
      </w:r>
      <w:r>
        <w:rPr>
          <w:rFonts w:ascii="宋体" w:hAnsi="宋体" w:hint="eastAsia"/>
          <w:sz w:val="24"/>
          <w:lang w:val="zh-CN"/>
        </w:rPr>
        <w:t>月</w:t>
      </w:r>
      <w:r>
        <w:rPr>
          <w:rFonts w:ascii="宋体" w:hAnsi="宋体" w:hint="eastAsia"/>
          <w:sz w:val="24"/>
        </w:rPr>
        <w:t>2</w:t>
      </w:r>
      <w:r>
        <w:rPr>
          <w:rFonts w:ascii="宋体" w:hAnsi="宋体" w:hint="eastAsia"/>
          <w:sz w:val="24"/>
        </w:rPr>
        <w:t>7</w:t>
      </w:r>
      <w:r>
        <w:rPr>
          <w:rFonts w:ascii="宋体" w:hAnsi="宋体" w:hint="eastAsia"/>
          <w:sz w:val="24"/>
          <w:lang w:val="zh-CN"/>
        </w:rPr>
        <w:t>日</w:t>
      </w:r>
      <w:r>
        <w:rPr>
          <w:rFonts w:ascii="宋体" w:hAnsi="宋体" w:hint="eastAsia"/>
          <w:sz w:val="24"/>
          <w:lang w:val="zh-CN"/>
        </w:rPr>
        <w:t>（</w:t>
      </w:r>
      <w:r>
        <w:rPr>
          <w:rFonts w:ascii="宋体" w:hAnsi="宋体" w:hint="eastAsia"/>
          <w:sz w:val="24"/>
        </w:rPr>
        <w:t>含</w:t>
      </w:r>
      <w:r>
        <w:rPr>
          <w:rFonts w:ascii="宋体" w:hAnsi="宋体" w:hint="eastAsia"/>
          <w:sz w:val="24"/>
          <w:lang w:val="zh-CN"/>
        </w:rPr>
        <w:t>）</w:t>
      </w:r>
      <w:r>
        <w:rPr>
          <w:rFonts w:ascii="宋体" w:hAnsi="宋体" w:hint="eastAsia"/>
          <w:sz w:val="24"/>
          <w:lang w:val="zh-CN"/>
        </w:rPr>
        <w:t>起，对本公司旗下</w:t>
      </w:r>
      <w:r>
        <w:rPr>
          <w:rFonts w:ascii="宋体" w:hAnsi="宋体" w:hint="eastAsia"/>
          <w:sz w:val="24"/>
        </w:rPr>
        <w:t>创金合信积极成长股票型发起式证券投资基金</w:t>
      </w:r>
      <w:r>
        <w:rPr>
          <w:rFonts w:ascii="宋体" w:hAnsi="宋体" w:hint="eastAsia"/>
          <w:sz w:val="24"/>
          <w:lang w:val="zh-CN"/>
        </w:rPr>
        <w:t>开通同一基金不同类别基金份额之间的转换业务（以下简称“本业务”）。现将相关事项公告如下：</w:t>
      </w:r>
    </w:p>
    <w:p w:rsidR="00000000" w:rsidRDefault="00DB0266">
      <w:pPr>
        <w:spacing w:line="360" w:lineRule="auto"/>
        <w:rPr>
          <w:rFonts w:ascii="宋体" w:hAnsi="宋体"/>
          <w:sz w:val="24"/>
          <w:lang w:val="zh-CN"/>
        </w:rPr>
      </w:pPr>
    </w:p>
    <w:p w:rsidR="00000000" w:rsidRDefault="00DB0266">
      <w:pPr>
        <w:spacing w:line="360" w:lineRule="auto"/>
        <w:rPr>
          <w:rFonts w:ascii="宋体" w:hAnsi="宋体"/>
          <w:sz w:val="24"/>
          <w:lang w:val="zh-CN"/>
        </w:rPr>
      </w:pPr>
      <w:r>
        <w:rPr>
          <w:rFonts w:ascii="宋体" w:hAnsi="宋体" w:hint="eastAsia"/>
          <w:sz w:val="24"/>
          <w:lang w:val="zh-CN"/>
        </w:rPr>
        <w:t>一、适用基金范围</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60"/>
        <w:gridCol w:w="5862"/>
      </w:tblGrid>
      <w:tr w:rsidR="00000000">
        <w:tc>
          <w:tcPr>
            <w:tcW w:w="2660" w:type="dxa"/>
          </w:tcPr>
          <w:p w:rsidR="00000000" w:rsidRDefault="00DB0266">
            <w:pPr>
              <w:spacing w:line="360" w:lineRule="auto"/>
              <w:rPr>
                <w:rFonts w:ascii="宋体" w:hAnsi="宋体" w:hint="eastAsia"/>
                <w:sz w:val="24"/>
                <w:lang w:val="zh-CN"/>
              </w:rPr>
            </w:pPr>
            <w:r>
              <w:rPr>
                <w:rFonts w:ascii="宋体" w:hAnsi="宋体" w:hint="eastAsia"/>
                <w:sz w:val="24"/>
                <w:lang w:val="zh-CN"/>
              </w:rPr>
              <w:t>基金代码</w:t>
            </w:r>
          </w:p>
        </w:tc>
        <w:tc>
          <w:tcPr>
            <w:tcW w:w="5862" w:type="dxa"/>
          </w:tcPr>
          <w:p w:rsidR="00000000" w:rsidRDefault="00DB0266">
            <w:pPr>
              <w:spacing w:line="360" w:lineRule="auto"/>
              <w:rPr>
                <w:rFonts w:ascii="宋体" w:hAnsi="宋体" w:hint="eastAsia"/>
                <w:sz w:val="24"/>
                <w:lang w:val="zh-CN"/>
              </w:rPr>
            </w:pPr>
            <w:r>
              <w:rPr>
                <w:rFonts w:ascii="宋体" w:hAnsi="宋体" w:hint="eastAsia"/>
                <w:sz w:val="24"/>
                <w:lang w:val="zh-CN"/>
              </w:rPr>
              <w:t>基金名称</w:t>
            </w:r>
          </w:p>
        </w:tc>
      </w:tr>
      <w:tr w:rsidR="00000000">
        <w:tc>
          <w:tcPr>
            <w:tcW w:w="2660" w:type="dxa"/>
          </w:tcPr>
          <w:p w:rsidR="00000000" w:rsidRDefault="00DB0266">
            <w:pPr>
              <w:spacing w:line="360" w:lineRule="auto"/>
              <w:rPr>
                <w:rFonts w:ascii="宋体" w:hAnsi="宋体"/>
                <w:sz w:val="24"/>
                <w:lang w:val="zh-CN"/>
              </w:rPr>
            </w:pPr>
            <w:r>
              <w:rPr>
                <w:rFonts w:ascii="宋体" w:hAnsi="宋体" w:hint="eastAsia"/>
                <w:sz w:val="24"/>
                <w:lang w:val="zh-CN"/>
              </w:rPr>
              <w:t>A</w:t>
            </w:r>
            <w:r>
              <w:rPr>
                <w:rFonts w:ascii="宋体" w:hAnsi="宋体" w:hint="eastAsia"/>
                <w:sz w:val="24"/>
                <w:lang w:val="zh-CN"/>
              </w:rPr>
              <w:t>类：</w:t>
            </w:r>
            <w:r>
              <w:rPr>
                <w:rFonts w:ascii="宋体" w:hAnsi="宋体"/>
                <w:sz w:val="24"/>
                <w:lang w:val="zh-CN"/>
              </w:rPr>
              <w:t>01</w:t>
            </w:r>
            <w:r>
              <w:rPr>
                <w:rFonts w:ascii="宋体" w:hAnsi="宋体" w:hint="eastAsia"/>
                <w:sz w:val="24"/>
              </w:rPr>
              <w:t>1377</w:t>
            </w:r>
          </w:p>
          <w:p w:rsidR="00000000" w:rsidRDefault="00DB0266">
            <w:pPr>
              <w:spacing w:line="360" w:lineRule="auto"/>
              <w:rPr>
                <w:rFonts w:ascii="宋体" w:hAnsi="宋体" w:hint="eastAsia"/>
                <w:sz w:val="24"/>
                <w:lang w:val="zh-CN"/>
              </w:rPr>
            </w:pPr>
            <w:r>
              <w:rPr>
                <w:rFonts w:ascii="宋体" w:hAnsi="宋体"/>
                <w:sz w:val="24"/>
                <w:lang w:val="zh-CN"/>
              </w:rPr>
              <w:t>C</w:t>
            </w:r>
            <w:r>
              <w:rPr>
                <w:rFonts w:ascii="宋体" w:hAnsi="宋体"/>
                <w:sz w:val="24"/>
                <w:lang w:val="zh-CN"/>
              </w:rPr>
              <w:t>类</w:t>
            </w:r>
            <w:r>
              <w:rPr>
                <w:rFonts w:ascii="宋体" w:hAnsi="宋体" w:hint="eastAsia"/>
                <w:sz w:val="24"/>
                <w:lang w:val="zh-CN"/>
              </w:rPr>
              <w:t>：</w:t>
            </w:r>
            <w:r>
              <w:rPr>
                <w:rFonts w:ascii="宋体" w:hAnsi="宋体"/>
                <w:sz w:val="24"/>
                <w:lang w:val="zh-CN"/>
              </w:rPr>
              <w:t>0</w:t>
            </w:r>
            <w:r>
              <w:rPr>
                <w:rFonts w:ascii="宋体" w:hAnsi="宋体" w:hint="eastAsia"/>
                <w:sz w:val="24"/>
              </w:rPr>
              <w:t>11378</w:t>
            </w:r>
          </w:p>
        </w:tc>
        <w:tc>
          <w:tcPr>
            <w:tcW w:w="5862" w:type="dxa"/>
            <w:vAlign w:val="center"/>
          </w:tcPr>
          <w:p w:rsidR="00000000" w:rsidRDefault="00DB0266">
            <w:pPr>
              <w:widowControl/>
              <w:spacing w:line="330" w:lineRule="atLeast"/>
              <w:rPr>
                <w:rFonts w:ascii="宋体" w:hAnsi="宋体" w:hint="eastAsia"/>
                <w:sz w:val="24"/>
                <w:lang w:val="zh-CN"/>
              </w:rPr>
            </w:pPr>
            <w:r>
              <w:rPr>
                <w:rFonts w:ascii="宋体" w:hAnsi="宋体" w:hint="eastAsia"/>
                <w:sz w:val="24"/>
                <w:lang w:val="zh-CN"/>
              </w:rPr>
              <w:t>创金合信积极成长股票型发起式证券投资基金</w:t>
            </w:r>
          </w:p>
        </w:tc>
      </w:tr>
    </w:tbl>
    <w:p w:rsidR="00000000" w:rsidRDefault="00DB0266">
      <w:pPr>
        <w:spacing w:line="360" w:lineRule="auto"/>
        <w:rPr>
          <w:rFonts w:ascii="宋体" w:hAnsi="宋体" w:hint="eastAsia"/>
          <w:sz w:val="24"/>
          <w:lang w:val="zh-CN"/>
        </w:rPr>
      </w:pPr>
    </w:p>
    <w:p w:rsidR="00000000" w:rsidRDefault="00DB0266">
      <w:pPr>
        <w:spacing w:line="360" w:lineRule="auto"/>
        <w:rPr>
          <w:rFonts w:ascii="宋体" w:hAnsi="宋体" w:hint="eastAsia"/>
          <w:sz w:val="24"/>
          <w:lang w:val="zh-CN"/>
        </w:rPr>
      </w:pPr>
      <w:r>
        <w:rPr>
          <w:rFonts w:ascii="宋体" w:hAnsi="宋体" w:hint="eastAsia"/>
          <w:sz w:val="24"/>
          <w:lang w:val="zh-CN"/>
        </w:rPr>
        <w:t>二、业务规则</w:t>
      </w:r>
    </w:p>
    <w:p w:rsidR="00000000" w:rsidRDefault="00DB0266">
      <w:pPr>
        <w:spacing w:line="360" w:lineRule="auto"/>
        <w:ind w:firstLineChars="200" w:firstLine="480"/>
        <w:rPr>
          <w:rFonts w:ascii="宋体" w:hAnsi="宋体" w:hint="eastAsia"/>
          <w:sz w:val="24"/>
          <w:lang w:val="zh-CN"/>
        </w:rPr>
      </w:pPr>
      <w:r>
        <w:rPr>
          <w:rFonts w:ascii="宋体" w:hAnsi="宋体" w:hint="eastAsia"/>
          <w:sz w:val="24"/>
          <w:lang w:val="zh-CN"/>
        </w:rPr>
        <w:t>（</w:t>
      </w:r>
      <w:r>
        <w:rPr>
          <w:rFonts w:ascii="宋体" w:hAnsi="宋体" w:hint="eastAsia"/>
          <w:sz w:val="24"/>
          <w:lang w:val="zh-CN"/>
        </w:rPr>
        <w:t>1</w:t>
      </w:r>
      <w:r>
        <w:rPr>
          <w:rFonts w:ascii="宋体" w:hAnsi="宋体" w:hint="eastAsia"/>
          <w:sz w:val="24"/>
          <w:lang w:val="zh-CN"/>
        </w:rPr>
        <w:t>）投资者办理上述基金不同类别基金份额间相互转换业务时，基金转换费用计算方式、业务规则按照本公司于</w:t>
      </w:r>
      <w:r>
        <w:rPr>
          <w:rFonts w:ascii="宋体" w:hAnsi="宋体"/>
          <w:sz w:val="24"/>
          <w:lang w:val="zh-CN"/>
        </w:rPr>
        <w:t>2022</w:t>
      </w:r>
      <w:r>
        <w:rPr>
          <w:rFonts w:ascii="宋体" w:hAnsi="宋体" w:hint="eastAsia"/>
          <w:sz w:val="24"/>
          <w:lang w:val="zh-CN"/>
        </w:rPr>
        <w:t>年</w:t>
      </w:r>
      <w:r>
        <w:rPr>
          <w:rFonts w:ascii="宋体" w:hAnsi="宋体"/>
          <w:sz w:val="24"/>
          <w:lang w:val="zh-CN"/>
        </w:rPr>
        <w:t>6</w:t>
      </w:r>
      <w:r>
        <w:rPr>
          <w:rFonts w:ascii="宋体" w:hAnsi="宋体" w:hint="eastAsia"/>
          <w:sz w:val="24"/>
          <w:lang w:val="zh-CN"/>
        </w:rPr>
        <w:t>月</w:t>
      </w:r>
      <w:r>
        <w:rPr>
          <w:rFonts w:ascii="宋体" w:hAnsi="宋体"/>
          <w:sz w:val="24"/>
          <w:lang w:val="zh-CN"/>
        </w:rPr>
        <w:t>10</w:t>
      </w:r>
      <w:r>
        <w:rPr>
          <w:rFonts w:ascii="宋体" w:hAnsi="宋体" w:hint="eastAsia"/>
          <w:sz w:val="24"/>
          <w:lang w:val="zh-CN"/>
        </w:rPr>
        <w:t>日发布的《</w:t>
      </w:r>
      <w:r>
        <w:rPr>
          <w:rFonts w:ascii="宋体" w:hAnsi="宋体"/>
          <w:sz w:val="24"/>
          <w:lang w:val="zh-CN"/>
        </w:rPr>
        <w:t>创金合信基金管理有限公司</w:t>
      </w:r>
      <w:r>
        <w:rPr>
          <w:rFonts w:ascii="宋体" w:hAnsi="宋体" w:hint="eastAsia"/>
          <w:sz w:val="24"/>
          <w:lang w:val="zh-CN"/>
        </w:rPr>
        <w:t>关于旗下开放式基金转换业务规则说明的公告》执行。</w:t>
      </w:r>
    </w:p>
    <w:p w:rsidR="00000000" w:rsidRDefault="00DB0266">
      <w:pPr>
        <w:spacing w:line="360" w:lineRule="auto"/>
        <w:ind w:firstLineChars="200" w:firstLine="480"/>
        <w:rPr>
          <w:rFonts w:ascii="宋体" w:hAnsi="宋体" w:hint="eastAsia"/>
          <w:sz w:val="24"/>
          <w:lang w:val="zh-CN"/>
        </w:rPr>
      </w:pPr>
      <w:r>
        <w:rPr>
          <w:rFonts w:ascii="宋体" w:hAnsi="宋体" w:hint="eastAsia"/>
          <w:sz w:val="24"/>
          <w:lang w:val="zh-CN"/>
        </w:rPr>
        <w:t>（</w:t>
      </w:r>
      <w:r>
        <w:rPr>
          <w:rFonts w:ascii="宋体" w:hAnsi="宋体" w:hint="eastAsia"/>
          <w:sz w:val="24"/>
          <w:lang w:val="zh-CN"/>
        </w:rPr>
        <w:t>2</w:t>
      </w:r>
      <w:r>
        <w:rPr>
          <w:rFonts w:ascii="宋体" w:hAnsi="宋体" w:hint="eastAsia"/>
          <w:sz w:val="24"/>
          <w:lang w:val="zh-CN"/>
        </w:rPr>
        <w:t>）由于各代理销售机构的系统差异以及业务安排等原因，开展同一基金不同份额类别之间转换业务的时间及其它未尽事宜详见各销售机构的相关业务规则和公告。</w:t>
      </w:r>
    </w:p>
    <w:p w:rsidR="00000000" w:rsidRDefault="00DB0266">
      <w:pPr>
        <w:spacing w:line="360" w:lineRule="auto"/>
        <w:ind w:firstLineChars="200" w:firstLine="480"/>
        <w:rPr>
          <w:rFonts w:ascii="宋体" w:hAnsi="宋体" w:hint="eastAsia"/>
          <w:sz w:val="24"/>
          <w:lang w:val="zh-CN"/>
        </w:rPr>
      </w:pPr>
      <w:r>
        <w:rPr>
          <w:rFonts w:ascii="宋体" w:hAnsi="宋体" w:hint="eastAsia"/>
          <w:sz w:val="24"/>
          <w:lang w:val="zh-CN"/>
        </w:rPr>
        <w:t>（</w:t>
      </w:r>
      <w:r>
        <w:rPr>
          <w:rFonts w:ascii="宋体" w:hAnsi="宋体" w:hint="eastAsia"/>
          <w:sz w:val="24"/>
          <w:lang w:val="zh-CN"/>
        </w:rPr>
        <w:t>3</w:t>
      </w:r>
      <w:r>
        <w:rPr>
          <w:rFonts w:ascii="宋体" w:hAnsi="宋体" w:hint="eastAsia"/>
          <w:sz w:val="24"/>
          <w:lang w:val="zh-CN"/>
        </w:rPr>
        <w:t>）同一基金不同份额类别之间的转换业务，与本公司已经开通的不同基金之间可以相互转换的业务不产生冲突。</w:t>
      </w:r>
    </w:p>
    <w:p w:rsidR="00000000" w:rsidRDefault="00DB0266">
      <w:pPr>
        <w:spacing w:line="360" w:lineRule="auto"/>
        <w:rPr>
          <w:rFonts w:ascii="宋体" w:hAnsi="宋体"/>
          <w:sz w:val="24"/>
          <w:lang w:val="zh-CN"/>
        </w:rPr>
      </w:pPr>
    </w:p>
    <w:p w:rsidR="00000000" w:rsidRDefault="00DB0266">
      <w:pPr>
        <w:spacing w:line="360" w:lineRule="auto"/>
        <w:rPr>
          <w:rFonts w:ascii="宋体" w:hAnsi="宋体" w:hint="eastAsia"/>
          <w:sz w:val="24"/>
          <w:lang w:val="zh-CN"/>
        </w:rPr>
      </w:pPr>
      <w:r>
        <w:rPr>
          <w:rFonts w:ascii="宋体" w:hAnsi="宋体" w:hint="eastAsia"/>
          <w:sz w:val="24"/>
          <w:lang w:val="zh-CN"/>
        </w:rPr>
        <w:t>三、业务办理时间</w:t>
      </w:r>
    </w:p>
    <w:p w:rsidR="00000000" w:rsidRDefault="00DB0266">
      <w:pPr>
        <w:spacing w:line="360" w:lineRule="auto"/>
        <w:ind w:firstLine="420"/>
        <w:rPr>
          <w:rFonts w:ascii="宋体" w:hAnsi="宋体" w:hint="eastAsia"/>
          <w:sz w:val="24"/>
          <w:lang w:val="zh-CN"/>
        </w:rPr>
      </w:pPr>
      <w:r>
        <w:rPr>
          <w:rFonts w:ascii="宋体" w:hAnsi="宋体" w:hint="eastAsia"/>
          <w:sz w:val="24"/>
          <w:lang w:val="zh-CN"/>
        </w:rPr>
        <w:t>本业务的办理时间为上海证券交易所和深圳</w:t>
      </w:r>
      <w:r>
        <w:rPr>
          <w:rFonts w:ascii="宋体" w:hAnsi="宋体" w:hint="eastAsia"/>
          <w:sz w:val="24"/>
          <w:lang w:val="zh-CN"/>
        </w:rPr>
        <w:t>证券交易所交易日（本公司公告暂停申购或转换时除外）。投资者可以在上述基金的开放期内，到上述基金的销售机构咨询和办理本业务。</w:t>
      </w:r>
    </w:p>
    <w:p w:rsidR="00000000" w:rsidRDefault="00DB0266">
      <w:pPr>
        <w:spacing w:line="360" w:lineRule="auto"/>
        <w:ind w:firstLine="420"/>
        <w:rPr>
          <w:rFonts w:ascii="宋体" w:hAnsi="宋体"/>
          <w:sz w:val="24"/>
          <w:lang w:val="zh-CN"/>
        </w:rPr>
      </w:pPr>
    </w:p>
    <w:p w:rsidR="00000000" w:rsidRDefault="00DB0266">
      <w:pPr>
        <w:spacing w:line="360" w:lineRule="auto"/>
        <w:ind w:firstLineChars="200" w:firstLine="480"/>
        <w:rPr>
          <w:rFonts w:ascii="宋体" w:hAnsi="宋体"/>
          <w:sz w:val="24"/>
          <w:lang w:val="zh-CN"/>
        </w:rPr>
      </w:pPr>
      <w:r>
        <w:rPr>
          <w:rFonts w:ascii="宋体" w:hAnsi="宋体" w:hint="eastAsia"/>
          <w:sz w:val="24"/>
          <w:lang w:val="zh-CN"/>
        </w:rPr>
        <w:t>投资者可以登陆</w:t>
      </w:r>
      <w:r>
        <w:rPr>
          <w:rFonts w:ascii="宋体" w:hAnsi="宋体" w:hint="eastAsia"/>
          <w:sz w:val="24"/>
        </w:rPr>
        <w:t>本</w:t>
      </w:r>
      <w:r>
        <w:rPr>
          <w:rFonts w:ascii="宋体" w:hAnsi="宋体" w:hint="eastAsia"/>
          <w:sz w:val="24"/>
          <w:lang w:val="zh-CN"/>
        </w:rPr>
        <w:t>公司网站</w:t>
      </w:r>
      <w:r>
        <w:rPr>
          <w:rFonts w:ascii="宋体" w:hAnsi="宋体"/>
          <w:sz w:val="24"/>
          <w:lang w:val="zh-CN"/>
        </w:rPr>
        <w:t>www.cjhxfund.com</w:t>
      </w:r>
      <w:r>
        <w:rPr>
          <w:rFonts w:ascii="宋体" w:hAnsi="宋体" w:hint="eastAsia"/>
          <w:sz w:val="24"/>
          <w:lang w:val="zh-CN"/>
        </w:rPr>
        <w:t>或拨打</w:t>
      </w:r>
      <w:r>
        <w:rPr>
          <w:rFonts w:ascii="宋体" w:hAnsi="宋体" w:hint="eastAsia"/>
          <w:sz w:val="24"/>
        </w:rPr>
        <w:t>本</w:t>
      </w:r>
      <w:r>
        <w:rPr>
          <w:rFonts w:ascii="宋体" w:hAnsi="宋体" w:hint="eastAsia"/>
          <w:sz w:val="24"/>
          <w:lang w:val="zh-CN"/>
        </w:rPr>
        <w:t>公司客户服务热线</w:t>
      </w:r>
      <w:r>
        <w:rPr>
          <w:rFonts w:ascii="宋体" w:hAnsi="宋体"/>
          <w:sz w:val="24"/>
          <w:lang w:val="zh-CN"/>
        </w:rPr>
        <w:t>400-868-0666</w:t>
      </w:r>
      <w:r>
        <w:rPr>
          <w:rFonts w:ascii="宋体" w:hAnsi="宋体" w:hint="eastAsia"/>
          <w:sz w:val="24"/>
          <w:lang w:val="zh-CN"/>
        </w:rPr>
        <w:t>进行相关咨询。</w:t>
      </w:r>
    </w:p>
    <w:p w:rsidR="00000000" w:rsidRDefault="00DB0266">
      <w:pPr>
        <w:spacing w:line="360" w:lineRule="auto"/>
        <w:ind w:firstLineChars="200" w:firstLine="480"/>
        <w:rPr>
          <w:rFonts w:ascii="宋体" w:hAnsi="宋体" w:hint="eastAsia"/>
          <w:sz w:val="24"/>
          <w:lang w:val="zh-CN"/>
        </w:rPr>
      </w:pPr>
    </w:p>
    <w:p w:rsidR="00000000" w:rsidRDefault="00DB0266">
      <w:pPr>
        <w:spacing w:line="360" w:lineRule="auto"/>
        <w:ind w:firstLineChars="200" w:firstLine="480"/>
        <w:rPr>
          <w:rFonts w:ascii="宋体" w:hAnsi="宋体" w:hint="eastAsia"/>
          <w:sz w:val="24"/>
          <w:lang w:val="zh-CN"/>
        </w:rPr>
      </w:pPr>
      <w:r>
        <w:rPr>
          <w:rFonts w:ascii="宋体" w:hAnsi="宋体" w:hint="eastAsia"/>
          <w:sz w:val="24"/>
          <w:lang w:val="zh-CN"/>
        </w:rPr>
        <w:t>风险提示：基金管理人承诺以诚实信用、勤勉尽责的原则管理和运用基金财产，但不保证基金一定盈利，也不保证最低收益。本公司提醒投资者在投资前应认真阅读上述基金的基金合同、招募说明书等文件。敬请投资者注意投资风险。</w:t>
      </w:r>
    </w:p>
    <w:p w:rsidR="00000000" w:rsidRDefault="00DB0266">
      <w:pPr>
        <w:spacing w:line="360" w:lineRule="auto"/>
        <w:rPr>
          <w:rFonts w:ascii="宋体" w:hAnsi="宋体"/>
          <w:sz w:val="24"/>
          <w:lang w:val="zh-CN"/>
        </w:rPr>
      </w:pPr>
    </w:p>
    <w:p w:rsidR="00000000" w:rsidRDefault="00DB0266">
      <w:pPr>
        <w:spacing w:line="360" w:lineRule="auto"/>
        <w:ind w:firstLine="420"/>
        <w:rPr>
          <w:rFonts w:ascii="宋体" w:hAnsi="宋体" w:hint="eastAsia"/>
          <w:sz w:val="24"/>
          <w:lang w:val="zh-CN"/>
        </w:rPr>
      </w:pPr>
      <w:r>
        <w:rPr>
          <w:rFonts w:ascii="宋体" w:hAnsi="宋体" w:hint="eastAsia"/>
          <w:sz w:val="24"/>
          <w:lang w:val="zh-CN"/>
        </w:rPr>
        <w:t>特此公告。</w:t>
      </w:r>
    </w:p>
    <w:p w:rsidR="00000000" w:rsidRDefault="00DB0266">
      <w:pPr>
        <w:spacing w:line="360" w:lineRule="auto"/>
        <w:rPr>
          <w:rFonts w:ascii="宋体" w:hAnsi="宋体"/>
          <w:sz w:val="24"/>
          <w:lang w:val="zh-CN"/>
        </w:rPr>
      </w:pPr>
    </w:p>
    <w:p w:rsidR="00000000" w:rsidRDefault="00DB0266">
      <w:pPr>
        <w:spacing w:line="360" w:lineRule="auto"/>
        <w:jc w:val="right"/>
        <w:rPr>
          <w:rFonts w:ascii="宋体" w:hAnsi="宋体"/>
          <w:sz w:val="24"/>
          <w:lang w:val="zh-CN"/>
        </w:rPr>
      </w:pPr>
      <w:r>
        <w:rPr>
          <w:rFonts w:ascii="宋体" w:hAnsi="宋体" w:hint="eastAsia"/>
          <w:sz w:val="24"/>
          <w:lang w:val="zh-CN"/>
        </w:rPr>
        <w:t>创金合信基金管理有限公司</w:t>
      </w:r>
    </w:p>
    <w:p w:rsidR="00000000" w:rsidRDefault="00DB0266">
      <w:pPr>
        <w:spacing w:line="360" w:lineRule="auto"/>
        <w:jc w:val="right"/>
        <w:rPr>
          <w:rFonts w:ascii="宋体" w:hAnsi="宋体"/>
          <w:sz w:val="24"/>
        </w:rPr>
      </w:pPr>
      <w:r>
        <w:rPr>
          <w:rFonts w:ascii="宋体" w:hAnsi="宋体" w:hint="eastAsia"/>
          <w:sz w:val="24"/>
          <w:lang w:val="zh-CN"/>
        </w:rPr>
        <w:t>202</w:t>
      </w:r>
      <w:r>
        <w:rPr>
          <w:rFonts w:ascii="宋体" w:hAnsi="宋体" w:hint="eastAsia"/>
          <w:sz w:val="24"/>
        </w:rPr>
        <w:t>6</w:t>
      </w:r>
      <w:r>
        <w:rPr>
          <w:rFonts w:ascii="宋体" w:hAnsi="宋体" w:hint="eastAsia"/>
          <w:sz w:val="24"/>
          <w:lang w:val="zh-CN"/>
        </w:rPr>
        <w:t>年</w:t>
      </w:r>
      <w:r>
        <w:rPr>
          <w:rFonts w:ascii="宋体" w:hAnsi="宋体" w:hint="eastAsia"/>
          <w:sz w:val="24"/>
        </w:rPr>
        <w:t>3</w:t>
      </w:r>
      <w:r>
        <w:rPr>
          <w:rFonts w:ascii="宋体" w:hAnsi="宋体" w:hint="eastAsia"/>
          <w:sz w:val="24"/>
          <w:lang w:val="zh-CN"/>
        </w:rPr>
        <w:t>月</w:t>
      </w:r>
      <w:r>
        <w:rPr>
          <w:rFonts w:ascii="宋体" w:hAnsi="宋体" w:hint="eastAsia"/>
          <w:sz w:val="24"/>
        </w:rPr>
        <w:t>26</w:t>
      </w:r>
      <w:r>
        <w:rPr>
          <w:rFonts w:ascii="宋体" w:hAnsi="宋体" w:hint="eastAsia"/>
          <w:sz w:val="24"/>
          <w:lang w:val="zh-CN"/>
        </w:rPr>
        <w:t>日</w:t>
      </w:r>
    </w:p>
    <w:sectPr w:rsidR="00000000">
      <w:footerReference w:type="default" r:id="rId6"/>
      <w:pgSz w:w="11906" w:h="16838"/>
      <w:pgMar w:top="1440" w:right="1800" w:bottom="1440" w:left="1800" w:header="851" w:footer="992" w:gutter="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DB0266">
      <w:r>
        <w:separator/>
      </w:r>
    </w:p>
  </w:endnote>
  <w:endnote w:type="continuationSeparator" w:id="0">
    <w:p w:rsidR="00000000" w:rsidRDefault="00DB02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DB0266">
    <w:pPr>
      <w:pStyle w:val="a5"/>
      <w:jc w:val="right"/>
    </w:pPr>
    <w:r>
      <w:fldChar w:fldCharType="begin"/>
    </w:r>
    <w:r>
      <w:instrText xml:space="preserve"> PAGE   \* MERGEFORMAT </w:instrText>
    </w:r>
    <w:r>
      <w:fldChar w:fldCharType="separate"/>
    </w:r>
    <w:r>
      <w:rPr>
        <w:lang w:val="en-US" w:eastAsia="zh-CN"/>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DB0266">
      <w:r>
        <w:separator/>
      </w:r>
    </w:p>
  </w:footnote>
  <w:footnote w:type="continuationSeparator" w:id="0">
    <w:p w:rsidR="00000000" w:rsidRDefault="00DB02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trackRevisions/>
  <w:doNotTrackMoves/>
  <w:defaultTabStop w:val="420"/>
  <w:drawingGridHorizontalSpacing w:val="105"/>
  <w:drawingGridVerticalSpacing w:val="156"/>
  <w:noPunctuationKerning/>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ZTkyYmIzN2JjZTNiMWU1ZTBkOGFlZTIyMzMwZDNhMmYifQ=="/>
  </w:docVars>
  <w:rsids>
    <w:rsidRoot w:val="00E46AD4"/>
    <w:rsid w:val="00013A1B"/>
    <w:rsid w:val="00044877"/>
    <w:rsid w:val="000553E9"/>
    <w:rsid w:val="000A1608"/>
    <w:rsid w:val="000B5121"/>
    <w:rsid w:val="000E7AB3"/>
    <w:rsid w:val="000F04F6"/>
    <w:rsid w:val="000F542A"/>
    <w:rsid w:val="00103B4C"/>
    <w:rsid w:val="00106395"/>
    <w:rsid w:val="00116622"/>
    <w:rsid w:val="001341F9"/>
    <w:rsid w:val="00187B2C"/>
    <w:rsid w:val="00191771"/>
    <w:rsid w:val="00195244"/>
    <w:rsid w:val="00197FA6"/>
    <w:rsid w:val="001D7108"/>
    <w:rsid w:val="001E6B95"/>
    <w:rsid w:val="001F76BE"/>
    <w:rsid w:val="002035BD"/>
    <w:rsid w:val="00217857"/>
    <w:rsid w:val="0024237E"/>
    <w:rsid w:val="00250E03"/>
    <w:rsid w:val="00256179"/>
    <w:rsid w:val="00262697"/>
    <w:rsid w:val="00265062"/>
    <w:rsid w:val="00266978"/>
    <w:rsid w:val="00281179"/>
    <w:rsid w:val="00282C55"/>
    <w:rsid w:val="0028574F"/>
    <w:rsid w:val="002A1C09"/>
    <w:rsid w:val="002B5899"/>
    <w:rsid w:val="002C48DD"/>
    <w:rsid w:val="002D113A"/>
    <w:rsid w:val="00312F26"/>
    <w:rsid w:val="003134CB"/>
    <w:rsid w:val="00314775"/>
    <w:rsid w:val="00337C04"/>
    <w:rsid w:val="00347165"/>
    <w:rsid w:val="003471B4"/>
    <w:rsid w:val="00350CC9"/>
    <w:rsid w:val="003511DF"/>
    <w:rsid w:val="00351BD2"/>
    <w:rsid w:val="0038549B"/>
    <w:rsid w:val="003C53C9"/>
    <w:rsid w:val="003D73A3"/>
    <w:rsid w:val="003E011A"/>
    <w:rsid w:val="00424070"/>
    <w:rsid w:val="004333C6"/>
    <w:rsid w:val="00456083"/>
    <w:rsid w:val="00472131"/>
    <w:rsid w:val="00474517"/>
    <w:rsid w:val="00476500"/>
    <w:rsid w:val="00485CC5"/>
    <w:rsid w:val="004A2038"/>
    <w:rsid w:val="004D4671"/>
    <w:rsid w:val="004D4CE7"/>
    <w:rsid w:val="004E63CE"/>
    <w:rsid w:val="005239C3"/>
    <w:rsid w:val="00551B97"/>
    <w:rsid w:val="00561760"/>
    <w:rsid w:val="005719C7"/>
    <w:rsid w:val="00581F1A"/>
    <w:rsid w:val="00585F02"/>
    <w:rsid w:val="00585FAA"/>
    <w:rsid w:val="005A03BE"/>
    <w:rsid w:val="005B361E"/>
    <w:rsid w:val="005C097D"/>
    <w:rsid w:val="005C29BB"/>
    <w:rsid w:val="005C6B02"/>
    <w:rsid w:val="005F44B3"/>
    <w:rsid w:val="00605B63"/>
    <w:rsid w:val="006206FB"/>
    <w:rsid w:val="00624EDB"/>
    <w:rsid w:val="006446EC"/>
    <w:rsid w:val="00645D66"/>
    <w:rsid w:val="00666D57"/>
    <w:rsid w:val="0067691E"/>
    <w:rsid w:val="006A4432"/>
    <w:rsid w:val="006D1ADE"/>
    <w:rsid w:val="006E1E5E"/>
    <w:rsid w:val="00703B1E"/>
    <w:rsid w:val="00730863"/>
    <w:rsid w:val="00752652"/>
    <w:rsid w:val="007642AB"/>
    <w:rsid w:val="00764F77"/>
    <w:rsid w:val="007D1BE2"/>
    <w:rsid w:val="007D3B13"/>
    <w:rsid w:val="007D41AA"/>
    <w:rsid w:val="007F3ABA"/>
    <w:rsid w:val="007F6065"/>
    <w:rsid w:val="00800FA0"/>
    <w:rsid w:val="00802737"/>
    <w:rsid w:val="0082170C"/>
    <w:rsid w:val="0082576F"/>
    <w:rsid w:val="00860C39"/>
    <w:rsid w:val="00877BC0"/>
    <w:rsid w:val="0088156C"/>
    <w:rsid w:val="008B0243"/>
    <w:rsid w:val="008D124D"/>
    <w:rsid w:val="008E0630"/>
    <w:rsid w:val="008E3EBF"/>
    <w:rsid w:val="009027F5"/>
    <w:rsid w:val="00902F61"/>
    <w:rsid w:val="00933F5B"/>
    <w:rsid w:val="009B2F53"/>
    <w:rsid w:val="009B7B5A"/>
    <w:rsid w:val="009C6B1B"/>
    <w:rsid w:val="009D5901"/>
    <w:rsid w:val="009F4A84"/>
    <w:rsid w:val="009F7334"/>
    <w:rsid w:val="00A07737"/>
    <w:rsid w:val="00A154EA"/>
    <w:rsid w:val="00A2286D"/>
    <w:rsid w:val="00A37FF2"/>
    <w:rsid w:val="00A8452F"/>
    <w:rsid w:val="00A92D6F"/>
    <w:rsid w:val="00AC4A3B"/>
    <w:rsid w:val="00AD2F6B"/>
    <w:rsid w:val="00AE6E04"/>
    <w:rsid w:val="00AF040C"/>
    <w:rsid w:val="00AF4598"/>
    <w:rsid w:val="00B12FA0"/>
    <w:rsid w:val="00B14CD0"/>
    <w:rsid w:val="00B24702"/>
    <w:rsid w:val="00B360CE"/>
    <w:rsid w:val="00B56162"/>
    <w:rsid w:val="00B65FE5"/>
    <w:rsid w:val="00B76E86"/>
    <w:rsid w:val="00B95FC9"/>
    <w:rsid w:val="00BB52A6"/>
    <w:rsid w:val="00BD12CC"/>
    <w:rsid w:val="00BD2401"/>
    <w:rsid w:val="00BD4DF3"/>
    <w:rsid w:val="00BF073B"/>
    <w:rsid w:val="00C03CAF"/>
    <w:rsid w:val="00C04BE0"/>
    <w:rsid w:val="00C24DD9"/>
    <w:rsid w:val="00C2504E"/>
    <w:rsid w:val="00C31B8B"/>
    <w:rsid w:val="00C335BD"/>
    <w:rsid w:val="00C34D4B"/>
    <w:rsid w:val="00C9687C"/>
    <w:rsid w:val="00C975C3"/>
    <w:rsid w:val="00D36185"/>
    <w:rsid w:val="00D46A51"/>
    <w:rsid w:val="00D64BBD"/>
    <w:rsid w:val="00D673F2"/>
    <w:rsid w:val="00D752B9"/>
    <w:rsid w:val="00D77345"/>
    <w:rsid w:val="00DB0266"/>
    <w:rsid w:val="00DB52FA"/>
    <w:rsid w:val="00DC2118"/>
    <w:rsid w:val="00DC4793"/>
    <w:rsid w:val="00DC4B9C"/>
    <w:rsid w:val="00DC7FE2"/>
    <w:rsid w:val="00E063EF"/>
    <w:rsid w:val="00E46AD4"/>
    <w:rsid w:val="00E71210"/>
    <w:rsid w:val="00E92EF8"/>
    <w:rsid w:val="00E94601"/>
    <w:rsid w:val="00EC6380"/>
    <w:rsid w:val="00EF72C2"/>
    <w:rsid w:val="00F03A80"/>
    <w:rsid w:val="00F31F45"/>
    <w:rsid w:val="00F37F3E"/>
    <w:rsid w:val="00F45ADF"/>
    <w:rsid w:val="00F521F3"/>
    <w:rsid w:val="00F6261C"/>
    <w:rsid w:val="00FA7488"/>
    <w:rsid w:val="00FB59F2"/>
    <w:rsid w:val="00FE4503"/>
    <w:rsid w:val="00FF4223"/>
    <w:rsid w:val="24FC534B"/>
    <w:rsid w:val="3A46587F"/>
    <w:rsid w:val="3CFC0385"/>
    <w:rsid w:val="3E903A70"/>
    <w:rsid w:val="3F8C00C5"/>
    <w:rsid w:val="4087279C"/>
    <w:rsid w:val="4F6061FA"/>
    <w:rsid w:val="52A315A5"/>
    <w:rsid w:val="5ED37CF8"/>
    <w:rsid w:val="60697032"/>
    <w:rsid w:val="67700AC7"/>
    <w:rsid w:val="6957290E"/>
    <w:rsid w:val="73D47A79"/>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toc 1" w:semiHidden="0" w:uiPriority="39" w:unhideWhenUsed="0"/>
    <w:lsdException w:name="toc 2" w:semiHidden="0" w:uiPriority="39" w:unhideWhenUsed="0"/>
    <w:lsdException w:name="annotation text" w:semiHidden="0"/>
    <w:lsdException w:name="header" w:semiHidden="0" w:uiPriority="99" w:unhideWhenUsed="0" w:qFormat="1"/>
    <w:lsdException w:name="footer" w:semiHidden="0" w:uiPriority="99" w:unhideWhenUsed="0" w:qFormat="1"/>
    <w:lsdException w:name="caption" w:qFormat="1"/>
    <w:lsdException w:name="annotation reference" w:semiHidden="0"/>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semiHidden="0"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lsdException w:name="Body Text Indent 3" w:semiHidden="0" w:qFormat="1"/>
    <w:lsdException w:name="Hyperlink" w:semiHidden="0" w:uiPriority="99" w:qFormat="1"/>
    <w:lsdException w:name="Strong" w:semiHidden="0" w:unhideWhenUsed="0" w:qFormat="1"/>
    <w:lsdException w:name="Emphasis" w:semiHidden="0" w:unhideWhenUsed="0" w:qFormat="1"/>
    <w:lsdException w:name="HTML Top of Form" w:uiPriority="99"/>
    <w:lsdException w:name="HTML Bottom of Form" w:uiPriority="99"/>
    <w:lsdException w:name="Normal (Web)" w:semiHidden="0" w:uiPriority="99"/>
    <w:lsdException w:name="Normal Table" w:semiHidden="0" w:uiPriority="99"/>
    <w:lsdException w:name="annotation subject" w:semiHidden="0"/>
    <w:lsdException w:name="No List" w:uiPriority="99"/>
    <w:lsdException w:name="Outline List 1" w:uiPriority="99"/>
    <w:lsdException w:name="Outline List 2" w:uiPriority="99"/>
    <w:lsdException w:name="Outline List 3" w:uiPriority="99"/>
    <w:lsdException w:name="Balloon Text" w:semiHidden="0"/>
    <w:lsdException w:name="Table Grid" w:semiHidden="0" w:unhideWhenUsed="0"/>
    <w:lsdException w:name="Placeholder Text" w:uiPriority="99"/>
    <w:lsdException w:name="No Spacing" w:semiHidden="0" w:uiPriority="99"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lsdException w:name="List Paragraph" w:semiHidden="0" w:uiPriority="99" w:unhideWhenUsed="0" w:qFormat="1"/>
    <w:lsdException w:name="Quote" w:semiHidden="0" w:uiPriority="99" w:unhideWhenUsed="0" w:qFormat="1"/>
    <w:lsdException w:name="Intense Quote" w:semiHidden="0" w:uiPriority="99"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lang w:val="zh-CN"/>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hAnsi="宋体"/>
      <w:b/>
      <w:bCs/>
      <w:kern w:val="0"/>
      <w:sz w:val="18"/>
      <w:szCs w:val="18"/>
      <w:lang w:val="zh-CN"/>
    </w:rPr>
  </w:style>
  <w:style w:type="paragraph" w:styleId="5">
    <w:name w:val="heading 5"/>
    <w:basedOn w:val="a"/>
    <w:next w:val="a"/>
    <w:link w:val="5Char"/>
    <w:qFormat/>
    <w:pPr>
      <w:keepNext/>
      <w:keepLines/>
      <w:spacing w:before="280" w:after="290" w:line="376" w:lineRule="auto"/>
      <w:outlineLvl w:val="4"/>
    </w:pPr>
    <w:rPr>
      <w:b/>
      <w:bCs/>
      <w:sz w:val="28"/>
      <w:szCs w:val="28"/>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
    <w:qFormat/>
    <w:rPr>
      <w:b/>
      <w:bCs/>
      <w:kern w:val="44"/>
      <w:sz w:val="44"/>
      <w:szCs w:val="44"/>
    </w:rPr>
  </w:style>
  <w:style w:type="character" w:customStyle="1" w:styleId="2Char">
    <w:name w:val="标题 2 Char"/>
    <w:link w:val="2"/>
    <w:uiPriority w:val="9"/>
    <w:rPr>
      <w:rFonts w:ascii="宋体" w:hAnsi="宋体" w:cs="宋体"/>
      <w:b/>
      <w:bCs/>
      <w:sz w:val="18"/>
      <w:szCs w:val="18"/>
    </w:rPr>
  </w:style>
  <w:style w:type="character" w:customStyle="1" w:styleId="5Char">
    <w:name w:val="标题 5 Char"/>
    <w:link w:val="5"/>
    <w:semiHidden/>
    <w:rPr>
      <w:b/>
      <w:bCs/>
      <w:kern w:val="2"/>
      <w:sz w:val="28"/>
      <w:szCs w:val="28"/>
    </w:rPr>
  </w:style>
  <w:style w:type="paragraph" w:styleId="a3">
    <w:name w:val="annotation text"/>
    <w:basedOn w:val="a"/>
    <w:link w:val="Char"/>
    <w:unhideWhenUsed/>
    <w:pPr>
      <w:jc w:val="left"/>
    </w:pPr>
  </w:style>
  <w:style w:type="character" w:customStyle="1" w:styleId="Char">
    <w:name w:val="批注文字 Char"/>
    <w:link w:val="a3"/>
    <w:semiHidden/>
    <w:rPr>
      <w:kern w:val="2"/>
      <w:sz w:val="21"/>
      <w:szCs w:val="24"/>
    </w:rPr>
  </w:style>
  <w:style w:type="paragraph" w:styleId="a4">
    <w:name w:val="Balloon Text"/>
    <w:basedOn w:val="a"/>
    <w:link w:val="Char0"/>
    <w:unhideWhenUsed/>
    <w:rPr>
      <w:sz w:val="18"/>
      <w:szCs w:val="18"/>
    </w:rPr>
  </w:style>
  <w:style w:type="character" w:customStyle="1" w:styleId="Char0">
    <w:name w:val="批注框文本 Char"/>
    <w:link w:val="a4"/>
    <w:semiHidden/>
    <w:rPr>
      <w:kern w:val="2"/>
      <w:sz w:val="18"/>
      <w:szCs w:val="18"/>
    </w:rPr>
  </w:style>
  <w:style w:type="paragraph" w:styleId="a5">
    <w:name w:val="footer"/>
    <w:basedOn w:val="a"/>
    <w:link w:val="Char1"/>
    <w:uiPriority w:val="99"/>
    <w:qFormat/>
    <w:pPr>
      <w:tabs>
        <w:tab w:val="center" w:pos="4153"/>
        <w:tab w:val="right" w:pos="8306"/>
      </w:tabs>
      <w:snapToGrid w:val="0"/>
      <w:jc w:val="left"/>
    </w:pPr>
    <w:rPr>
      <w:sz w:val="18"/>
      <w:szCs w:val="18"/>
      <w:lang w:val="zh-CN"/>
    </w:rPr>
  </w:style>
  <w:style w:type="character" w:customStyle="1" w:styleId="Char1">
    <w:name w:val="页脚 Char"/>
    <w:link w:val="a5"/>
    <w:uiPriority w:val="99"/>
    <w:qFormat/>
    <w:rPr>
      <w:kern w:val="2"/>
      <w:sz w:val="18"/>
      <w:szCs w:val="18"/>
    </w:rPr>
  </w:style>
  <w:style w:type="paragraph" w:styleId="a6">
    <w:name w:val="header"/>
    <w:basedOn w:val="a"/>
    <w:link w:val="Char2"/>
    <w:uiPriority w:val="99"/>
    <w:qFormat/>
    <w:pPr>
      <w:pBdr>
        <w:bottom w:val="single" w:sz="6" w:space="1" w:color="auto"/>
      </w:pBdr>
      <w:tabs>
        <w:tab w:val="center" w:pos="4153"/>
        <w:tab w:val="right" w:pos="8306"/>
      </w:tabs>
      <w:snapToGrid w:val="0"/>
      <w:jc w:val="center"/>
    </w:pPr>
    <w:rPr>
      <w:sz w:val="18"/>
      <w:szCs w:val="18"/>
      <w:lang w:val="zh-CN"/>
    </w:rPr>
  </w:style>
  <w:style w:type="character" w:customStyle="1" w:styleId="Char2">
    <w:name w:val="页眉 Char"/>
    <w:link w:val="a6"/>
    <w:uiPriority w:val="99"/>
    <w:qFormat/>
    <w:rPr>
      <w:kern w:val="2"/>
      <w:sz w:val="18"/>
      <w:szCs w:val="18"/>
    </w:rPr>
  </w:style>
  <w:style w:type="paragraph" w:styleId="10">
    <w:name w:val="toc 1"/>
    <w:basedOn w:val="a"/>
    <w:next w:val="a"/>
    <w:uiPriority w:val="39"/>
  </w:style>
  <w:style w:type="paragraph" w:styleId="3">
    <w:name w:val="Body Text Indent 3"/>
    <w:basedOn w:val="a"/>
    <w:link w:val="3Char"/>
    <w:unhideWhenUsed/>
    <w:qFormat/>
    <w:pPr>
      <w:spacing w:after="120" w:line="360" w:lineRule="auto"/>
      <w:ind w:leftChars="200" w:left="420"/>
    </w:pPr>
    <w:rPr>
      <w:sz w:val="16"/>
      <w:szCs w:val="16"/>
    </w:rPr>
  </w:style>
  <w:style w:type="character" w:customStyle="1" w:styleId="3Char">
    <w:name w:val="正文文本缩进 3 Char"/>
    <w:link w:val="3"/>
    <w:qFormat/>
    <w:rPr>
      <w:kern w:val="2"/>
      <w:sz w:val="16"/>
      <w:szCs w:val="16"/>
    </w:rPr>
  </w:style>
  <w:style w:type="paragraph" w:styleId="20">
    <w:name w:val="toc 2"/>
    <w:basedOn w:val="a"/>
    <w:next w:val="a"/>
    <w:uiPriority w:val="39"/>
    <w:pPr>
      <w:ind w:leftChars="200" w:left="420"/>
    </w:pPr>
  </w:style>
  <w:style w:type="paragraph" w:styleId="21">
    <w:name w:val="Body Text 2"/>
    <w:basedOn w:val="a"/>
    <w:link w:val="2Char0"/>
    <w:unhideWhenUsed/>
    <w:pPr>
      <w:spacing w:after="120" w:line="480" w:lineRule="auto"/>
    </w:pPr>
  </w:style>
  <w:style w:type="character" w:customStyle="1" w:styleId="2Char0">
    <w:name w:val="正文文本 2 Char"/>
    <w:link w:val="21"/>
    <w:rPr>
      <w:kern w:val="2"/>
      <w:sz w:val="21"/>
      <w:szCs w:val="24"/>
    </w:rPr>
  </w:style>
  <w:style w:type="paragraph" w:styleId="a7">
    <w:name w:val="Normal (Web)"/>
    <w:basedOn w:val="a"/>
    <w:link w:val="Char3"/>
    <w:uiPriority w:val="99"/>
    <w:unhideWhenUsed/>
    <w:pPr>
      <w:widowControl/>
      <w:spacing w:before="100" w:beforeAutospacing="1" w:after="100" w:afterAutospacing="1"/>
      <w:jc w:val="left"/>
    </w:pPr>
    <w:rPr>
      <w:rFonts w:ascii="宋体" w:hAnsi="宋体"/>
      <w:kern w:val="0"/>
      <w:sz w:val="24"/>
      <w:lang w:val="zh-CN"/>
    </w:rPr>
  </w:style>
  <w:style w:type="character" w:customStyle="1" w:styleId="Char3">
    <w:name w:val="普通(网站) Char"/>
    <w:link w:val="a7"/>
    <w:uiPriority w:val="99"/>
    <w:qFormat/>
    <w:rPr>
      <w:rFonts w:ascii="宋体" w:hAnsi="宋体" w:cs="宋体"/>
      <w:sz w:val="24"/>
      <w:szCs w:val="24"/>
    </w:rPr>
  </w:style>
  <w:style w:type="paragraph" w:styleId="a8">
    <w:name w:val="Title"/>
    <w:basedOn w:val="a"/>
    <w:next w:val="a"/>
    <w:link w:val="Char4"/>
    <w:qFormat/>
    <w:pPr>
      <w:spacing w:before="240" w:after="60"/>
      <w:jc w:val="center"/>
      <w:outlineLvl w:val="0"/>
    </w:pPr>
    <w:rPr>
      <w:rFonts w:ascii="Cambria" w:hAnsi="Cambria"/>
      <w:b/>
      <w:bCs/>
      <w:sz w:val="32"/>
      <w:szCs w:val="32"/>
      <w:lang w:val="zh-CN"/>
    </w:rPr>
  </w:style>
  <w:style w:type="character" w:customStyle="1" w:styleId="Char4">
    <w:name w:val="标题 Char"/>
    <w:link w:val="a8"/>
    <w:qFormat/>
    <w:rPr>
      <w:rFonts w:ascii="Cambria" w:hAnsi="Cambria" w:cs="Times New Roman"/>
      <w:b/>
      <w:bCs/>
      <w:kern w:val="2"/>
      <w:sz w:val="32"/>
      <w:szCs w:val="32"/>
    </w:rPr>
  </w:style>
  <w:style w:type="paragraph" w:styleId="a9">
    <w:name w:val="annotation subject"/>
    <w:basedOn w:val="a3"/>
    <w:next w:val="a3"/>
    <w:link w:val="Char5"/>
    <w:unhideWhenUsed/>
    <w:rPr>
      <w:b/>
      <w:bCs/>
    </w:rPr>
  </w:style>
  <w:style w:type="character" w:customStyle="1" w:styleId="Char5">
    <w:name w:val="批注主题 Char"/>
    <w:link w:val="a9"/>
    <w:semiHidden/>
    <w:rPr>
      <w:b/>
      <w:bCs/>
      <w:kern w:val="2"/>
      <w:sz w:val="21"/>
      <w:szCs w:val="24"/>
    </w:rPr>
  </w:style>
  <w:style w:type="table" w:styleId="aa">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uiPriority w:val="99"/>
    <w:unhideWhenUsed/>
    <w:qFormat/>
    <w:rPr>
      <w:color w:val="0000FF"/>
      <w:u w:val="single"/>
    </w:rPr>
  </w:style>
  <w:style w:type="character" w:styleId="ac">
    <w:name w:val="annotation reference"/>
    <w:unhideWhenUsed/>
    <w:rPr>
      <w:sz w:val="21"/>
      <w:szCs w:val="21"/>
    </w:rPr>
  </w:style>
  <w:style w:type="paragraph" w:customStyle="1" w:styleId="-">
    <w:name w:val="模板-正文"/>
    <w:basedOn w:val="a7"/>
    <w:link w:val="-Char"/>
    <w:uiPriority w:val="99"/>
    <w:qFormat/>
    <w:pPr>
      <w:shd w:val="clear" w:color="auto" w:fill="FFFFFF"/>
      <w:snapToGrid w:val="0"/>
      <w:spacing w:before="0" w:beforeAutospacing="0" w:after="0" w:afterAutospacing="0" w:line="360" w:lineRule="auto"/>
      <w:ind w:firstLineChars="200" w:firstLine="200"/>
      <w:jc w:val="both"/>
    </w:pPr>
    <w:rPr>
      <w:color w:val="222222"/>
      <w:sz w:val="21"/>
      <w:szCs w:val="21"/>
    </w:rPr>
  </w:style>
  <w:style w:type="character" w:customStyle="1" w:styleId="-Char">
    <w:name w:val="模板-正文 Char"/>
    <w:link w:val="-"/>
    <w:uiPriority w:val="99"/>
    <w:qFormat/>
    <w:rPr>
      <w:rFonts w:ascii="宋体" w:hAnsi="宋体"/>
      <w:color w:val="222222"/>
      <w:sz w:val="21"/>
      <w:szCs w:val="21"/>
      <w:shd w:val="clear" w:color="auto" w:fill="FFFFFF"/>
      <w:lang w:val="zh-CN" w:eastAsia="zh-CN"/>
    </w:rPr>
  </w:style>
  <w:style w:type="character" w:customStyle="1" w:styleId="docorderno">
    <w:name w:val="doc_order_no"/>
    <w:qFormat/>
  </w:style>
  <w:style w:type="paragraph" w:customStyle="1" w:styleId="-2">
    <w:name w:val="模板-标题 2"/>
    <w:basedOn w:val="2"/>
    <w:link w:val="-2Char"/>
    <w:qFormat/>
    <w:pPr>
      <w:shd w:val="clear" w:color="auto" w:fill="FFFFFF"/>
      <w:spacing w:line="480" w:lineRule="atLeast"/>
    </w:pPr>
    <w:rPr>
      <w:b w:val="0"/>
      <w:color w:val="222222"/>
      <w:sz w:val="24"/>
    </w:rPr>
  </w:style>
  <w:style w:type="character" w:customStyle="1" w:styleId="-2Char">
    <w:name w:val="模板-标题 2 Char"/>
    <w:link w:val="-2"/>
    <w:qFormat/>
    <w:rPr>
      <w:rFonts w:ascii="宋体" w:hAnsi="宋体"/>
      <w:bCs/>
      <w:color w:val="222222"/>
      <w:sz w:val="24"/>
      <w:szCs w:val="18"/>
      <w:shd w:val="clear" w:color="auto" w:fill="FFFFFF"/>
      <w:lang w:val="zh-CN"/>
    </w:rPr>
  </w:style>
  <w:style w:type="paragraph" w:customStyle="1" w:styleId="-1">
    <w:name w:val="模板-标题 1"/>
    <w:basedOn w:val="1"/>
    <w:link w:val="-1Char"/>
    <w:qFormat/>
    <w:pPr>
      <w:keepNext w:val="0"/>
      <w:keepLines w:val="0"/>
      <w:widowControl/>
      <w:shd w:val="clear" w:color="auto" w:fill="FFFFFF"/>
      <w:spacing w:before="100" w:beforeAutospacing="1" w:after="100" w:afterAutospacing="1" w:line="480" w:lineRule="atLeast"/>
      <w:jc w:val="center"/>
    </w:pPr>
    <w:rPr>
      <w:rFonts w:ascii="宋体" w:hAnsi="宋体"/>
      <w:color w:val="222222"/>
      <w:kern w:val="36"/>
      <w:sz w:val="28"/>
      <w:szCs w:val="24"/>
    </w:rPr>
  </w:style>
  <w:style w:type="character" w:customStyle="1" w:styleId="-1Char">
    <w:name w:val="模板-标题 1 Char"/>
    <w:link w:val="-1"/>
    <w:qFormat/>
    <w:rPr>
      <w:rFonts w:ascii="宋体" w:hAnsi="宋体"/>
      <w:b/>
      <w:bCs/>
      <w:color w:val="222222"/>
      <w:kern w:val="36"/>
      <w:sz w:val="28"/>
      <w:szCs w:val="24"/>
      <w:shd w:val="clear" w:color="auto" w:fill="FFFFFF"/>
      <w:lang w:val="zh-CN" w:eastAsia="zh-CN"/>
    </w:rPr>
  </w:style>
  <w:style w:type="paragraph" w:customStyle="1" w:styleId="-3">
    <w:name w:val="模板-标题 3"/>
    <w:basedOn w:val="a"/>
    <w:link w:val="-3Char"/>
    <w:qFormat/>
    <w:pPr>
      <w:spacing w:before="100" w:beforeAutospacing="1" w:after="100" w:afterAutospacing="1" w:line="480" w:lineRule="atLeast"/>
    </w:pPr>
    <w:rPr>
      <w:rFonts w:ascii="宋体" w:hAnsi="宋体"/>
      <w:color w:val="222222"/>
      <w:sz w:val="24"/>
      <w:szCs w:val="18"/>
      <w:lang w:val="zh-CN"/>
    </w:rPr>
  </w:style>
  <w:style w:type="character" w:customStyle="1" w:styleId="-3Char">
    <w:name w:val="模板-标题 3 Char"/>
    <w:link w:val="-3"/>
    <w:rPr>
      <w:rFonts w:ascii="宋体" w:hAnsi="宋体"/>
      <w:color w:val="222222"/>
      <w:kern w:val="2"/>
      <w:sz w:val="24"/>
      <w:szCs w:val="18"/>
      <w:lang w:val="zh-CN"/>
    </w:rPr>
  </w:style>
  <w:style w:type="table" w:customStyle="1" w:styleId="-0">
    <w:name w:val="模板-表格"/>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tblPr/>
      <w:tcPr>
        <w:shd w:val="clear" w:color="auto" w:fill="BFBFBF"/>
      </w:tcPr>
    </w:tblStylePr>
  </w:style>
  <w:style w:type="paragraph" w:customStyle="1" w:styleId="-4">
    <w:name w:val="模板-标题"/>
    <w:basedOn w:val="a8"/>
    <w:qFormat/>
    <w:pPr>
      <w:outlineLvl w:val="9"/>
    </w:pPr>
    <w:rPr>
      <w:sz w:val="28"/>
    </w:rPr>
  </w:style>
  <w:style w:type="paragraph" w:customStyle="1" w:styleId="-40">
    <w:name w:val="模板-标题 4"/>
    <w:basedOn w:val="a"/>
    <w:qFormat/>
    <w:rPr>
      <w:b/>
      <w:sz w:val="24"/>
    </w:rPr>
  </w:style>
  <w:style w:type="paragraph" w:customStyle="1" w:styleId="-5">
    <w:name w:val="模板-标题 5"/>
    <w:basedOn w:val="-40"/>
    <w:qFormat/>
  </w:style>
  <w:style w:type="paragraph" w:customStyle="1" w:styleId="-6">
    <w:name w:val="模板-标题 6"/>
    <w:basedOn w:val="-5"/>
    <w:qFormat/>
  </w:style>
  <w:style w:type="table" w:customStyle="1" w:styleId="-noheader">
    <w:name w:val="模板-表格_noheader"/>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iaogecenter">
    <w:name w:val="biaoge_center"/>
    <w:basedOn w:val="a"/>
    <w:qFormat/>
    <w:pPr>
      <w:widowControl/>
      <w:autoSpaceDE w:val="0"/>
      <w:autoSpaceDN w:val="0"/>
      <w:adjustRightInd w:val="0"/>
      <w:spacing w:before="29" w:line="288" w:lineRule="auto"/>
      <w:ind w:left="15"/>
      <w:jc w:val="center"/>
    </w:pPr>
    <w:rPr>
      <w:rFonts w:ascii="宋体" w:hAnsi="宋体" w:cs="宋体"/>
      <w:kern w:val="0"/>
      <w:sz w:val="24"/>
    </w:rPr>
  </w:style>
  <w:style w:type="paragraph" w:customStyle="1" w:styleId="biaogeright">
    <w:name w:val="biaoge_right"/>
    <w:basedOn w:val="a"/>
    <w:pPr>
      <w:widowControl/>
      <w:autoSpaceDE w:val="0"/>
      <w:autoSpaceDN w:val="0"/>
      <w:adjustRightInd w:val="0"/>
      <w:spacing w:before="29" w:line="288" w:lineRule="auto"/>
      <w:ind w:left="15"/>
      <w:jc w:val="right"/>
    </w:pPr>
    <w:rPr>
      <w:rFonts w:ascii="宋体" w:hAnsi="宋体" w:cs="宋体"/>
      <w:kern w:val="0"/>
      <w:sz w:val="24"/>
    </w:rPr>
  </w:style>
  <w:style w:type="paragraph" w:customStyle="1" w:styleId="neirong">
    <w:name w:val="neirong"/>
    <w:basedOn w:val="a"/>
    <w:qFormat/>
    <w:pPr>
      <w:widowControl/>
      <w:autoSpaceDE w:val="0"/>
      <w:autoSpaceDN w:val="0"/>
      <w:adjustRightInd w:val="0"/>
      <w:spacing w:before="29" w:line="288" w:lineRule="auto"/>
      <w:ind w:left="15"/>
      <w:jc w:val="left"/>
    </w:pPr>
    <w:rPr>
      <w:rFonts w:ascii="宋体" w:hAnsi="宋体" w:cs="宋体"/>
      <w:kern w:val="0"/>
      <w:sz w:val="24"/>
    </w:rPr>
  </w:style>
  <w:style w:type="paragraph" w:customStyle="1" w:styleId="biaogeleft">
    <w:name w:val="biaoge_left"/>
    <w:basedOn w:val="a"/>
    <w:qFormat/>
    <w:pPr>
      <w:widowControl/>
      <w:autoSpaceDE w:val="0"/>
      <w:autoSpaceDN w:val="0"/>
      <w:adjustRightInd w:val="0"/>
      <w:spacing w:before="29" w:line="288" w:lineRule="auto"/>
      <w:ind w:left="15"/>
      <w:jc w:val="left"/>
    </w:pPr>
    <w:rPr>
      <w:rFonts w:ascii="宋体" w:hAnsi="宋体" w:cs="宋体"/>
      <w:kern w:val="0"/>
      <w:sz w:val="24"/>
    </w:rPr>
  </w:style>
  <w:style w:type="paragraph" w:customStyle="1" w:styleId="WPSOffice1">
    <w:name w:val="WPSOffice手动目录 1"/>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Words>
  <Characters>657</Characters>
  <Application>Microsoft Office Word</Application>
  <DocSecurity>4</DocSecurity>
  <Lines>5</Lines>
  <Paragraphs>1</Paragraphs>
  <ScaleCrop>false</ScaleCrop>
  <Company>MC SYSTEM</Company>
  <LinksUpToDate>false</LinksUpToDate>
  <CharactersWithSpaces>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opr-group1</dc:creator>
  <cp:keywords/>
  <cp:lastModifiedBy>ZHONGM</cp:lastModifiedBy>
  <cp:revision>2</cp:revision>
  <dcterms:created xsi:type="dcterms:W3CDTF">2026-03-25T16:00:00Z</dcterms:created>
  <dcterms:modified xsi:type="dcterms:W3CDTF">2026-03-25T16:00:00Z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E4441D07AD3B4F90A2AC8D287087463A</vt:lpwstr>
  </property>
</Properties>
</file>