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F3" w:rsidRDefault="00AA0BD0">
      <w:pPr>
        <w:spacing w:line="360" w:lineRule="auto"/>
        <w:jc w:val="center"/>
        <w:rPr>
          <w:rFonts w:ascii="宋体" w:hAnsi="宋体"/>
          <w:b/>
          <w:sz w:val="30"/>
          <w:szCs w:val="30"/>
        </w:rPr>
      </w:pPr>
      <w:r>
        <w:rPr>
          <w:rFonts w:ascii="宋体" w:hAnsi="宋体" w:hint="eastAsia"/>
          <w:b/>
          <w:sz w:val="30"/>
          <w:szCs w:val="30"/>
        </w:rPr>
        <w:t>平安基金管理有限公司</w:t>
      </w:r>
    </w:p>
    <w:p w:rsidR="00416CF3" w:rsidRDefault="00AA0BD0">
      <w:pPr>
        <w:spacing w:line="360" w:lineRule="auto"/>
        <w:ind w:firstLineChars="100" w:firstLine="281"/>
        <w:jc w:val="center"/>
        <w:rPr>
          <w:b/>
          <w:sz w:val="28"/>
          <w:szCs w:val="30"/>
        </w:rPr>
      </w:pPr>
      <w:r>
        <w:rPr>
          <w:rFonts w:hint="eastAsia"/>
          <w:b/>
          <w:sz w:val="28"/>
          <w:szCs w:val="30"/>
        </w:rPr>
        <w:t>关于新增招商银行股份有限公司为旗下基金销售机构的公告</w:t>
      </w:r>
    </w:p>
    <w:p w:rsidR="00416CF3" w:rsidRDefault="00416CF3">
      <w:pPr>
        <w:spacing w:line="360" w:lineRule="auto"/>
        <w:ind w:firstLineChars="100" w:firstLine="281"/>
        <w:jc w:val="center"/>
        <w:rPr>
          <w:b/>
          <w:sz w:val="28"/>
          <w:szCs w:val="30"/>
        </w:rPr>
      </w:pPr>
    </w:p>
    <w:p w:rsidR="00416CF3" w:rsidRDefault="00AA0BD0">
      <w:pPr>
        <w:spacing w:line="360" w:lineRule="auto"/>
        <w:ind w:firstLineChars="200" w:firstLine="420"/>
        <w:rPr>
          <w:rFonts w:ascii="宋体" w:hAnsi="宋体"/>
          <w:szCs w:val="21"/>
        </w:rPr>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与招商银行股份有限公司（以下简称“招商银行”）签署的销售补充协议，从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25</w:t>
      </w:r>
      <w:r>
        <w:rPr>
          <w:rFonts w:ascii="宋体" w:hAnsi="宋体" w:hint="eastAsia"/>
          <w:szCs w:val="21"/>
        </w:rPr>
        <w:t>日起，招商银行新增销售本公司旗下部分基金，现将相关事项公告如下：</w:t>
      </w:r>
    </w:p>
    <w:p w:rsidR="00416CF3" w:rsidRDefault="00AA0BD0">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hint="eastAsia"/>
          <w:szCs w:val="21"/>
        </w:rPr>
        <w:t>起，投资者可通过招商银行办理以下基金的开户、申购、赎回、定投、转换等业务。</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5316"/>
        <w:gridCol w:w="1020"/>
        <w:gridCol w:w="1020"/>
      </w:tblGrid>
      <w:tr w:rsidR="00416CF3">
        <w:trPr>
          <w:trHeight w:val="889"/>
          <w:jc w:val="center"/>
        </w:trPr>
        <w:tc>
          <w:tcPr>
            <w:tcW w:w="1102" w:type="dxa"/>
            <w:shd w:val="clear" w:color="auto" w:fill="auto"/>
            <w:vAlign w:val="center"/>
          </w:tcPr>
          <w:p w:rsidR="00416CF3" w:rsidRDefault="00AA0BD0">
            <w:pPr>
              <w:spacing w:line="360" w:lineRule="auto"/>
              <w:jc w:val="center"/>
              <w:rPr>
                <w:rFonts w:ascii="宋体" w:hAnsi="宋体" w:cs="Calibri"/>
                <w:b/>
                <w:szCs w:val="21"/>
              </w:rPr>
            </w:pPr>
            <w:r>
              <w:rPr>
                <w:rFonts w:ascii="宋体" w:hAnsi="宋体" w:cs="Calibri" w:hint="eastAsia"/>
                <w:b/>
                <w:szCs w:val="21"/>
              </w:rPr>
              <w:t>基金代码</w:t>
            </w:r>
          </w:p>
        </w:tc>
        <w:tc>
          <w:tcPr>
            <w:tcW w:w="5316" w:type="dxa"/>
            <w:shd w:val="clear" w:color="auto" w:fill="auto"/>
            <w:vAlign w:val="center"/>
          </w:tcPr>
          <w:p w:rsidR="00416CF3" w:rsidRDefault="00AA0BD0">
            <w:pPr>
              <w:spacing w:line="360" w:lineRule="auto"/>
              <w:jc w:val="center"/>
              <w:rPr>
                <w:rFonts w:ascii="宋体" w:hAnsi="宋体" w:cs="Calibri"/>
                <w:b/>
                <w:szCs w:val="21"/>
              </w:rPr>
            </w:pPr>
            <w:r>
              <w:rPr>
                <w:rFonts w:ascii="宋体" w:hAnsi="宋体" w:cs="Calibri" w:hint="eastAsia"/>
                <w:b/>
                <w:szCs w:val="21"/>
              </w:rPr>
              <w:t>基金名称</w:t>
            </w:r>
          </w:p>
        </w:tc>
        <w:tc>
          <w:tcPr>
            <w:tcW w:w="1020" w:type="dxa"/>
            <w:shd w:val="clear" w:color="auto" w:fill="auto"/>
            <w:vAlign w:val="center"/>
          </w:tcPr>
          <w:p w:rsidR="00416CF3" w:rsidRDefault="00AA0BD0">
            <w:pPr>
              <w:spacing w:line="360" w:lineRule="auto"/>
              <w:jc w:val="center"/>
              <w:rPr>
                <w:rFonts w:ascii="宋体" w:hAnsi="宋体" w:cs="Calibri"/>
                <w:b/>
                <w:szCs w:val="21"/>
              </w:rPr>
            </w:pPr>
            <w:r>
              <w:rPr>
                <w:rFonts w:ascii="宋体" w:hAnsi="宋体" w:cs="Calibri" w:hint="eastAsia"/>
                <w:b/>
                <w:szCs w:val="21"/>
              </w:rPr>
              <w:t>是否开通定投</w:t>
            </w:r>
          </w:p>
        </w:tc>
        <w:tc>
          <w:tcPr>
            <w:tcW w:w="1020" w:type="dxa"/>
            <w:shd w:val="clear" w:color="auto" w:fill="auto"/>
            <w:vAlign w:val="center"/>
          </w:tcPr>
          <w:p w:rsidR="00416CF3" w:rsidRDefault="00AA0BD0">
            <w:pPr>
              <w:spacing w:line="360" w:lineRule="auto"/>
              <w:jc w:val="center"/>
              <w:rPr>
                <w:rFonts w:ascii="宋体" w:hAnsi="宋体" w:cs="Calibri"/>
                <w:b/>
                <w:szCs w:val="21"/>
              </w:rPr>
            </w:pPr>
            <w:r>
              <w:rPr>
                <w:rFonts w:ascii="宋体" w:hAnsi="宋体" w:cs="Calibri" w:hint="eastAsia"/>
                <w:b/>
                <w:szCs w:val="21"/>
              </w:rPr>
              <w:t>是否开通转换</w:t>
            </w:r>
          </w:p>
        </w:tc>
      </w:tr>
      <w:tr w:rsidR="00416CF3">
        <w:trPr>
          <w:trHeight w:val="350"/>
          <w:jc w:val="center"/>
        </w:trPr>
        <w:tc>
          <w:tcPr>
            <w:tcW w:w="1102" w:type="dxa"/>
            <w:shd w:val="clear" w:color="auto" w:fill="auto"/>
            <w:vAlign w:val="center"/>
          </w:tcPr>
          <w:p w:rsidR="00416CF3" w:rsidRDefault="00AA0BD0">
            <w:pPr>
              <w:spacing w:line="360" w:lineRule="auto"/>
              <w:jc w:val="center"/>
            </w:pPr>
            <w:r>
              <w:rPr>
                <w:rFonts w:hint="eastAsia"/>
              </w:rPr>
              <w:t>026257</w:t>
            </w:r>
          </w:p>
        </w:tc>
        <w:tc>
          <w:tcPr>
            <w:tcW w:w="5316" w:type="dxa"/>
            <w:shd w:val="clear" w:color="auto" w:fill="auto"/>
            <w:vAlign w:val="center"/>
          </w:tcPr>
          <w:p w:rsidR="00416CF3" w:rsidRDefault="00AA0BD0">
            <w:pPr>
              <w:spacing w:line="360" w:lineRule="auto"/>
              <w:jc w:val="center"/>
            </w:pPr>
            <w:r>
              <w:rPr>
                <w:rFonts w:hint="eastAsia"/>
              </w:rPr>
              <w:t>平安新锐量化选股混合型发起式证券投资基金（</w:t>
            </w:r>
            <w:r>
              <w:rPr>
                <w:rFonts w:hint="eastAsia"/>
              </w:rPr>
              <w:t>A</w:t>
            </w:r>
            <w:r>
              <w:rPr>
                <w:rFonts w:hint="eastAsia"/>
              </w:rPr>
              <w:t>类）</w:t>
            </w:r>
          </w:p>
        </w:tc>
        <w:tc>
          <w:tcPr>
            <w:tcW w:w="1020" w:type="dxa"/>
            <w:shd w:val="clear" w:color="auto" w:fill="auto"/>
            <w:vAlign w:val="center"/>
          </w:tcPr>
          <w:p w:rsidR="00416CF3" w:rsidRDefault="00AA0BD0">
            <w:pPr>
              <w:spacing w:line="360" w:lineRule="auto"/>
              <w:jc w:val="center"/>
            </w:pPr>
            <w:r>
              <w:rPr>
                <w:rFonts w:hint="eastAsia"/>
              </w:rPr>
              <w:t>是</w:t>
            </w:r>
          </w:p>
        </w:tc>
        <w:tc>
          <w:tcPr>
            <w:tcW w:w="1020" w:type="dxa"/>
            <w:shd w:val="clear" w:color="auto" w:fill="auto"/>
            <w:vAlign w:val="center"/>
          </w:tcPr>
          <w:p w:rsidR="00416CF3" w:rsidRDefault="00AA0BD0">
            <w:pPr>
              <w:spacing w:line="360" w:lineRule="auto"/>
              <w:jc w:val="center"/>
            </w:pPr>
            <w:r>
              <w:rPr>
                <w:rFonts w:hint="eastAsia"/>
              </w:rPr>
              <w:t>是</w:t>
            </w:r>
          </w:p>
        </w:tc>
      </w:tr>
      <w:tr w:rsidR="00416CF3">
        <w:trPr>
          <w:trHeight w:val="293"/>
          <w:jc w:val="center"/>
        </w:trPr>
        <w:tc>
          <w:tcPr>
            <w:tcW w:w="1102" w:type="dxa"/>
            <w:shd w:val="clear" w:color="auto" w:fill="auto"/>
            <w:vAlign w:val="center"/>
          </w:tcPr>
          <w:p w:rsidR="00416CF3" w:rsidRDefault="00AA0BD0">
            <w:pPr>
              <w:spacing w:line="360" w:lineRule="auto"/>
              <w:jc w:val="center"/>
            </w:pPr>
            <w:r>
              <w:rPr>
                <w:rFonts w:hint="eastAsia"/>
              </w:rPr>
              <w:t>026258</w:t>
            </w:r>
          </w:p>
        </w:tc>
        <w:tc>
          <w:tcPr>
            <w:tcW w:w="5316" w:type="dxa"/>
            <w:shd w:val="clear" w:color="auto" w:fill="auto"/>
            <w:vAlign w:val="center"/>
          </w:tcPr>
          <w:p w:rsidR="00416CF3" w:rsidRDefault="00AA0BD0">
            <w:pPr>
              <w:spacing w:line="360" w:lineRule="auto"/>
              <w:jc w:val="center"/>
            </w:pPr>
            <w:r>
              <w:rPr>
                <w:rFonts w:hint="eastAsia"/>
              </w:rPr>
              <w:t>平安新锐量化选股混合型发起式证券投资基金（</w:t>
            </w:r>
            <w:r>
              <w:rPr>
                <w:rFonts w:hint="eastAsia"/>
              </w:rPr>
              <w:t>C</w:t>
            </w:r>
            <w:r>
              <w:rPr>
                <w:rFonts w:hint="eastAsia"/>
              </w:rPr>
              <w:t>类）</w:t>
            </w:r>
          </w:p>
        </w:tc>
        <w:tc>
          <w:tcPr>
            <w:tcW w:w="1020" w:type="dxa"/>
            <w:shd w:val="clear" w:color="auto" w:fill="auto"/>
            <w:vAlign w:val="center"/>
          </w:tcPr>
          <w:p w:rsidR="00416CF3" w:rsidRDefault="00AA0BD0">
            <w:pPr>
              <w:spacing w:line="360" w:lineRule="auto"/>
              <w:jc w:val="center"/>
            </w:pPr>
            <w:r>
              <w:rPr>
                <w:rFonts w:hint="eastAsia"/>
              </w:rPr>
              <w:t>是</w:t>
            </w:r>
          </w:p>
        </w:tc>
        <w:tc>
          <w:tcPr>
            <w:tcW w:w="1020" w:type="dxa"/>
            <w:shd w:val="clear" w:color="auto" w:fill="auto"/>
            <w:vAlign w:val="center"/>
          </w:tcPr>
          <w:p w:rsidR="00416CF3" w:rsidRDefault="00AA0BD0">
            <w:pPr>
              <w:spacing w:line="360" w:lineRule="auto"/>
              <w:jc w:val="center"/>
            </w:pPr>
            <w:r>
              <w:rPr>
                <w:rFonts w:hint="eastAsia"/>
              </w:rPr>
              <w:t>是</w:t>
            </w:r>
          </w:p>
        </w:tc>
      </w:tr>
    </w:tbl>
    <w:p w:rsidR="00416CF3" w:rsidRDefault="00416CF3">
      <w:pPr>
        <w:spacing w:line="360" w:lineRule="auto"/>
        <w:ind w:firstLineChars="100" w:firstLine="210"/>
        <w:rPr>
          <w:color w:val="000000"/>
          <w:szCs w:val="21"/>
        </w:rPr>
      </w:pPr>
    </w:p>
    <w:p w:rsidR="00416CF3" w:rsidRDefault="00AA0BD0">
      <w:pPr>
        <w:spacing w:line="360" w:lineRule="auto"/>
        <w:ind w:firstLineChars="200" w:firstLine="420"/>
        <w:rPr>
          <w:rFonts w:ascii="宋体" w:hAnsi="宋体"/>
          <w:szCs w:val="21"/>
        </w:rPr>
      </w:pPr>
      <w:r>
        <w:rPr>
          <w:rFonts w:ascii="宋体" w:hAnsi="宋体" w:hint="eastAsia"/>
          <w:szCs w:val="21"/>
        </w:rPr>
        <w:t>二、重要提示</w:t>
      </w:r>
    </w:p>
    <w:p w:rsidR="00416CF3" w:rsidRDefault="00AA0BD0">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416CF3" w:rsidRDefault="00AA0BD0">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416CF3" w:rsidRDefault="00416CF3">
      <w:pPr>
        <w:spacing w:line="360" w:lineRule="auto"/>
        <w:ind w:firstLineChars="200" w:firstLine="420"/>
        <w:rPr>
          <w:rFonts w:ascii="宋体" w:hAnsi="宋体"/>
          <w:szCs w:val="21"/>
        </w:rPr>
      </w:pPr>
    </w:p>
    <w:p w:rsidR="00416CF3" w:rsidRDefault="00AA0BD0">
      <w:pPr>
        <w:spacing w:line="360" w:lineRule="auto"/>
        <w:ind w:firstLineChars="200" w:firstLine="420"/>
        <w:rPr>
          <w:rFonts w:ascii="宋体" w:hAnsi="宋体"/>
          <w:szCs w:val="21"/>
        </w:rPr>
      </w:pPr>
      <w:r>
        <w:rPr>
          <w:rFonts w:ascii="宋体" w:hAnsi="宋体" w:hint="eastAsia"/>
          <w:szCs w:val="21"/>
        </w:rPr>
        <w:t>三、费率优惠</w:t>
      </w:r>
    </w:p>
    <w:p w:rsidR="00416CF3" w:rsidRDefault="00AA0BD0">
      <w:pPr>
        <w:spacing w:line="360" w:lineRule="auto"/>
        <w:ind w:firstLineChars="200" w:firstLine="420"/>
        <w:rPr>
          <w:rFonts w:ascii="宋体" w:hAnsi="宋体"/>
          <w:szCs w:val="21"/>
        </w:rPr>
      </w:pPr>
      <w:r>
        <w:rPr>
          <w:rFonts w:ascii="宋体" w:hAnsi="宋体" w:hint="eastAsia"/>
          <w:szCs w:val="21"/>
        </w:rPr>
        <w:t>投资者通过招商银行申购或定期定额申购、转换上述基金，享受费率优惠，优惠活动解释权归招商银行所有，请投资者咨询招商银行。本公司对其申购费率、定期定额申购费率、</w:t>
      </w:r>
      <w:r>
        <w:rPr>
          <w:rFonts w:ascii="宋体" w:hAnsi="宋体" w:hint="eastAsia"/>
          <w:szCs w:val="21"/>
        </w:rPr>
        <w:lastRenderedPageBreak/>
        <w:t>转换</w:t>
      </w:r>
      <w:r>
        <w:rPr>
          <w:rFonts w:ascii="宋体" w:hAnsi="宋体" w:hint="eastAsia"/>
          <w:szCs w:val="21"/>
        </w:rPr>
        <w:t>业务的申购补差费率均不设折扣限制，优惠活动的费率折扣由招商银行决定和执行，本公司根据招商银行提供的费率折扣办理，若费率优惠活动内容变更，以招商银行的活动公告为准，本公司不再另行公告。</w:t>
      </w:r>
    </w:p>
    <w:p w:rsidR="00416CF3" w:rsidRDefault="00416CF3">
      <w:pPr>
        <w:spacing w:line="360" w:lineRule="auto"/>
        <w:ind w:firstLineChars="200" w:firstLine="420"/>
        <w:rPr>
          <w:rFonts w:ascii="宋体" w:hAnsi="宋体"/>
          <w:szCs w:val="21"/>
        </w:rPr>
      </w:pPr>
    </w:p>
    <w:p w:rsidR="00416CF3" w:rsidRDefault="00AA0BD0">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416CF3" w:rsidRDefault="00AA0BD0">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、招商银行股份有限公司</w:t>
      </w:r>
      <w:r>
        <w:rPr>
          <w:rFonts w:ascii="宋体" w:hAnsi="宋体" w:hint="eastAsia"/>
          <w:szCs w:val="21"/>
        </w:rPr>
        <w:t xml:space="preserve"> </w:t>
      </w:r>
    </w:p>
    <w:p w:rsidR="00416CF3" w:rsidRDefault="00AA0BD0">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 xml:space="preserve">95555 </w:t>
      </w:r>
    </w:p>
    <w:p w:rsidR="00416CF3" w:rsidRDefault="00AA0BD0">
      <w:pPr>
        <w:spacing w:line="360" w:lineRule="auto"/>
        <w:ind w:firstLineChars="200" w:firstLine="420"/>
        <w:rPr>
          <w:rFonts w:ascii="宋体" w:hAnsi="宋体"/>
          <w:szCs w:val="21"/>
        </w:rPr>
      </w:pPr>
      <w:r>
        <w:rPr>
          <w:rFonts w:ascii="宋体" w:hAnsi="宋体" w:hint="eastAsia"/>
          <w:szCs w:val="21"/>
        </w:rPr>
        <w:t>网址：</w:t>
      </w:r>
      <w:hyperlink r:id="rId4" w:history="1">
        <w:r>
          <w:rPr>
            <w:rStyle w:val="a8"/>
            <w:rFonts w:ascii="宋体" w:hAnsi="宋体" w:hint="eastAsia"/>
            <w:color w:val="auto"/>
            <w:szCs w:val="21"/>
            <w:u w:val="none"/>
          </w:rPr>
          <w:t>www.cmbchina.com</w:t>
        </w:r>
      </w:hyperlink>
    </w:p>
    <w:p w:rsidR="00416CF3" w:rsidRDefault="00AA0BD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、平安基金管理有限公司</w:t>
      </w:r>
    </w:p>
    <w:p w:rsidR="00416CF3" w:rsidRDefault="00AA0BD0">
      <w:pPr>
        <w:spacing w:line="360" w:lineRule="auto"/>
        <w:ind w:firstLineChars="200" w:firstLine="420"/>
        <w:rPr>
          <w:rFonts w:ascii="宋体" w:hAnsi="宋体"/>
          <w:szCs w:val="21"/>
        </w:rPr>
      </w:pPr>
      <w:r>
        <w:rPr>
          <w:rFonts w:ascii="宋体" w:hAnsi="宋体"/>
          <w:szCs w:val="21"/>
        </w:rPr>
        <w:t>客服电话：</w:t>
      </w:r>
      <w:r>
        <w:rPr>
          <w:rFonts w:ascii="宋体" w:hAnsi="宋体"/>
          <w:szCs w:val="21"/>
        </w:rPr>
        <w:t>400</w:t>
      </w:r>
      <w:r>
        <w:rPr>
          <w:rFonts w:ascii="宋体" w:hAnsi="宋体" w:hint="eastAsia"/>
          <w:szCs w:val="21"/>
        </w:rPr>
        <w:t>-</w:t>
      </w:r>
      <w:r>
        <w:rPr>
          <w:rFonts w:ascii="宋体" w:hAnsi="宋体"/>
          <w:szCs w:val="21"/>
        </w:rPr>
        <w:t>800</w:t>
      </w:r>
      <w:r>
        <w:rPr>
          <w:rFonts w:ascii="宋体" w:hAnsi="宋体" w:hint="eastAsia"/>
          <w:szCs w:val="21"/>
        </w:rPr>
        <w:t>-</w:t>
      </w:r>
      <w:r>
        <w:rPr>
          <w:rFonts w:ascii="宋体" w:hAnsi="宋体"/>
          <w:szCs w:val="21"/>
        </w:rPr>
        <w:t>4800</w:t>
      </w:r>
    </w:p>
    <w:p w:rsidR="00416CF3" w:rsidRDefault="00AA0BD0">
      <w:pPr>
        <w:spacing w:line="360" w:lineRule="auto"/>
        <w:ind w:firstLineChars="200" w:firstLine="420"/>
        <w:rPr>
          <w:rFonts w:ascii="宋体" w:hAnsi="宋体"/>
          <w:szCs w:val="21"/>
        </w:rPr>
      </w:pPr>
      <w:r>
        <w:rPr>
          <w:rFonts w:ascii="宋体" w:hAnsi="宋体"/>
          <w:szCs w:val="21"/>
        </w:rPr>
        <w:t>网址：</w:t>
      </w:r>
      <w:r>
        <w:rPr>
          <w:rFonts w:ascii="宋体" w:hAnsi="宋体"/>
          <w:szCs w:val="21"/>
        </w:rPr>
        <w:t xml:space="preserve">fund.pingan.com </w:t>
      </w:r>
    </w:p>
    <w:p w:rsidR="00416CF3" w:rsidRDefault="00416CF3">
      <w:pPr>
        <w:spacing w:line="360" w:lineRule="auto"/>
        <w:ind w:firstLineChars="200" w:firstLine="420"/>
        <w:rPr>
          <w:rFonts w:ascii="宋体" w:hAnsi="宋体"/>
          <w:szCs w:val="21"/>
        </w:rPr>
      </w:pPr>
    </w:p>
    <w:p w:rsidR="00416CF3" w:rsidRDefault="00AA0BD0">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销售机构根据法规要求对投资者类别、风险承受能力和基金的风险等级进行划分，并提出适当性匹配意见。投资有风险，敬请投资者在投资基金前认真阅读《基金合同》、《招募说明书》等基金法律文件，了解基金的风险收益特征，在了解产品情况及听取销售机构适当性意见的基础上，根据自身的风险承受能力、投资期限和投资目标选择适合自己的基金产品。敬请投资者在购买基金前认真考虑、</w:t>
      </w:r>
      <w:r>
        <w:rPr>
          <w:rFonts w:ascii="宋体" w:hAnsi="宋体" w:hint="eastAsia"/>
          <w:szCs w:val="21"/>
        </w:rPr>
        <w:t>谨慎决策。</w:t>
      </w:r>
    </w:p>
    <w:p w:rsidR="00416CF3" w:rsidRDefault="00416CF3">
      <w:pPr>
        <w:spacing w:line="360" w:lineRule="auto"/>
        <w:ind w:firstLineChars="200" w:firstLine="420"/>
        <w:rPr>
          <w:rFonts w:ascii="宋体" w:hAnsi="宋体"/>
          <w:szCs w:val="21"/>
        </w:rPr>
      </w:pPr>
    </w:p>
    <w:p w:rsidR="00416CF3" w:rsidRDefault="00AA0BD0">
      <w:pPr>
        <w:spacing w:line="360" w:lineRule="auto"/>
        <w:ind w:firstLineChars="200" w:firstLine="420"/>
        <w:rPr>
          <w:rFonts w:ascii="宋体" w:hAnsi="宋体"/>
          <w:szCs w:val="21"/>
        </w:rPr>
      </w:pPr>
      <w:r>
        <w:rPr>
          <w:rFonts w:ascii="宋体" w:hAnsi="宋体"/>
          <w:szCs w:val="21"/>
        </w:rPr>
        <w:t>特此公告</w:t>
      </w:r>
      <w:bookmarkStart w:id="0" w:name="_GoBack"/>
      <w:bookmarkEnd w:id="0"/>
    </w:p>
    <w:p w:rsidR="00416CF3" w:rsidRDefault="00416CF3">
      <w:pPr>
        <w:spacing w:line="360" w:lineRule="auto"/>
        <w:ind w:firstLineChars="200" w:firstLine="420"/>
        <w:rPr>
          <w:rFonts w:ascii="宋体" w:hAnsi="宋体"/>
          <w:szCs w:val="21"/>
        </w:rPr>
      </w:pPr>
    </w:p>
    <w:p w:rsidR="00416CF3" w:rsidRDefault="00AA0BD0">
      <w:pPr>
        <w:spacing w:line="360" w:lineRule="auto"/>
        <w:ind w:firstLineChars="200" w:firstLine="420"/>
        <w:jc w:val="right"/>
        <w:rPr>
          <w:rFonts w:ascii="宋体" w:hAnsi="宋体"/>
          <w:szCs w:val="21"/>
        </w:rPr>
      </w:pPr>
      <w:r>
        <w:rPr>
          <w:rFonts w:ascii="宋体" w:hAnsi="宋体" w:hint="eastAsia"/>
          <w:szCs w:val="21"/>
        </w:rPr>
        <w:t>平安基金管理有限公司</w:t>
      </w:r>
    </w:p>
    <w:p w:rsidR="00416CF3" w:rsidRDefault="00AA0BD0">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25</w:t>
      </w:r>
      <w:r>
        <w:rPr>
          <w:rFonts w:ascii="宋体" w:hAnsi="宋体" w:hint="eastAsia"/>
          <w:szCs w:val="21"/>
        </w:rPr>
        <w:t>日</w:t>
      </w:r>
    </w:p>
    <w:sectPr w:rsidR="00416CF3" w:rsidSect="00416C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1275ED"/>
    <w:rsid w:val="00042713"/>
    <w:rsid w:val="000A4ABF"/>
    <w:rsid w:val="000B5271"/>
    <w:rsid w:val="000D4076"/>
    <w:rsid w:val="001258E2"/>
    <w:rsid w:val="001275ED"/>
    <w:rsid w:val="00136064"/>
    <w:rsid w:val="00173824"/>
    <w:rsid w:val="001962B6"/>
    <w:rsid w:val="001E1970"/>
    <w:rsid w:val="002544A9"/>
    <w:rsid w:val="002C2796"/>
    <w:rsid w:val="002D1726"/>
    <w:rsid w:val="002F02AE"/>
    <w:rsid w:val="003C0A4E"/>
    <w:rsid w:val="00416CF3"/>
    <w:rsid w:val="004F6423"/>
    <w:rsid w:val="0056777B"/>
    <w:rsid w:val="005C3F32"/>
    <w:rsid w:val="00722A1E"/>
    <w:rsid w:val="00741144"/>
    <w:rsid w:val="00834587"/>
    <w:rsid w:val="00906A62"/>
    <w:rsid w:val="00966F4C"/>
    <w:rsid w:val="00A4503E"/>
    <w:rsid w:val="00A57E6C"/>
    <w:rsid w:val="00AA0685"/>
    <w:rsid w:val="00AA0BD0"/>
    <w:rsid w:val="00B64BEA"/>
    <w:rsid w:val="00B802DA"/>
    <w:rsid w:val="00C403B4"/>
    <w:rsid w:val="00C44008"/>
    <w:rsid w:val="00C47F09"/>
    <w:rsid w:val="00C725A9"/>
    <w:rsid w:val="00DF3440"/>
    <w:rsid w:val="00E4584A"/>
    <w:rsid w:val="00EA2E33"/>
    <w:rsid w:val="00F0204D"/>
    <w:rsid w:val="00FF0A90"/>
    <w:rsid w:val="00FF496C"/>
    <w:rsid w:val="01E54BF3"/>
    <w:rsid w:val="04E2771B"/>
    <w:rsid w:val="28EE1FC2"/>
    <w:rsid w:val="2FDE2374"/>
    <w:rsid w:val="30D74A58"/>
    <w:rsid w:val="373C53E6"/>
    <w:rsid w:val="3BB1774D"/>
    <w:rsid w:val="3BE05FC6"/>
    <w:rsid w:val="5A5B27F4"/>
    <w:rsid w:val="62976DA8"/>
    <w:rsid w:val="633B336E"/>
    <w:rsid w:val="71241F15"/>
    <w:rsid w:val="77AC3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F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16CF3"/>
    <w:pPr>
      <w:jc w:val="left"/>
    </w:pPr>
  </w:style>
  <w:style w:type="paragraph" w:styleId="a4">
    <w:name w:val="Balloon Text"/>
    <w:basedOn w:val="a"/>
    <w:link w:val="Char0"/>
    <w:uiPriority w:val="99"/>
    <w:semiHidden/>
    <w:unhideWhenUsed/>
    <w:qFormat/>
    <w:rsid w:val="00416CF3"/>
    <w:rPr>
      <w:sz w:val="18"/>
      <w:szCs w:val="18"/>
    </w:rPr>
  </w:style>
  <w:style w:type="paragraph" w:styleId="a5">
    <w:name w:val="footer"/>
    <w:basedOn w:val="a"/>
    <w:link w:val="Char1"/>
    <w:uiPriority w:val="99"/>
    <w:unhideWhenUsed/>
    <w:qFormat/>
    <w:rsid w:val="00416CF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16CF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16CF3"/>
    <w:rPr>
      <w:b/>
      <w:bCs/>
    </w:rPr>
  </w:style>
  <w:style w:type="character" w:styleId="a8">
    <w:name w:val="Hyperlink"/>
    <w:basedOn w:val="a0"/>
    <w:uiPriority w:val="99"/>
    <w:unhideWhenUsed/>
    <w:qFormat/>
    <w:rsid w:val="00416CF3"/>
    <w:rPr>
      <w:color w:val="0563C1" w:themeColor="hyperlink"/>
      <w:u w:val="single"/>
    </w:rPr>
  </w:style>
  <w:style w:type="character" w:styleId="a9">
    <w:name w:val="annotation reference"/>
    <w:basedOn w:val="a0"/>
    <w:uiPriority w:val="99"/>
    <w:semiHidden/>
    <w:unhideWhenUsed/>
    <w:qFormat/>
    <w:rsid w:val="00416CF3"/>
    <w:rPr>
      <w:sz w:val="21"/>
      <w:szCs w:val="21"/>
    </w:rPr>
  </w:style>
  <w:style w:type="character" w:customStyle="1" w:styleId="Char2">
    <w:name w:val="页眉 Char"/>
    <w:basedOn w:val="a0"/>
    <w:link w:val="a6"/>
    <w:uiPriority w:val="99"/>
    <w:qFormat/>
    <w:rsid w:val="00416CF3"/>
    <w:rPr>
      <w:rFonts w:ascii="Calibri" w:eastAsia="宋体" w:hAnsi="Calibri" w:cs="Times New Roman"/>
      <w:sz w:val="18"/>
      <w:szCs w:val="18"/>
    </w:rPr>
  </w:style>
  <w:style w:type="character" w:customStyle="1" w:styleId="Char1">
    <w:name w:val="页脚 Char"/>
    <w:basedOn w:val="a0"/>
    <w:link w:val="a5"/>
    <w:uiPriority w:val="99"/>
    <w:qFormat/>
    <w:rsid w:val="00416CF3"/>
    <w:rPr>
      <w:rFonts w:ascii="Calibri" w:eastAsia="宋体" w:hAnsi="Calibri" w:cs="Times New Roman"/>
      <w:sz w:val="18"/>
      <w:szCs w:val="18"/>
    </w:rPr>
  </w:style>
  <w:style w:type="character" w:customStyle="1" w:styleId="Char0">
    <w:name w:val="批注框文本 Char"/>
    <w:basedOn w:val="a0"/>
    <w:link w:val="a4"/>
    <w:uiPriority w:val="99"/>
    <w:semiHidden/>
    <w:qFormat/>
    <w:rsid w:val="00416CF3"/>
    <w:rPr>
      <w:rFonts w:ascii="Calibri" w:eastAsia="宋体" w:hAnsi="Calibri" w:cs="Times New Roman"/>
      <w:sz w:val="18"/>
      <w:szCs w:val="18"/>
    </w:rPr>
  </w:style>
  <w:style w:type="character" w:customStyle="1" w:styleId="UnresolvedMention">
    <w:name w:val="Unresolved Mention"/>
    <w:basedOn w:val="a0"/>
    <w:uiPriority w:val="99"/>
    <w:semiHidden/>
    <w:unhideWhenUsed/>
    <w:qFormat/>
    <w:rsid w:val="00416CF3"/>
    <w:rPr>
      <w:color w:val="605E5C"/>
      <w:shd w:val="clear" w:color="auto" w:fill="E1DFDD"/>
    </w:rPr>
  </w:style>
  <w:style w:type="character" w:customStyle="1" w:styleId="Char">
    <w:name w:val="批注文字 Char"/>
    <w:basedOn w:val="a0"/>
    <w:link w:val="a3"/>
    <w:uiPriority w:val="99"/>
    <w:semiHidden/>
    <w:qFormat/>
    <w:rsid w:val="00416CF3"/>
    <w:rPr>
      <w:rFonts w:ascii="Calibri" w:eastAsia="宋体" w:hAnsi="Calibri" w:cs="Times New Roman"/>
    </w:rPr>
  </w:style>
  <w:style w:type="character" w:customStyle="1" w:styleId="Char3">
    <w:name w:val="批注主题 Char"/>
    <w:basedOn w:val="Char"/>
    <w:link w:val="a7"/>
    <w:uiPriority w:val="99"/>
    <w:semiHidden/>
    <w:qFormat/>
    <w:rsid w:val="00416CF3"/>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b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4</DocSecurity>
  <Lines>9</Lines>
  <Paragraphs>2</Paragraphs>
  <ScaleCrop>false</ScaleCrop>
  <Company>PAIG</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张倩(平安基金渠道销售中心业务管理室)</dc:creator>
  <cp:lastModifiedBy>ZHONGM</cp:lastModifiedBy>
  <cp:revision>2</cp:revision>
  <dcterms:created xsi:type="dcterms:W3CDTF">2026-03-24T16:02:00Z</dcterms:created>
  <dcterms:modified xsi:type="dcterms:W3CDTF">2026-03-24T16:02:00Z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C1AE1065897840BB8914353B2C700734_12</vt:lpwstr>
  </property>
</Properties>
</file>