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C4F" w:rsidRDefault="00394C4F">
      <w:pPr>
        <w:pStyle w:val="biaogecenter"/>
        <w:rPr>
          <w:sz w:val="30"/>
          <w:szCs w:val="30"/>
        </w:rPr>
      </w:pPr>
      <w:r>
        <w:rPr>
          <w:rFonts w:hint="eastAsia"/>
          <w:b/>
          <w:bCs/>
          <w:sz w:val="30"/>
          <w:szCs w:val="30"/>
        </w:rPr>
        <w:t>富安达神州天添利货币市场基金收益支付公告</w:t>
      </w:r>
    </w:p>
    <w:p w:rsidR="00394C4F" w:rsidRDefault="00394C4F">
      <w:pPr>
        <w:pStyle w:val="biaogecenter"/>
        <w:rPr>
          <w:rFonts w:hint="eastAsia"/>
        </w:rPr>
      </w:pPr>
    </w:p>
    <w:p w:rsidR="00394C4F" w:rsidRDefault="00394C4F">
      <w:pPr>
        <w:pStyle w:val="biaogecenter"/>
        <w:rPr>
          <w:rFonts w:hint="eastAsia"/>
        </w:rPr>
      </w:pPr>
      <w:r>
        <w:rPr>
          <w:rFonts w:hint="eastAsia"/>
        </w:rPr>
        <w:t>公告送出日期：2026年03月24日</w:t>
      </w:r>
    </w:p>
    <w:p w:rsidR="00394C4F" w:rsidRDefault="00394C4F">
      <w:pPr>
        <w:pStyle w:val="dazhangjie"/>
        <w:divId w:val="1339769463"/>
        <w:rPr>
          <w:rFonts w:hint="eastAsia"/>
        </w:rPr>
      </w:pPr>
      <w:r>
        <w:rPr>
          <w:rFonts w:hint="eastAsia"/>
          <w:b/>
          <w:bCs/>
        </w:rPr>
        <w:t>1、 公告基本信息</w:t>
      </w:r>
    </w:p>
    <w:p w:rsidR="00394C4F" w:rsidRDefault="00394C4F">
      <w:pPr>
        <w:widowControl/>
        <w:jc w:val="left"/>
        <w:divId w:val="1339769463"/>
        <w:rPr>
          <w:rFonts w:ascii="宋体" w:eastAsia="宋体" w:hAnsi="宋体" w:cs="宋体" w:hint="eastAsia"/>
          <w:kern w:val="0"/>
          <w:sz w:val="24"/>
          <w:szCs w:val="24"/>
        </w:rPr>
      </w:pPr>
    </w:p>
    <w:tbl>
      <w:tblPr>
        <w:tblW w:w="0" w:type="auto"/>
        <w:tblInd w:w="108" w:type="dxa"/>
        <w:tblLook w:val="04A0"/>
      </w:tblPr>
      <w:tblGrid>
        <w:gridCol w:w="2042"/>
        <w:gridCol w:w="7156"/>
      </w:tblGrid>
      <w:tr w:rsidR="00394C4F" w:rsidRPr="00C91E76">
        <w:trPr>
          <w:divId w:val="1339769463"/>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基金名称</w:t>
            </w:r>
          </w:p>
        </w:tc>
        <w:tc>
          <w:tcPr>
            <w:tcW w:w="3645"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富安达神州天添利货币市场基金</w:t>
            </w:r>
          </w:p>
        </w:tc>
      </w:tr>
      <w:tr w:rsidR="00394C4F" w:rsidRPr="00C91E76">
        <w:trPr>
          <w:divId w:val="1339769463"/>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基金简称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富安达神州天添利货币</w:t>
            </w:r>
          </w:p>
        </w:tc>
      </w:tr>
      <w:tr w:rsidR="00394C4F" w:rsidRPr="00C91E76">
        <w:trPr>
          <w:divId w:val="1339769463"/>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基金主代码</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025747</w:t>
            </w:r>
          </w:p>
        </w:tc>
      </w:tr>
      <w:tr w:rsidR="00394C4F" w:rsidRPr="00C91E76">
        <w:trPr>
          <w:divId w:val="1339769463"/>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基金合同生效日</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2025年11月17日</w:t>
            </w:r>
          </w:p>
        </w:tc>
      </w:tr>
      <w:tr w:rsidR="00394C4F" w:rsidRPr="00C91E76">
        <w:trPr>
          <w:divId w:val="1339769463"/>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基金管理人名称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富安达基金管理有限公司</w:t>
            </w:r>
          </w:p>
        </w:tc>
      </w:tr>
      <w:tr w:rsidR="00394C4F" w:rsidRPr="00C91E76">
        <w:trPr>
          <w:divId w:val="1339769463"/>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公告依据</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《公开募集证券投资基金信息披露管理办法》 及《富安达神州天添利货币市场基金基金合同》《富安达神州天添利货币市场基金招募说明书》</w:t>
            </w:r>
          </w:p>
        </w:tc>
      </w:tr>
      <w:tr w:rsidR="00394C4F" w:rsidRPr="00C91E76">
        <w:trPr>
          <w:divId w:val="1339769463"/>
        </w:trPr>
        <w:tc>
          <w:tcPr>
            <w:tcW w:w="4005"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收益集中支付日期</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2026-03-24</w:t>
            </w:r>
          </w:p>
        </w:tc>
      </w:tr>
      <w:tr w:rsidR="00394C4F" w:rsidRPr="00C91E76">
        <w:trPr>
          <w:divId w:val="1339769463"/>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收益累计期间</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自2026-02-25至2026-03-23止</w:t>
            </w:r>
          </w:p>
        </w:tc>
      </w:tr>
    </w:tbl>
    <w:p w:rsidR="00394C4F" w:rsidRDefault="00394C4F">
      <w:pPr>
        <w:widowControl/>
        <w:jc w:val="left"/>
        <w:rPr>
          <w:rFonts w:ascii="宋体" w:eastAsia="宋体" w:hAnsi="宋体" w:cs="宋体" w:hint="eastAsia"/>
          <w:kern w:val="0"/>
          <w:sz w:val="24"/>
          <w:szCs w:val="24"/>
        </w:rPr>
      </w:pPr>
    </w:p>
    <w:p w:rsidR="00394C4F" w:rsidRDefault="00394C4F">
      <w:pPr>
        <w:pStyle w:val="dazhangjie"/>
        <w:divId w:val="1748648947"/>
        <w:rPr>
          <w:rFonts w:hint="eastAsia"/>
        </w:rPr>
      </w:pPr>
      <w:r>
        <w:rPr>
          <w:rFonts w:hint="eastAsia"/>
          <w:b/>
          <w:bCs/>
        </w:rPr>
        <w:t>2、与收益支付相关的其他信息</w:t>
      </w:r>
    </w:p>
    <w:p w:rsidR="00394C4F" w:rsidRDefault="00394C4F">
      <w:pPr>
        <w:widowControl/>
        <w:jc w:val="left"/>
        <w:divId w:val="1748648947"/>
        <w:rPr>
          <w:rFonts w:ascii="宋体" w:eastAsia="宋体" w:hAnsi="宋体" w:cs="宋体" w:hint="eastAsia"/>
          <w:kern w:val="0"/>
          <w:sz w:val="24"/>
          <w:szCs w:val="24"/>
        </w:rPr>
      </w:pPr>
    </w:p>
    <w:tbl>
      <w:tblPr>
        <w:tblW w:w="8250" w:type="dxa"/>
        <w:tblInd w:w="108" w:type="dxa"/>
        <w:tblLook w:val="04A0"/>
      </w:tblPr>
      <w:tblGrid>
        <w:gridCol w:w="3072"/>
        <w:gridCol w:w="5178"/>
      </w:tblGrid>
      <w:tr w:rsidR="00394C4F" w:rsidRPr="00C91E76">
        <w:trPr>
          <w:divId w:val="1748648947"/>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累计收益计算公式</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基金份额持有人累计收益＝Σ基金份额持有人日收益(即基金份额持有人日收益逐日累加)，基金份额持有人日收益＝基金份额持有人当日持有的基金份额/该基金当日总份额×当日总收益(计算结果以去尾方式保留到"分")。</w:t>
            </w:r>
          </w:p>
        </w:tc>
      </w:tr>
      <w:tr w:rsidR="00394C4F" w:rsidRPr="00C91E76">
        <w:trPr>
          <w:divId w:val="1748648947"/>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收益结转的基金份额可赎回起始日</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2026-03-25</w:t>
            </w:r>
          </w:p>
        </w:tc>
      </w:tr>
      <w:tr w:rsidR="00394C4F" w:rsidRPr="00C91E76">
        <w:trPr>
          <w:divId w:val="1748648947"/>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收益支付对象</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分红权益期间持有本基金份额且截至分红权益期末未解约退出的所有投资者。</w:t>
            </w:r>
          </w:p>
        </w:tc>
      </w:tr>
      <w:tr w:rsidR="00394C4F" w:rsidRPr="00C91E76">
        <w:trPr>
          <w:divId w:val="1748648947"/>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收益支付办法</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本基金收益支付方式分两种：现金分红或红利再投资，默认的收益支付方式是红利再投资。</w:t>
            </w:r>
          </w:p>
        </w:tc>
      </w:tr>
      <w:tr w:rsidR="00394C4F" w:rsidRPr="00C91E76">
        <w:trPr>
          <w:divId w:val="1748648947"/>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税收相关事项的说明</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根据财政部、国家税务总局《关于开放式证券投资基金有关税收问题的通知》（财税字[2002]128号），对投资者(包括个人和机构投资者)从基金分配中取得的收入,暂不征收个人所得税和企业所得税。</w:t>
            </w:r>
          </w:p>
        </w:tc>
      </w:tr>
      <w:tr w:rsidR="00394C4F" w:rsidRPr="00C91E76">
        <w:trPr>
          <w:divId w:val="1748648947"/>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费用相关事项的说明</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94C4F" w:rsidRDefault="00394C4F">
            <w:pPr>
              <w:pStyle w:val="biaogeleft"/>
              <w:wordWrap w:val="0"/>
              <w:rPr>
                <w:rFonts w:hint="eastAsia"/>
              </w:rPr>
            </w:pPr>
            <w:r>
              <w:rPr>
                <w:rFonts w:hint="eastAsia"/>
              </w:rPr>
              <w:t>本基金本次收益分配免收分红手续费和再投资</w:t>
            </w:r>
            <w:r>
              <w:rPr>
                <w:rFonts w:hint="eastAsia"/>
              </w:rPr>
              <w:lastRenderedPageBreak/>
              <w:t>手续费。</w:t>
            </w:r>
          </w:p>
        </w:tc>
      </w:tr>
    </w:tbl>
    <w:p w:rsidR="00394C4F" w:rsidRDefault="00394C4F">
      <w:pPr>
        <w:pStyle w:val="neirong"/>
        <w:divId w:val="1748648947"/>
        <w:rPr>
          <w:rFonts w:hint="eastAsia"/>
        </w:rPr>
      </w:pPr>
      <w:r>
        <w:rPr>
          <w:rFonts w:hint="eastAsia"/>
        </w:rPr>
        <w:lastRenderedPageBreak/>
        <w:t>注：（1）根据《货币市场基金监督管理办法》第十五条的规定“当日申购的基金份额应当自下一个交易日起享有基金的分配权益；当日赎回的基金份额自下一个交易日起不享有基金的分配权益”。</w:t>
      </w:r>
      <w:r>
        <w:rPr>
          <w:rFonts w:hint="eastAsia"/>
        </w:rPr>
        <w:br/>
        <w:t>（2）投资者赎回基金份额时，按本金支付，赎回基金份额当期对应的收益，于当期月度分红日支付。</w:t>
      </w:r>
      <w:r>
        <w:rPr>
          <w:rFonts w:hint="eastAsia"/>
        </w:rPr>
        <w:br/>
        <w:t>（3）投资者解约情形下，按照当期收益分配期间收益率与解约日银行活期存款利率孰低的原则计付收益。</w:t>
      </w:r>
      <w:r>
        <w:rPr>
          <w:rFonts w:hint="eastAsia"/>
        </w:rPr>
        <w:br/>
        <w:t>（4）在符合有关分红条件和收益分配原则的前提下，本基金收益每月支付一次。原则上收益支付基准日为每月20日的下一个工作日，具体时间由管理人决定。</w:t>
      </w:r>
      <w:r>
        <w:rPr>
          <w:rFonts w:hint="eastAsia"/>
        </w:rPr>
        <w:br/>
        <w:t>（5）本基金采用计算暂估收益率的方法对基金进行估值，每万份基金暂估净收益和7日年化暂估收益率与分红日实际每万份基金净收益和7日年化收益率可能存在差异。</w:t>
      </w:r>
    </w:p>
    <w:p w:rsidR="00394C4F" w:rsidRDefault="00394C4F">
      <w:pPr>
        <w:widowControl/>
        <w:jc w:val="left"/>
        <w:rPr>
          <w:rFonts w:ascii="宋体" w:eastAsia="宋体" w:hAnsi="宋体" w:cs="宋体" w:hint="eastAsia"/>
          <w:kern w:val="0"/>
          <w:sz w:val="24"/>
          <w:szCs w:val="24"/>
        </w:rPr>
      </w:pPr>
    </w:p>
    <w:p w:rsidR="00394C4F" w:rsidRDefault="00394C4F">
      <w:pPr>
        <w:pStyle w:val="dazhangjie"/>
        <w:rPr>
          <w:rFonts w:hint="eastAsia"/>
        </w:rPr>
      </w:pPr>
      <w:r>
        <w:rPr>
          <w:rFonts w:hint="eastAsia"/>
          <w:b/>
          <w:bCs/>
        </w:rPr>
        <w:t>3、其他需要提示的事项</w:t>
      </w:r>
    </w:p>
    <w:p w:rsidR="00394C4F" w:rsidRDefault="00394C4F">
      <w:pPr>
        <w:pStyle w:val="neirong"/>
        <w:rPr>
          <w:rFonts w:hint="eastAsia"/>
        </w:rPr>
      </w:pPr>
      <w:r>
        <w:rPr>
          <w:rFonts w:hint="eastAsia"/>
        </w:rPr>
        <w:t>  (1) 本基金收益支付方式分两种：现金分红与红利再投资，投资者可选择现金红利或将现金红利自动转为基金份额进行再投资；若投资者不选择，本基金默认的收益支付方式是红利再投资；但投资者解约赎回份额时，其累计未结转收益以现金方式进行支付。</w:t>
      </w:r>
      <w:r>
        <w:rPr>
          <w:rFonts w:hint="eastAsia"/>
        </w:rPr>
        <w:br/>
        <w:t>  (2) 请投资者到销售机构或通过本公司确认收益支付方式是否正确，如需修改收益支付方式的，可在本基金开放日的交易时间内通过本基金销售机构修改收益支付方式，如修改业务不成功的，也将按默认收益支付方式进行分配；分配方式以注册登记机构确认结果为准。</w:t>
      </w:r>
      <w:r>
        <w:rPr>
          <w:rFonts w:hint="eastAsia"/>
        </w:rPr>
        <w:br/>
        <w:t>  (3) 如有疑问，投资者,可以登录本基金管理人网站（https://www.fadfunds.com）或拨打客服电话（400-630-6999）咨询相关事宜。</w:t>
      </w:r>
      <w:r>
        <w:rPr>
          <w:rFonts w:hint="eastAsia"/>
        </w:rPr>
        <w:br/>
        <w:t>    </w:t>
      </w:r>
      <w:r>
        <w:rPr>
          <w:rFonts w:hint="eastAsia"/>
        </w:rPr>
        <w:br/>
        <w:t>  风险提示：本基金管理人承诺以诚实信用、勤勉尽责的原则管理和运用基金财产，但不保证基金一定盈利，也不保证最低收益。投资者购买本基金并不等于将资金作为存款存放在银行或存款类金融机构，基金份额亦不等于投资者交易结算资金。本基金公布的每万份基金暂估净收益和7日年化暂估收益率，不作为对投资者进行收益分配的依据，与分红日实际每万份基金净收益和7日年化收益率可能存在差异。投资有风险，投资者在投资本基金之前，请仔细阅读本基金的招募说明书、基金合同、产品资料概要等信息披露文件，全面认识本基金的风险收益特征和产品特性，并充分考虑自身的风险承受能力，理性判断市场，自主判断基金的投资价值，自主做出投资决策，自行承担投资风险。</w:t>
      </w:r>
      <w:r>
        <w:rPr>
          <w:rFonts w:hint="eastAsia"/>
        </w:rPr>
        <w:br/>
        <w:t>  </w:t>
      </w:r>
      <w:r>
        <w:rPr>
          <w:rFonts w:hint="eastAsia"/>
        </w:rPr>
        <w:br/>
        <w:t>  特此公告。</w:t>
      </w:r>
    </w:p>
    <w:p w:rsidR="00394C4F" w:rsidRDefault="00394C4F">
      <w:pPr>
        <w:pStyle w:val="biaogeright"/>
        <w:rPr>
          <w:rFonts w:hint="eastAsia"/>
        </w:rPr>
      </w:pPr>
      <w:r w:rsidRPr="00C91E76">
        <w:rPr>
          <w:rFonts w:hAnsi="等线" w:hint="eastAsia"/>
          <w:color w:val="000000"/>
        </w:rPr>
        <w:t>富安达基金管理有限公司</w:t>
      </w:r>
    </w:p>
    <w:p w:rsidR="00394C4F" w:rsidRDefault="00394C4F">
      <w:pPr>
        <w:pStyle w:val="biaogeright"/>
        <w:rPr>
          <w:rFonts w:hint="eastAsia"/>
        </w:rPr>
      </w:pPr>
      <w:r w:rsidRPr="00C91E76">
        <w:rPr>
          <w:rFonts w:hAnsi="等线" w:hint="eastAsia"/>
          <w:color w:val="000000"/>
        </w:rPr>
        <w:t>2026年03月24日</w:t>
      </w:r>
    </w:p>
    <w:sectPr w:rsidR="00394C4F">
      <w:pgSz w:w="11926" w:h="16867"/>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4C4F" w:rsidRDefault="00394C4F" w:rsidP="00C91E76">
      <w:r>
        <w:separator/>
      </w:r>
    </w:p>
  </w:endnote>
  <w:endnote w:type="continuationSeparator" w:id="0">
    <w:p w:rsidR="00394C4F" w:rsidRDefault="00394C4F" w:rsidP="00C91E76">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4C4F" w:rsidRDefault="00394C4F" w:rsidP="00C91E76">
      <w:r>
        <w:separator/>
      </w:r>
    </w:p>
  </w:footnote>
  <w:footnote w:type="continuationSeparator" w:id="0">
    <w:p w:rsidR="00394C4F" w:rsidRDefault="00394C4F" w:rsidP="00C91E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1E76"/>
    <w:rsid w:val="0025428F"/>
    <w:rsid w:val="00394C4F"/>
    <w:rsid w:val="00C91E7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styleId="a3">
    <w:name w:val="header"/>
    <w:basedOn w:val="a"/>
    <w:link w:val="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semiHidden/>
    <w:rPr>
      <w:rFonts w:cs="Times New Roman"/>
      <w:sz w:val="18"/>
      <w:szCs w:val="18"/>
    </w:rPr>
  </w:style>
  <w:style w:type="paragraph" w:styleId="a5">
    <w:name w:val="footer"/>
    <w:basedOn w:val="a"/>
    <w:link w:val="10"/>
    <w:uiPriority w:val="99"/>
    <w:unhideWhenUsed/>
    <w:pPr>
      <w:tabs>
        <w:tab w:val="center" w:pos="4153"/>
        <w:tab w:val="right" w:pos="8306"/>
      </w:tabs>
      <w:snapToGrid w:val="0"/>
      <w:jc w:val="left"/>
    </w:pPr>
    <w:rPr>
      <w:sz w:val="18"/>
      <w:szCs w:val="18"/>
    </w:rPr>
  </w:style>
  <w:style w:type="character" w:customStyle="1" w:styleId="a6">
    <w:name w:val="页脚 字符"/>
    <w:link w:val="a5"/>
    <w:uiPriority w:val="99"/>
    <w:semiHidden/>
    <w:rPr>
      <w:rFonts w:cs="Times New Roman"/>
      <w:sz w:val="18"/>
      <w:szCs w:val="18"/>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eastAsia="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eastAsia="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eastAsia="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eastAsia="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eastAsia="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eastAsia="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eastAsia="宋体" w:hAnsi="宋体" w:cs="宋体"/>
      <w:kern w:val="0"/>
      <w:sz w:val="24"/>
      <w:szCs w:val="24"/>
    </w:rPr>
  </w:style>
  <w:style w:type="character" w:customStyle="1" w:styleId="1">
    <w:name w:val="页眉 字符1"/>
    <w:link w:val="a3"/>
    <w:uiPriority w:val="99"/>
    <w:locked/>
    <w:rPr>
      <w:rFonts w:ascii="Times New Roman" w:hAnsi="Times New Roman" w:cs="Times New Roman" w:hint="default"/>
      <w:sz w:val="18"/>
      <w:szCs w:val="18"/>
    </w:rPr>
  </w:style>
  <w:style w:type="character" w:customStyle="1" w:styleId="10">
    <w:name w:val="页脚 字符1"/>
    <w:link w:val="a5"/>
    <w:uiPriority w:val="99"/>
    <w:locked/>
    <w:rPr>
      <w:rFonts w:ascii="Times New Roman" w:hAnsi="Times New Roman" w:cs="Times New Roman" w:hint="default"/>
      <w:sz w:val="18"/>
      <w:szCs w:val="18"/>
    </w:rPr>
  </w:style>
</w:styles>
</file>

<file path=word/webSettings.xml><?xml version="1.0" encoding="utf-8"?>
<w:webSettings xmlns:r="http://schemas.openxmlformats.org/officeDocument/2006/relationships" xmlns:w="http://schemas.openxmlformats.org/wordprocessingml/2006/main">
  <w:divs>
    <w:div w:id="1339769463">
      <w:marLeft w:val="0"/>
      <w:marRight w:val="0"/>
      <w:marTop w:val="0"/>
      <w:marBottom w:val="0"/>
      <w:divBdr>
        <w:top w:val="none" w:sz="0" w:space="0" w:color="auto"/>
        <w:left w:val="none" w:sz="0" w:space="0" w:color="auto"/>
        <w:bottom w:val="none" w:sz="0" w:space="0" w:color="auto"/>
        <w:right w:val="none" w:sz="0" w:space="0" w:color="auto"/>
      </w:divBdr>
    </w:div>
    <w:div w:id="17486489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1424</Characters>
  <Application>Microsoft Office Word</Application>
  <DocSecurity>4</DocSecurity>
  <Lines>11</Lines>
  <Paragraphs>3</Paragraphs>
  <ScaleCrop>false</ScaleCrop>
  <Company/>
  <LinksUpToDate>false</LinksUpToDate>
  <CharactersWithSpaces>1670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Huan</dc:creator>
  <cp:keywords/>
  <dc:description/>
  <cp:lastModifiedBy>ZHONGM</cp:lastModifiedBy>
  <cp:revision>2</cp:revision>
  <dcterms:created xsi:type="dcterms:W3CDTF">2026-03-23T16:01:00Z</dcterms:created>
  <dcterms:modified xsi:type="dcterms:W3CDTF">2026-03-23T16:01:00Z</dcterms:modified>
</cp:coreProperties>
</file>