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C62" w:rsidRDefault="003210FF">
      <w:pPr>
        <w:widowControl/>
        <w:spacing w:before="100" w:beforeAutospacing="1" w:after="100" w:afterAutospacing="1" w:line="360" w:lineRule="auto"/>
        <w:jc w:val="center"/>
        <w:outlineLvl w:val="0"/>
        <w:rPr>
          <w:rFonts w:ascii="宋体" w:eastAsia="宋体" w:hAnsi="宋体" w:cs="宋体"/>
          <w:bCs/>
          <w:kern w:val="36"/>
          <w:sz w:val="32"/>
          <w:szCs w:val="36"/>
        </w:rPr>
      </w:pPr>
      <w:r>
        <w:rPr>
          <w:rFonts w:ascii="宋体" w:eastAsia="宋体" w:hAnsi="宋体" w:cs="宋体" w:hint="eastAsia"/>
          <w:bCs/>
          <w:kern w:val="36"/>
          <w:sz w:val="32"/>
          <w:szCs w:val="36"/>
        </w:rPr>
        <w:t>华泰柏瑞</w:t>
      </w:r>
      <w:r>
        <w:rPr>
          <w:rFonts w:ascii="宋体" w:eastAsia="宋体" w:hAnsi="宋体" w:cs="宋体"/>
          <w:bCs/>
          <w:kern w:val="36"/>
          <w:sz w:val="32"/>
          <w:szCs w:val="36"/>
        </w:rPr>
        <w:t>基金管理有限公司关于旗下部分基金开通同一基金不同类别基金份额相互转换业务的公告</w:t>
      </w:r>
    </w:p>
    <w:p w:rsidR="00BE6C62" w:rsidRDefault="00BE6C62">
      <w:pPr>
        <w:widowControl/>
        <w:spacing w:line="360" w:lineRule="auto"/>
        <w:ind w:firstLineChars="200" w:firstLine="480"/>
        <w:jc w:val="left"/>
        <w:rPr>
          <w:rFonts w:ascii="宋体" w:eastAsia="宋体" w:hAnsi="宋体" w:cs="宋体"/>
          <w:kern w:val="0"/>
          <w:sz w:val="24"/>
          <w:szCs w:val="24"/>
        </w:rPr>
      </w:pP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为了更好地服务客户，</w:t>
      </w:r>
      <w:r>
        <w:rPr>
          <w:rFonts w:ascii="宋体" w:eastAsia="宋体" w:hAnsi="宋体" w:cs="宋体" w:hint="eastAsia"/>
          <w:kern w:val="0"/>
          <w:sz w:val="24"/>
          <w:szCs w:val="24"/>
        </w:rPr>
        <w:t>华泰柏瑞</w:t>
      </w:r>
      <w:r>
        <w:rPr>
          <w:rFonts w:ascii="宋体" w:eastAsia="宋体" w:hAnsi="宋体" w:cs="宋体"/>
          <w:kern w:val="0"/>
          <w:sz w:val="24"/>
          <w:szCs w:val="24"/>
        </w:rPr>
        <w:t>基金管理有限公司（以下简称</w:t>
      </w:r>
      <w:r>
        <w:rPr>
          <w:rFonts w:ascii="宋体" w:eastAsia="宋体" w:hAnsi="宋体" w:cs="宋体"/>
          <w:kern w:val="0"/>
          <w:sz w:val="24"/>
          <w:szCs w:val="24"/>
        </w:rPr>
        <w:t>“</w:t>
      </w:r>
      <w:r>
        <w:rPr>
          <w:rFonts w:ascii="宋体" w:eastAsia="宋体" w:hAnsi="宋体" w:cs="宋体"/>
          <w:kern w:val="0"/>
          <w:sz w:val="24"/>
          <w:szCs w:val="24"/>
        </w:rPr>
        <w:t>本公司</w:t>
      </w:r>
      <w:r>
        <w:rPr>
          <w:rFonts w:ascii="宋体" w:eastAsia="宋体" w:hAnsi="宋体" w:cs="宋体"/>
          <w:kern w:val="0"/>
          <w:sz w:val="24"/>
          <w:szCs w:val="24"/>
        </w:rPr>
        <w:t>”</w:t>
      </w:r>
      <w:r>
        <w:rPr>
          <w:rFonts w:ascii="宋体" w:eastAsia="宋体" w:hAnsi="宋体" w:cs="宋体"/>
          <w:kern w:val="0"/>
          <w:sz w:val="24"/>
          <w:szCs w:val="24"/>
        </w:rPr>
        <w:t>）将从</w:t>
      </w:r>
      <w:r>
        <w:rPr>
          <w:rFonts w:ascii="宋体" w:eastAsia="宋体" w:hAnsi="宋体" w:cs="宋体"/>
          <w:kern w:val="0"/>
          <w:sz w:val="24"/>
          <w:szCs w:val="24"/>
        </w:rPr>
        <w:t>2026</w:t>
      </w:r>
      <w:r>
        <w:rPr>
          <w:rFonts w:ascii="宋体" w:eastAsia="宋体" w:hAnsi="宋体" w:cs="宋体"/>
          <w:kern w:val="0"/>
          <w:sz w:val="24"/>
          <w:szCs w:val="24"/>
        </w:rPr>
        <w:t>年</w:t>
      </w:r>
      <w:r>
        <w:rPr>
          <w:rFonts w:ascii="宋体" w:eastAsia="宋体" w:hAnsi="宋体" w:cs="宋体"/>
          <w:kern w:val="0"/>
          <w:sz w:val="24"/>
          <w:szCs w:val="24"/>
        </w:rPr>
        <w:t>3</w:t>
      </w:r>
      <w:r>
        <w:rPr>
          <w:rFonts w:ascii="宋体" w:eastAsia="宋体" w:hAnsi="宋体" w:cs="宋体"/>
          <w:kern w:val="0"/>
          <w:sz w:val="24"/>
          <w:szCs w:val="24"/>
        </w:rPr>
        <w:t>月</w:t>
      </w:r>
      <w:r>
        <w:rPr>
          <w:rFonts w:ascii="宋体" w:eastAsia="宋体" w:hAnsi="宋体" w:cs="宋体"/>
          <w:kern w:val="0"/>
          <w:sz w:val="24"/>
          <w:szCs w:val="24"/>
        </w:rPr>
        <w:t>20</w:t>
      </w:r>
      <w:r>
        <w:rPr>
          <w:rFonts w:ascii="宋体" w:eastAsia="宋体" w:hAnsi="宋体" w:cs="宋体"/>
          <w:kern w:val="0"/>
          <w:sz w:val="24"/>
          <w:szCs w:val="24"/>
        </w:rPr>
        <w:t>日起，对本公司旗下部分基金开通同一基金不同类别基金份额之间的转换业务，具体内容如下：</w:t>
      </w:r>
    </w:p>
    <w:p w:rsidR="00BE6C62" w:rsidRDefault="00BE6C62">
      <w:pPr>
        <w:widowControl/>
        <w:spacing w:line="360" w:lineRule="auto"/>
        <w:ind w:firstLineChars="200" w:firstLine="480"/>
        <w:rPr>
          <w:rFonts w:ascii="宋体" w:eastAsia="宋体" w:hAnsi="宋体" w:cs="宋体"/>
          <w:kern w:val="0"/>
          <w:sz w:val="24"/>
          <w:szCs w:val="24"/>
        </w:rPr>
      </w:pPr>
    </w:p>
    <w:p w:rsidR="00BE6C62" w:rsidRDefault="003210FF">
      <w:pPr>
        <w:widowControl/>
        <w:spacing w:line="360" w:lineRule="auto"/>
        <w:jc w:val="left"/>
        <w:outlineLvl w:val="1"/>
        <w:rPr>
          <w:rFonts w:ascii="宋体" w:eastAsia="宋体" w:hAnsi="宋体" w:cs="宋体"/>
          <w:b/>
          <w:bCs/>
          <w:kern w:val="0"/>
          <w:sz w:val="28"/>
          <w:szCs w:val="28"/>
        </w:rPr>
      </w:pPr>
      <w:r>
        <w:rPr>
          <w:rFonts w:ascii="宋体" w:eastAsia="宋体" w:hAnsi="宋体" w:cs="宋体"/>
          <w:b/>
          <w:bCs/>
          <w:kern w:val="0"/>
          <w:sz w:val="28"/>
          <w:szCs w:val="28"/>
        </w:rPr>
        <w:t>一、适用基金范围</w:t>
      </w:r>
    </w:p>
    <w:tbl>
      <w:tblPr>
        <w:tblW w:w="8359" w:type="dxa"/>
        <w:tblLayout w:type="fixed"/>
        <w:tblLook w:val="04A0"/>
      </w:tblPr>
      <w:tblGrid>
        <w:gridCol w:w="704"/>
        <w:gridCol w:w="5528"/>
        <w:gridCol w:w="2127"/>
      </w:tblGrid>
      <w:tr w:rsidR="00BE6C62">
        <w:trPr>
          <w:trHeight w:val="48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6C62" w:rsidRDefault="003210FF">
            <w:pPr>
              <w:widowControl/>
              <w:jc w:val="center"/>
              <w:rPr>
                <w:rFonts w:ascii="宋体" w:eastAsia="宋体" w:hAnsi="宋体" w:cs="宋体"/>
                <w:bCs/>
                <w:color w:val="000000" w:themeColor="text1"/>
                <w:kern w:val="0"/>
                <w:sz w:val="24"/>
                <w:szCs w:val="24"/>
              </w:rPr>
            </w:pPr>
            <w:bookmarkStart w:id="0" w:name="_Hlk224746515"/>
            <w:r>
              <w:rPr>
                <w:rFonts w:ascii="宋体" w:eastAsia="宋体" w:hAnsi="宋体" w:cs="宋体" w:hint="eastAsia"/>
                <w:bCs/>
                <w:color w:val="000000" w:themeColor="text1"/>
                <w:kern w:val="0"/>
                <w:sz w:val="24"/>
                <w:szCs w:val="24"/>
              </w:rPr>
              <w:t>序号</w:t>
            </w:r>
          </w:p>
        </w:tc>
        <w:tc>
          <w:tcPr>
            <w:tcW w:w="5528" w:type="dxa"/>
            <w:tcBorders>
              <w:top w:val="single" w:sz="4" w:space="0" w:color="auto"/>
              <w:left w:val="nil"/>
              <w:bottom w:val="single" w:sz="4" w:space="0" w:color="auto"/>
              <w:right w:val="single" w:sz="4" w:space="0" w:color="auto"/>
            </w:tcBorders>
            <w:shd w:val="clear" w:color="auto" w:fill="auto"/>
            <w:vAlign w:val="center"/>
          </w:tcPr>
          <w:p w:rsidR="00BE6C62" w:rsidRDefault="003210FF">
            <w:pPr>
              <w:widowControl/>
              <w:jc w:val="center"/>
              <w:rPr>
                <w:rFonts w:ascii="宋体" w:eastAsia="宋体" w:hAnsi="宋体" w:cs="宋体"/>
                <w:bCs/>
                <w:color w:val="000000" w:themeColor="text1"/>
                <w:kern w:val="0"/>
                <w:sz w:val="24"/>
                <w:szCs w:val="24"/>
              </w:rPr>
            </w:pPr>
            <w:r>
              <w:rPr>
                <w:rFonts w:ascii="宋体" w:eastAsia="宋体" w:hAnsi="宋体" w:cs="宋体" w:hint="eastAsia"/>
                <w:bCs/>
                <w:color w:val="000000" w:themeColor="text1"/>
                <w:kern w:val="0"/>
                <w:sz w:val="24"/>
                <w:szCs w:val="24"/>
              </w:rPr>
              <w:t>基金名称</w:t>
            </w:r>
          </w:p>
        </w:tc>
        <w:tc>
          <w:tcPr>
            <w:tcW w:w="2127" w:type="dxa"/>
            <w:tcBorders>
              <w:top w:val="single" w:sz="4" w:space="0" w:color="auto"/>
              <w:left w:val="nil"/>
              <w:bottom w:val="single" w:sz="4" w:space="0" w:color="auto"/>
              <w:right w:val="single" w:sz="4" w:space="0" w:color="auto"/>
            </w:tcBorders>
            <w:shd w:val="clear" w:color="auto" w:fill="auto"/>
            <w:vAlign w:val="center"/>
          </w:tcPr>
          <w:p w:rsidR="00BE6C62" w:rsidRDefault="003210FF">
            <w:pPr>
              <w:widowControl/>
              <w:jc w:val="center"/>
              <w:rPr>
                <w:rFonts w:ascii="宋体" w:eastAsia="宋体" w:hAnsi="宋体" w:cs="宋体"/>
                <w:bCs/>
                <w:color w:val="000000" w:themeColor="text1"/>
                <w:kern w:val="0"/>
                <w:sz w:val="24"/>
                <w:szCs w:val="24"/>
              </w:rPr>
            </w:pPr>
            <w:r>
              <w:rPr>
                <w:rFonts w:ascii="宋体" w:eastAsia="宋体" w:hAnsi="宋体" w:cs="宋体" w:hint="eastAsia"/>
                <w:bCs/>
                <w:color w:val="000000" w:themeColor="text1"/>
                <w:kern w:val="0"/>
                <w:sz w:val="24"/>
                <w:szCs w:val="24"/>
              </w:rPr>
              <w:t>基金代码</w:t>
            </w:r>
          </w:p>
        </w:tc>
      </w:tr>
      <w:tr w:rsidR="00BE6C62">
        <w:trPr>
          <w:trHeight w:val="375"/>
        </w:trPr>
        <w:tc>
          <w:tcPr>
            <w:tcW w:w="704" w:type="dxa"/>
            <w:vMerge w:val="restart"/>
            <w:tcBorders>
              <w:top w:val="nil"/>
              <w:left w:val="single" w:sz="4" w:space="0" w:color="auto"/>
              <w:bottom w:val="single" w:sz="4" w:space="0" w:color="000000"/>
              <w:right w:val="single" w:sz="4" w:space="0" w:color="auto"/>
            </w:tcBorders>
            <w:shd w:val="clear" w:color="auto" w:fill="auto"/>
            <w:vAlign w:val="center"/>
          </w:tcPr>
          <w:p w:rsidR="00BE6C62" w:rsidRDefault="003210F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5528" w:type="dxa"/>
            <w:vMerge w:val="restart"/>
            <w:tcBorders>
              <w:top w:val="nil"/>
              <w:left w:val="single" w:sz="4" w:space="0" w:color="auto"/>
              <w:bottom w:val="single" w:sz="4" w:space="0" w:color="000000"/>
              <w:right w:val="single" w:sz="4" w:space="0" w:color="auto"/>
            </w:tcBorders>
            <w:shd w:val="clear" w:color="auto" w:fill="auto"/>
            <w:vAlign w:val="center"/>
          </w:tcPr>
          <w:p w:rsidR="00BE6C62" w:rsidRDefault="003210F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华泰柏瑞致远混合型证券投资基金</w:t>
            </w:r>
          </w:p>
        </w:tc>
        <w:tc>
          <w:tcPr>
            <w:tcW w:w="2127" w:type="dxa"/>
            <w:tcBorders>
              <w:top w:val="nil"/>
              <w:left w:val="nil"/>
              <w:bottom w:val="single" w:sz="4" w:space="0" w:color="auto"/>
              <w:right w:val="single" w:sz="4" w:space="0" w:color="auto"/>
            </w:tcBorders>
            <w:shd w:val="clear" w:color="auto" w:fill="auto"/>
            <w:vAlign w:val="center"/>
          </w:tcPr>
          <w:p w:rsidR="00BE6C62" w:rsidRDefault="003210F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A</w:t>
            </w:r>
            <w:r>
              <w:rPr>
                <w:rFonts w:ascii="宋体" w:eastAsia="宋体" w:hAnsi="宋体" w:cs="宋体" w:hint="eastAsia"/>
                <w:color w:val="000000"/>
                <w:kern w:val="0"/>
                <w:sz w:val="24"/>
                <w:szCs w:val="24"/>
              </w:rPr>
              <w:t>类份额：</w:t>
            </w:r>
            <w:r>
              <w:rPr>
                <w:rFonts w:ascii="宋体" w:eastAsia="宋体" w:hAnsi="宋体" w:cs="宋体"/>
                <w:color w:val="000000"/>
                <w:kern w:val="0"/>
                <w:sz w:val="24"/>
                <w:szCs w:val="24"/>
              </w:rPr>
              <w:t>017991</w:t>
            </w:r>
          </w:p>
        </w:tc>
      </w:tr>
      <w:tr w:rsidR="00BE6C62">
        <w:trPr>
          <w:trHeight w:val="375"/>
        </w:trPr>
        <w:tc>
          <w:tcPr>
            <w:tcW w:w="704" w:type="dxa"/>
            <w:vMerge/>
            <w:tcBorders>
              <w:top w:val="nil"/>
              <w:left w:val="single" w:sz="4" w:space="0" w:color="auto"/>
              <w:bottom w:val="single" w:sz="4" w:space="0" w:color="000000"/>
              <w:right w:val="single" w:sz="4" w:space="0" w:color="auto"/>
            </w:tcBorders>
            <w:vAlign w:val="center"/>
          </w:tcPr>
          <w:p w:rsidR="00BE6C62" w:rsidRDefault="00BE6C62">
            <w:pPr>
              <w:widowControl/>
              <w:jc w:val="left"/>
              <w:rPr>
                <w:rFonts w:ascii="宋体" w:eastAsia="宋体" w:hAnsi="宋体" w:cs="宋体"/>
                <w:color w:val="000000"/>
                <w:kern w:val="0"/>
                <w:sz w:val="24"/>
                <w:szCs w:val="24"/>
              </w:rPr>
            </w:pPr>
          </w:p>
        </w:tc>
        <w:tc>
          <w:tcPr>
            <w:tcW w:w="5528" w:type="dxa"/>
            <w:vMerge/>
            <w:tcBorders>
              <w:top w:val="nil"/>
              <w:left w:val="single" w:sz="4" w:space="0" w:color="auto"/>
              <w:bottom w:val="single" w:sz="4" w:space="0" w:color="000000"/>
              <w:right w:val="single" w:sz="4" w:space="0" w:color="auto"/>
            </w:tcBorders>
            <w:vAlign w:val="center"/>
          </w:tcPr>
          <w:p w:rsidR="00BE6C62" w:rsidRDefault="00BE6C62">
            <w:pPr>
              <w:widowControl/>
              <w:jc w:val="left"/>
              <w:rPr>
                <w:rFonts w:ascii="宋体" w:eastAsia="宋体" w:hAnsi="宋体" w:cs="宋体"/>
                <w:color w:val="000000"/>
                <w:kern w:val="0"/>
                <w:sz w:val="24"/>
                <w:szCs w:val="24"/>
              </w:rPr>
            </w:pPr>
          </w:p>
        </w:tc>
        <w:tc>
          <w:tcPr>
            <w:tcW w:w="2127" w:type="dxa"/>
            <w:tcBorders>
              <w:top w:val="nil"/>
              <w:left w:val="nil"/>
              <w:bottom w:val="single" w:sz="4" w:space="0" w:color="auto"/>
              <w:right w:val="single" w:sz="4" w:space="0" w:color="auto"/>
            </w:tcBorders>
            <w:shd w:val="clear" w:color="auto" w:fill="auto"/>
            <w:vAlign w:val="center"/>
          </w:tcPr>
          <w:p w:rsidR="00BE6C62" w:rsidRDefault="003210F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C</w:t>
            </w:r>
            <w:r>
              <w:rPr>
                <w:rFonts w:ascii="宋体" w:eastAsia="宋体" w:hAnsi="宋体" w:cs="宋体" w:hint="eastAsia"/>
                <w:color w:val="000000"/>
                <w:kern w:val="0"/>
                <w:sz w:val="24"/>
                <w:szCs w:val="24"/>
              </w:rPr>
              <w:t>类份额：</w:t>
            </w:r>
            <w:r>
              <w:rPr>
                <w:rFonts w:ascii="宋体" w:eastAsia="宋体" w:hAnsi="宋体" w:cs="宋体"/>
                <w:color w:val="000000"/>
                <w:kern w:val="0"/>
                <w:sz w:val="24"/>
                <w:szCs w:val="24"/>
              </w:rPr>
              <w:t>017992</w:t>
            </w:r>
          </w:p>
        </w:tc>
      </w:tr>
      <w:tr w:rsidR="00BE6C62">
        <w:trPr>
          <w:trHeight w:val="375"/>
        </w:trPr>
        <w:tc>
          <w:tcPr>
            <w:tcW w:w="704" w:type="dxa"/>
            <w:vMerge w:val="restart"/>
            <w:tcBorders>
              <w:top w:val="nil"/>
              <w:left w:val="single" w:sz="4" w:space="0" w:color="auto"/>
              <w:bottom w:val="single" w:sz="4" w:space="0" w:color="000000"/>
              <w:right w:val="single" w:sz="4" w:space="0" w:color="auto"/>
            </w:tcBorders>
            <w:shd w:val="clear" w:color="auto" w:fill="auto"/>
            <w:vAlign w:val="center"/>
          </w:tcPr>
          <w:p w:rsidR="00BE6C62" w:rsidRDefault="003210F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5528" w:type="dxa"/>
            <w:vMerge w:val="restart"/>
            <w:tcBorders>
              <w:top w:val="nil"/>
              <w:left w:val="single" w:sz="4" w:space="0" w:color="auto"/>
              <w:bottom w:val="single" w:sz="4" w:space="0" w:color="000000"/>
              <w:right w:val="single" w:sz="4" w:space="0" w:color="auto"/>
            </w:tcBorders>
            <w:shd w:val="clear" w:color="auto" w:fill="auto"/>
            <w:vAlign w:val="center"/>
          </w:tcPr>
          <w:p w:rsidR="00BE6C62" w:rsidRDefault="003210F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华泰柏瑞量化增强混合型证券投资基金</w:t>
            </w:r>
          </w:p>
        </w:tc>
        <w:tc>
          <w:tcPr>
            <w:tcW w:w="2127" w:type="dxa"/>
            <w:tcBorders>
              <w:top w:val="nil"/>
              <w:left w:val="nil"/>
              <w:bottom w:val="single" w:sz="4" w:space="0" w:color="auto"/>
              <w:right w:val="single" w:sz="4" w:space="0" w:color="auto"/>
            </w:tcBorders>
            <w:shd w:val="clear" w:color="auto" w:fill="auto"/>
            <w:vAlign w:val="center"/>
          </w:tcPr>
          <w:p w:rsidR="00BE6C62" w:rsidRDefault="003210F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A</w:t>
            </w:r>
            <w:r>
              <w:rPr>
                <w:rFonts w:ascii="宋体" w:eastAsia="宋体" w:hAnsi="宋体" w:cs="宋体" w:hint="eastAsia"/>
                <w:color w:val="000000"/>
                <w:kern w:val="0"/>
                <w:sz w:val="24"/>
                <w:szCs w:val="24"/>
              </w:rPr>
              <w:t>类份额：</w:t>
            </w:r>
            <w:r>
              <w:rPr>
                <w:rFonts w:ascii="宋体" w:eastAsia="宋体" w:hAnsi="宋体" w:cs="宋体"/>
                <w:color w:val="000000"/>
                <w:kern w:val="0"/>
                <w:sz w:val="24"/>
                <w:szCs w:val="24"/>
              </w:rPr>
              <w:t>000172</w:t>
            </w:r>
          </w:p>
        </w:tc>
      </w:tr>
      <w:tr w:rsidR="00BE6C62">
        <w:trPr>
          <w:trHeight w:val="375"/>
        </w:trPr>
        <w:tc>
          <w:tcPr>
            <w:tcW w:w="704" w:type="dxa"/>
            <w:vMerge/>
            <w:tcBorders>
              <w:top w:val="nil"/>
              <w:left w:val="single" w:sz="4" w:space="0" w:color="auto"/>
              <w:bottom w:val="single" w:sz="4" w:space="0" w:color="000000"/>
              <w:right w:val="single" w:sz="4" w:space="0" w:color="auto"/>
            </w:tcBorders>
            <w:vAlign w:val="center"/>
          </w:tcPr>
          <w:p w:rsidR="00BE6C62" w:rsidRDefault="00BE6C62">
            <w:pPr>
              <w:widowControl/>
              <w:jc w:val="left"/>
              <w:rPr>
                <w:rFonts w:ascii="宋体" w:eastAsia="宋体" w:hAnsi="宋体" w:cs="宋体"/>
                <w:color w:val="000000"/>
                <w:kern w:val="0"/>
                <w:sz w:val="24"/>
                <w:szCs w:val="24"/>
              </w:rPr>
            </w:pPr>
          </w:p>
        </w:tc>
        <w:tc>
          <w:tcPr>
            <w:tcW w:w="5528" w:type="dxa"/>
            <w:vMerge/>
            <w:tcBorders>
              <w:top w:val="nil"/>
              <w:left w:val="single" w:sz="4" w:space="0" w:color="auto"/>
              <w:bottom w:val="single" w:sz="4" w:space="0" w:color="000000"/>
              <w:right w:val="single" w:sz="4" w:space="0" w:color="auto"/>
            </w:tcBorders>
            <w:vAlign w:val="center"/>
          </w:tcPr>
          <w:p w:rsidR="00BE6C62" w:rsidRDefault="00BE6C62">
            <w:pPr>
              <w:widowControl/>
              <w:jc w:val="left"/>
              <w:rPr>
                <w:rFonts w:ascii="宋体" w:eastAsia="宋体" w:hAnsi="宋体" w:cs="宋体"/>
                <w:color w:val="000000"/>
                <w:kern w:val="0"/>
                <w:sz w:val="24"/>
                <w:szCs w:val="24"/>
              </w:rPr>
            </w:pPr>
          </w:p>
        </w:tc>
        <w:tc>
          <w:tcPr>
            <w:tcW w:w="2127" w:type="dxa"/>
            <w:tcBorders>
              <w:top w:val="nil"/>
              <w:left w:val="nil"/>
              <w:bottom w:val="single" w:sz="4" w:space="0" w:color="auto"/>
              <w:right w:val="single" w:sz="4" w:space="0" w:color="auto"/>
            </w:tcBorders>
            <w:shd w:val="clear" w:color="auto" w:fill="auto"/>
            <w:vAlign w:val="center"/>
          </w:tcPr>
          <w:p w:rsidR="00BE6C62" w:rsidRDefault="003210F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C</w:t>
            </w:r>
            <w:r>
              <w:rPr>
                <w:rFonts w:ascii="宋体" w:eastAsia="宋体" w:hAnsi="宋体" w:cs="宋体" w:hint="eastAsia"/>
                <w:color w:val="000000"/>
                <w:kern w:val="0"/>
                <w:sz w:val="24"/>
                <w:szCs w:val="24"/>
              </w:rPr>
              <w:t>类份额：</w:t>
            </w:r>
            <w:r>
              <w:rPr>
                <w:rFonts w:ascii="宋体" w:eastAsia="宋体" w:hAnsi="宋体" w:cs="宋体"/>
                <w:color w:val="000000"/>
                <w:kern w:val="0"/>
                <w:sz w:val="24"/>
                <w:szCs w:val="24"/>
              </w:rPr>
              <w:t>010234</w:t>
            </w:r>
          </w:p>
        </w:tc>
      </w:tr>
      <w:tr w:rsidR="00BE6C62">
        <w:trPr>
          <w:trHeight w:val="375"/>
        </w:trPr>
        <w:tc>
          <w:tcPr>
            <w:tcW w:w="704" w:type="dxa"/>
            <w:vMerge w:val="restart"/>
            <w:tcBorders>
              <w:top w:val="nil"/>
              <w:left w:val="single" w:sz="4" w:space="0" w:color="auto"/>
              <w:bottom w:val="single" w:sz="4" w:space="0" w:color="000000"/>
              <w:right w:val="single" w:sz="4" w:space="0" w:color="auto"/>
            </w:tcBorders>
            <w:shd w:val="clear" w:color="auto" w:fill="auto"/>
            <w:vAlign w:val="center"/>
          </w:tcPr>
          <w:p w:rsidR="00BE6C62" w:rsidRDefault="003210F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5528" w:type="dxa"/>
            <w:vMerge w:val="restart"/>
            <w:tcBorders>
              <w:top w:val="nil"/>
              <w:left w:val="single" w:sz="4" w:space="0" w:color="auto"/>
              <w:bottom w:val="single" w:sz="4" w:space="0" w:color="000000"/>
              <w:right w:val="single" w:sz="4" w:space="0" w:color="auto"/>
            </w:tcBorders>
            <w:shd w:val="clear" w:color="auto" w:fill="auto"/>
            <w:vAlign w:val="center"/>
          </w:tcPr>
          <w:p w:rsidR="00BE6C62" w:rsidRDefault="003210F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华泰柏瑞低碳经济智选混合型证券投资基金</w:t>
            </w:r>
          </w:p>
        </w:tc>
        <w:tc>
          <w:tcPr>
            <w:tcW w:w="2127" w:type="dxa"/>
            <w:tcBorders>
              <w:top w:val="nil"/>
              <w:left w:val="nil"/>
              <w:bottom w:val="single" w:sz="4" w:space="0" w:color="auto"/>
              <w:right w:val="single" w:sz="4" w:space="0" w:color="auto"/>
            </w:tcBorders>
            <w:shd w:val="clear" w:color="auto" w:fill="auto"/>
            <w:vAlign w:val="center"/>
          </w:tcPr>
          <w:p w:rsidR="00BE6C62" w:rsidRDefault="003210F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A</w:t>
            </w:r>
            <w:r>
              <w:rPr>
                <w:rFonts w:ascii="宋体" w:eastAsia="宋体" w:hAnsi="宋体" w:cs="宋体" w:hint="eastAsia"/>
                <w:color w:val="000000"/>
                <w:kern w:val="0"/>
                <w:sz w:val="24"/>
                <w:szCs w:val="24"/>
              </w:rPr>
              <w:t>类份额：</w:t>
            </w:r>
            <w:r>
              <w:rPr>
                <w:rFonts w:ascii="宋体" w:eastAsia="宋体" w:hAnsi="宋体" w:cs="宋体"/>
                <w:color w:val="000000"/>
                <w:kern w:val="0"/>
                <w:sz w:val="24"/>
                <w:szCs w:val="24"/>
              </w:rPr>
              <w:t>015100</w:t>
            </w:r>
          </w:p>
        </w:tc>
      </w:tr>
      <w:tr w:rsidR="00BE6C62">
        <w:trPr>
          <w:trHeight w:val="375"/>
        </w:trPr>
        <w:tc>
          <w:tcPr>
            <w:tcW w:w="704" w:type="dxa"/>
            <w:vMerge/>
            <w:tcBorders>
              <w:top w:val="nil"/>
              <w:left w:val="single" w:sz="4" w:space="0" w:color="auto"/>
              <w:bottom w:val="single" w:sz="4" w:space="0" w:color="000000"/>
              <w:right w:val="single" w:sz="4" w:space="0" w:color="auto"/>
            </w:tcBorders>
            <w:vAlign w:val="center"/>
          </w:tcPr>
          <w:p w:rsidR="00BE6C62" w:rsidRDefault="00BE6C62">
            <w:pPr>
              <w:widowControl/>
              <w:jc w:val="left"/>
              <w:rPr>
                <w:rFonts w:ascii="宋体" w:eastAsia="宋体" w:hAnsi="宋体" w:cs="宋体"/>
                <w:color w:val="000000"/>
                <w:kern w:val="0"/>
                <w:sz w:val="24"/>
                <w:szCs w:val="24"/>
              </w:rPr>
            </w:pPr>
          </w:p>
        </w:tc>
        <w:tc>
          <w:tcPr>
            <w:tcW w:w="5528" w:type="dxa"/>
            <w:vMerge/>
            <w:tcBorders>
              <w:top w:val="nil"/>
              <w:left w:val="single" w:sz="4" w:space="0" w:color="auto"/>
              <w:bottom w:val="single" w:sz="4" w:space="0" w:color="000000"/>
              <w:right w:val="single" w:sz="4" w:space="0" w:color="auto"/>
            </w:tcBorders>
            <w:vAlign w:val="center"/>
          </w:tcPr>
          <w:p w:rsidR="00BE6C62" w:rsidRDefault="00BE6C62">
            <w:pPr>
              <w:widowControl/>
              <w:jc w:val="left"/>
              <w:rPr>
                <w:rFonts w:ascii="宋体" w:eastAsia="宋体" w:hAnsi="宋体" w:cs="宋体"/>
                <w:color w:val="000000"/>
                <w:kern w:val="0"/>
                <w:sz w:val="24"/>
                <w:szCs w:val="24"/>
              </w:rPr>
            </w:pPr>
          </w:p>
        </w:tc>
        <w:tc>
          <w:tcPr>
            <w:tcW w:w="2127" w:type="dxa"/>
            <w:tcBorders>
              <w:top w:val="nil"/>
              <w:left w:val="nil"/>
              <w:bottom w:val="single" w:sz="4" w:space="0" w:color="auto"/>
              <w:right w:val="single" w:sz="4" w:space="0" w:color="auto"/>
            </w:tcBorders>
            <w:shd w:val="clear" w:color="auto" w:fill="auto"/>
            <w:vAlign w:val="center"/>
          </w:tcPr>
          <w:p w:rsidR="00BE6C62" w:rsidRDefault="003210F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C</w:t>
            </w:r>
            <w:r>
              <w:rPr>
                <w:rFonts w:ascii="宋体" w:eastAsia="宋体" w:hAnsi="宋体" w:cs="宋体" w:hint="eastAsia"/>
                <w:color w:val="000000"/>
                <w:kern w:val="0"/>
                <w:sz w:val="24"/>
                <w:szCs w:val="24"/>
              </w:rPr>
              <w:t>类份额：</w:t>
            </w:r>
            <w:r>
              <w:rPr>
                <w:rFonts w:ascii="宋体" w:eastAsia="宋体" w:hAnsi="宋体" w:cs="宋体"/>
                <w:color w:val="000000"/>
                <w:kern w:val="0"/>
                <w:sz w:val="24"/>
                <w:szCs w:val="24"/>
              </w:rPr>
              <w:t>015101</w:t>
            </w:r>
          </w:p>
        </w:tc>
      </w:tr>
    </w:tbl>
    <w:bookmarkEnd w:id="0"/>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本公司募集管理的其他基金将根据具体情况确定是否适用不同类别基金份额之间的转换业务，具体情况以相关公告为准。</w:t>
      </w:r>
    </w:p>
    <w:p w:rsidR="00BE6C62" w:rsidRDefault="00BE6C62">
      <w:pPr>
        <w:widowControl/>
        <w:spacing w:line="360" w:lineRule="auto"/>
        <w:ind w:firstLineChars="200" w:firstLine="480"/>
        <w:rPr>
          <w:rFonts w:ascii="宋体" w:eastAsia="宋体" w:hAnsi="宋体" w:cs="宋体"/>
          <w:kern w:val="0"/>
          <w:sz w:val="24"/>
          <w:szCs w:val="24"/>
        </w:rPr>
      </w:pPr>
    </w:p>
    <w:p w:rsidR="00BE6C62" w:rsidRDefault="003210FF">
      <w:pPr>
        <w:widowControl/>
        <w:spacing w:line="360" w:lineRule="auto"/>
        <w:jc w:val="left"/>
        <w:outlineLvl w:val="1"/>
        <w:rPr>
          <w:rFonts w:ascii="宋体" w:eastAsia="宋体" w:hAnsi="宋体" w:cs="宋体"/>
          <w:b/>
          <w:bCs/>
          <w:kern w:val="0"/>
          <w:sz w:val="28"/>
          <w:szCs w:val="28"/>
        </w:rPr>
      </w:pPr>
      <w:r>
        <w:rPr>
          <w:rFonts w:ascii="宋体" w:eastAsia="宋体" w:hAnsi="宋体" w:cs="宋体"/>
          <w:b/>
          <w:bCs/>
          <w:kern w:val="0"/>
          <w:sz w:val="28"/>
          <w:szCs w:val="28"/>
        </w:rPr>
        <w:t>二、转换业务适用范围</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不同类别基金份额之间的转换业务（以下简称</w:t>
      </w:r>
      <w:r>
        <w:rPr>
          <w:rFonts w:ascii="宋体" w:eastAsia="宋体" w:hAnsi="宋体" w:cs="宋体"/>
          <w:kern w:val="0"/>
          <w:sz w:val="24"/>
          <w:szCs w:val="24"/>
        </w:rPr>
        <w:t>“</w:t>
      </w:r>
      <w:r>
        <w:rPr>
          <w:rFonts w:ascii="宋体" w:eastAsia="宋体" w:hAnsi="宋体" w:cs="宋体"/>
          <w:kern w:val="0"/>
          <w:sz w:val="24"/>
          <w:szCs w:val="24"/>
        </w:rPr>
        <w:t>本业务</w:t>
      </w:r>
      <w:r>
        <w:rPr>
          <w:rFonts w:ascii="宋体" w:eastAsia="宋体" w:hAnsi="宋体" w:cs="宋体"/>
          <w:kern w:val="0"/>
          <w:sz w:val="24"/>
          <w:szCs w:val="24"/>
        </w:rPr>
        <w:t>”</w:t>
      </w:r>
      <w:r>
        <w:rPr>
          <w:rFonts w:ascii="宋体" w:eastAsia="宋体" w:hAnsi="宋体" w:cs="宋体"/>
          <w:kern w:val="0"/>
          <w:sz w:val="24"/>
          <w:szCs w:val="24"/>
        </w:rPr>
        <w:t>）是指：若投资者持有的某只基金产品具有两种或两种以上份额类别（基金代码不同），投资者可以将其持有的某一类前收费份额转换成同只基金登记在同一注册登记机构下的另一类前收费份额，转换规则遵从注册登记机构业务规则。</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由于各销售机构的系统差异以及业务安排等原因，开展同一基金不同类别基金份额之间转换业务的时间及其他未尽事宜详见各销售机构的相关业务规则和公告。同一基金不同类别份额间的转换业务只能在同时代理销售该基金多种类别基金份额的同一销售机构进行。</w:t>
      </w:r>
    </w:p>
    <w:p w:rsidR="00BE6C62" w:rsidRDefault="00BE6C62">
      <w:pPr>
        <w:widowControl/>
        <w:spacing w:line="360" w:lineRule="auto"/>
        <w:ind w:firstLineChars="200" w:firstLine="480"/>
        <w:rPr>
          <w:rFonts w:ascii="宋体" w:eastAsia="宋体" w:hAnsi="宋体" w:cs="宋体"/>
          <w:kern w:val="0"/>
          <w:sz w:val="24"/>
          <w:szCs w:val="24"/>
        </w:rPr>
      </w:pPr>
    </w:p>
    <w:p w:rsidR="00BE6C62" w:rsidRDefault="003210FF">
      <w:pPr>
        <w:widowControl/>
        <w:spacing w:line="360" w:lineRule="auto"/>
        <w:jc w:val="left"/>
        <w:outlineLvl w:val="1"/>
        <w:rPr>
          <w:rFonts w:ascii="宋体" w:eastAsia="宋体" w:hAnsi="宋体" w:cs="宋体"/>
          <w:b/>
          <w:bCs/>
          <w:kern w:val="0"/>
          <w:sz w:val="28"/>
          <w:szCs w:val="28"/>
        </w:rPr>
      </w:pPr>
      <w:r>
        <w:rPr>
          <w:rFonts w:ascii="宋体" w:eastAsia="宋体" w:hAnsi="宋体" w:cs="宋体"/>
          <w:b/>
          <w:bCs/>
          <w:kern w:val="0"/>
          <w:sz w:val="28"/>
          <w:szCs w:val="28"/>
        </w:rPr>
        <w:lastRenderedPageBreak/>
        <w:t>三、转换费率</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办理不同类别基金份额之间的转换业务时，转换费用＝转出基金赎回费＋转入金额所对应分段的申购费补差。其中：</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转出金额</w:t>
      </w:r>
      <w:r>
        <w:rPr>
          <w:rFonts w:ascii="宋体" w:eastAsia="宋体" w:hAnsi="宋体" w:cs="宋体"/>
          <w:kern w:val="0"/>
          <w:sz w:val="24"/>
          <w:szCs w:val="24"/>
        </w:rPr>
        <w:t>=</w:t>
      </w:r>
      <w:r>
        <w:rPr>
          <w:rFonts w:ascii="宋体" w:eastAsia="宋体" w:hAnsi="宋体" w:cs="宋体"/>
          <w:kern w:val="0"/>
          <w:sz w:val="24"/>
          <w:szCs w:val="24"/>
        </w:rPr>
        <w:t>转出基金份额</w:t>
      </w:r>
      <w:r>
        <w:rPr>
          <w:rFonts w:ascii="宋体" w:eastAsia="宋体" w:hAnsi="宋体" w:cs="宋体"/>
          <w:kern w:val="0"/>
          <w:sz w:val="24"/>
          <w:szCs w:val="24"/>
        </w:rPr>
        <w:t>×</w:t>
      </w:r>
      <w:r>
        <w:rPr>
          <w:rFonts w:ascii="宋体" w:eastAsia="宋体" w:hAnsi="宋体" w:cs="宋体"/>
          <w:kern w:val="0"/>
          <w:sz w:val="24"/>
          <w:szCs w:val="24"/>
        </w:rPr>
        <w:t>转出基金</w:t>
      </w:r>
      <w:r>
        <w:rPr>
          <w:rFonts w:ascii="宋体" w:eastAsia="宋体" w:hAnsi="宋体" w:cs="宋体"/>
          <w:kern w:val="0"/>
          <w:sz w:val="24"/>
          <w:szCs w:val="24"/>
        </w:rPr>
        <w:t>T</w:t>
      </w:r>
      <w:r>
        <w:rPr>
          <w:rFonts w:ascii="宋体" w:eastAsia="宋体" w:hAnsi="宋体" w:cs="宋体"/>
          <w:kern w:val="0"/>
          <w:sz w:val="24"/>
          <w:szCs w:val="24"/>
        </w:rPr>
        <w:t>日基金份额净值</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转出基金赎回费用</w:t>
      </w:r>
      <w:r>
        <w:rPr>
          <w:rFonts w:ascii="宋体" w:eastAsia="宋体" w:hAnsi="宋体" w:cs="宋体"/>
          <w:kern w:val="0"/>
          <w:sz w:val="24"/>
          <w:szCs w:val="24"/>
        </w:rPr>
        <w:t>=</w:t>
      </w:r>
      <w:r>
        <w:rPr>
          <w:rFonts w:ascii="宋体" w:eastAsia="宋体" w:hAnsi="宋体" w:cs="宋体"/>
          <w:kern w:val="0"/>
          <w:sz w:val="24"/>
          <w:szCs w:val="24"/>
        </w:rPr>
        <w:t>转出金额</w:t>
      </w:r>
      <w:r>
        <w:rPr>
          <w:rFonts w:ascii="宋体" w:eastAsia="宋体" w:hAnsi="宋体" w:cs="宋体"/>
          <w:kern w:val="0"/>
          <w:sz w:val="24"/>
          <w:szCs w:val="24"/>
        </w:rPr>
        <w:t>×</w:t>
      </w:r>
      <w:r>
        <w:rPr>
          <w:rFonts w:ascii="宋体" w:eastAsia="宋体" w:hAnsi="宋体" w:cs="宋体"/>
          <w:kern w:val="0"/>
          <w:sz w:val="24"/>
          <w:szCs w:val="24"/>
        </w:rPr>
        <w:t>转出基金赎回费率</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转入金额</w:t>
      </w:r>
      <w:r>
        <w:rPr>
          <w:rFonts w:ascii="宋体" w:eastAsia="宋体" w:hAnsi="宋体" w:cs="宋体"/>
          <w:kern w:val="0"/>
          <w:sz w:val="24"/>
          <w:szCs w:val="24"/>
        </w:rPr>
        <w:t>=</w:t>
      </w:r>
      <w:r>
        <w:rPr>
          <w:rFonts w:ascii="宋体" w:eastAsia="宋体" w:hAnsi="宋体" w:cs="宋体"/>
          <w:kern w:val="0"/>
          <w:sz w:val="24"/>
          <w:szCs w:val="24"/>
        </w:rPr>
        <w:t>转出金额</w:t>
      </w:r>
      <w:r>
        <w:rPr>
          <w:rFonts w:ascii="宋体" w:eastAsia="宋体" w:hAnsi="宋体" w:cs="宋体"/>
          <w:kern w:val="0"/>
          <w:sz w:val="24"/>
          <w:szCs w:val="24"/>
        </w:rPr>
        <w:t>-</w:t>
      </w:r>
      <w:r>
        <w:rPr>
          <w:rFonts w:ascii="宋体" w:eastAsia="宋体" w:hAnsi="宋体" w:cs="宋体"/>
          <w:kern w:val="0"/>
          <w:sz w:val="24"/>
          <w:szCs w:val="24"/>
        </w:rPr>
        <w:t>转出基金赎回费用</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补差费用</w:t>
      </w:r>
      <w:r>
        <w:rPr>
          <w:rFonts w:ascii="宋体" w:eastAsia="宋体" w:hAnsi="宋体" w:cs="宋体"/>
          <w:kern w:val="0"/>
          <w:sz w:val="24"/>
          <w:szCs w:val="24"/>
        </w:rPr>
        <w:t>=</w:t>
      </w:r>
      <w:r>
        <w:rPr>
          <w:rFonts w:ascii="宋体" w:eastAsia="宋体" w:hAnsi="宋体" w:cs="宋体"/>
          <w:kern w:val="0"/>
          <w:sz w:val="24"/>
          <w:szCs w:val="24"/>
        </w:rPr>
        <w:t>转入基金申购费</w:t>
      </w:r>
      <w:r>
        <w:rPr>
          <w:rFonts w:ascii="宋体" w:eastAsia="宋体" w:hAnsi="宋体" w:cs="宋体"/>
          <w:kern w:val="0"/>
          <w:sz w:val="24"/>
          <w:szCs w:val="24"/>
        </w:rPr>
        <w:t>-</w:t>
      </w:r>
      <w:r>
        <w:rPr>
          <w:rFonts w:ascii="宋体" w:eastAsia="宋体" w:hAnsi="宋体" w:cs="宋体"/>
          <w:kern w:val="0"/>
          <w:sz w:val="24"/>
          <w:szCs w:val="24"/>
        </w:rPr>
        <w:t>转出基金申购费</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如计算所得补差费用小于</w:t>
      </w:r>
      <w:r>
        <w:rPr>
          <w:rFonts w:ascii="宋体" w:eastAsia="宋体" w:hAnsi="宋体" w:cs="宋体"/>
          <w:kern w:val="0"/>
          <w:sz w:val="24"/>
          <w:szCs w:val="24"/>
        </w:rPr>
        <w:t>0</w:t>
      </w:r>
      <w:r>
        <w:rPr>
          <w:rFonts w:ascii="宋体" w:eastAsia="宋体" w:hAnsi="宋体" w:cs="宋体"/>
          <w:kern w:val="0"/>
          <w:sz w:val="24"/>
          <w:szCs w:val="24"/>
        </w:rPr>
        <w:t>，则补差费用为</w:t>
      </w:r>
      <w:r>
        <w:rPr>
          <w:rFonts w:ascii="宋体" w:eastAsia="宋体" w:hAnsi="宋体" w:cs="宋体"/>
          <w:kern w:val="0"/>
          <w:sz w:val="24"/>
          <w:szCs w:val="24"/>
        </w:rPr>
        <w:t>0</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转入基金申购费</w:t>
      </w:r>
      <w:r>
        <w:rPr>
          <w:rFonts w:ascii="宋体" w:eastAsia="宋体" w:hAnsi="宋体" w:cs="宋体"/>
          <w:kern w:val="0"/>
          <w:sz w:val="24"/>
          <w:szCs w:val="24"/>
        </w:rPr>
        <w:t>=</w:t>
      </w:r>
      <w:r>
        <w:rPr>
          <w:rFonts w:ascii="宋体" w:eastAsia="宋体" w:hAnsi="宋体" w:cs="宋体"/>
          <w:kern w:val="0"/>
          <w:sz w:val="24"/>
          <w:szCs w:val="24"/>
        </w:rPr>
        <w:t>转入金额</w:t>
      </w:r>
      <w:r>
        <w:rPr>
          <w:rFonts w:ascii="宋体" w:eastAsia="宋体" w:hAnsi="宋体" w:cs="宋体"/>
          <w:kern w:val="0"/>
          <w:sz w:val="24"/>
          <w:szCs w:val="24"/>
        </w:rPr>
        <w:t>/(1+</w:t>
      </w:r>
      <w:r>
        <w:rPr>
          <w:rFonts w:ascii="宋体" w:eastAsia="宋体" w:hAnsi="宋体" w:cs="宋体"/>
          <w:kern w:val="0"/>
          <w:sz w:val="24"/>
          <w:szCs w:val="24"/>
        </w:rPr>
        <w:t>转入基金申购费率</w:t>
      </w:r>
      <w:r>
        <w:rPr>
          <w:rFonts w:ascii="宋体" w:eastAsia="宋体" w:hAnsi="宋体" w:cs="宋体"/>
          <w:kern w:val="0"/>
          <w:sz w:val="24"/>
          <w:szCs w:val="24"/>
        </w:rPr>
        <w:t>)×</w:t>
      </w:r>
      <w:r>
        <w:rPr>
          <w:rFonts w:ascii="宋体" w:eastAsia="宋体" w:hAnsi="宋体" w:cs="宋体"/>
          <w:kern w:val="0"/>
          <w:sz w:val="24"/>
          <w:szCs w:val="24"/>
        </w:rPr>
        <w:t>转入基金申购费率</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如果转入基金申购费适用固定费用时，则转入基金申购费</w:t>
      </w:r>
      <w:r>
        <w:rPr>
          <w:rFonts w:ascii="宋体" w:eastAsia="宋体" w:hAnsi="宋体" w:cs="宋体"/>
          <w:kern w:val="0"/>
          <w:sz w:val="24"/>
          <w:szCs w:val="24"/>
        </w:rPr>
        <w:t>=</w:t>
      </w:r>
      <w:r>
        <w:rPr>
          <w:rFonts w:ascii="宋体" w:eastAsia="宋体" w:hAnsi="宋体" w:cs="宋体"/>
          <w:kern w:val="0"/>
          <w:sz w:val="24"/>
          <w:szCs w:val="24"/>
        </w:rPr>
        <w:t>转入基金固定申购费</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转出基金申购费</w:t>
      </w:r>
      <w:r>
        <w:rPr>
          <w:rFonts w:ascii="宋体" w:eastAsia="宋体" w:hAnsi="宋体" w:cs="宋体"/>
          <w:kern w:val="0"/>
          <w:sz w:val="24"/>
          <w:szCs w:val="24"/>
        </w:rPr>
        <w:t>=</w:t>
      </w:r>
      <w:r>
        <w:rPr>
          <w:rFonts w:ascii="宋体" w:eastAsia="宋体" w:hAnsi="宋体" w:cs="宋体"/>
          <w:kern w:val="0"/>
          <w:sz w:val="24"/>
          <w:szCs w:val="24"/>
        </w:rPr>
        <w:t>转入金额</w:t>
      </w:r>
      <w:r>
        <w:rPr>
          <w:rFonts w:ascii="宋体" w:eastAsia="宋体" w:hAnsi="宋体" w:cs="宋体"/>
          <w:kern w:val="0"/>
          <w:sz w:val="24"/>
          <w:szCs w:val="24"/>
        </w:rPr>
        <w:t>/(1+</w:t>
      </w:r>
      <w:r>
        <w:rPr>
          <w:rFonts w:ascii="宋体" w:eastAsia="宋体" w:hAnsi="宋体" w:cs="宋体"/>
          <w:kern w:val="0"/>
          <w:sz w:val="24"/>
          <w:szCs w:val="24"/>
        </w:rPr>
        <w:t>转出基金申购费率</w:t>
      </w:r>
      <w:r>
        <w:rPr>
          <w:rFonts w:ascii="宋体" w:eastAsia="宋体" w:hAnsi="宋体" w:cs="宋体"/>
          <w:kern w:val="0"/>
          <w:sz w:val="24"/>
          <w:szCs w:val="24"/>
        </w:rPr>
        <w:t>)×</w:t>
      </w:r>
      <w:r>
        <w:rPr>
          <w:rFonts w:ascii="宋体" w:eastAsia="宋体" w:hAnsi="宋体" w:cs="宋体"/>
          <w:kern w:val="0"/>
          <w:sz w:val="24"/>
          <w:szCs w:val="24"/>
        </w:rPr>
        <w:t>转出基金申购费率</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如果转出基金申购费适用固定费用时，则转出基金申购费</w:t>
      </w:r>
      <w:r>
        <w:rPr>
          <w:rFonts w:ascii="宋体" w:eastAsia="宋体" w:hAnsi="宋体" w:cs="宋体"/>
          <w:kern w:val="0"/>
          <w:sz w:val="24"/>
          <w:szCs w:val="24"/>
        </w:rPr>
        <w:t>=</w:t>
      </w:r>
      <w:r>
        <w:rPr>
          <w:rFonts w:ascii="宋体" w:eastAsia="宋体" w:hAnsi="宋体" w:cs="宋体"/>
          <w:kern w:val="0"/>
          <w:sz w:val="24"/>
          <w:szCs w:val="24"/>
        </w:rPr>
        <w:t>转出基金固定申购费</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净转入金额</w:t>
      </w:r>
      <w:r>
        <w:rPr>
          <w:rFonts w:ascii="宋体" w:eastAsia="宋体" w:hAnsi="宋体" w:cs="宋体"/>
          <w:kern w:val="0"/>
          <w:sz w:val="24"/>
          <w:szCs w:val="24"/>
        </w:rPr>
        <w:t>=</w:t>
      </w:r>
      <w:r>
        <w:rPr>
          <w:rFonts w:ascii="宋体" w:eastAsia="宋体" w:hAnsi="宋体" w:cs="宋体"/>
          <w:kern w:val="0"/>
          <w:sz w:val="24"/>
          <w:szCs w:val="24"/>
        </w:rPr>
        <w:t>转入金额</w:t>
      </w:r>
      <w:r>
        <w:rPr>
          <w:rFonts w:ascii="宋体" w:eastAsia="宋体" w:hAnsi="宋体" w:cs="宋体"/>
          <w:kern w:val="0"/>
          <w:sz w:val="24"/>
          <w:szCs w:val="24"/>
        </w:rPr>
        <w:t>-</w:t>
      </w:r>
      <w:r>
        <w:rPr>
          <w:rFonts w:ascii="宋体" w:eastAsia="宋体" w:hAnsi="宋体" w:cs="宋体"/>
          <w:kern w:val="0"/>
          <w:sz w:val="24"/>
          <w:szCs w:val="24"/>
        </w:rPr>
        <w:t>补差费用</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转入份额</w:t>
      </w:r>
      <w:r>
        <w:rPr>
          <w:rFonts w:ascii="宋体" w:eastAsia="宋体" w:hAnsi="宋体" w:cs="宋体"/>
          <w:kern w:val="0"/>
          <w:sz w:val="24"/>
          <w:szCs w:val="24"/>
        </w:rPr>
        <w:t>=</w:t>
      </w:r>
      <w:r>
        <w:rPr>
          <w:rFonts w:ascii="宋体" w:eastAsia="宋体" w:hAnsi="宋体" w:cs="宋体"/>
          <w:kern w:val="0"/>
          <w:sz w:val="24"/>
          <w:szCs w:val="24"/>
        </w:rPr>
        <w:t>净转入金额</w:t>
      </w:r>
      <w:r>
        <w:rPr>
          <w:rFonts w:ascii="宋体" w:eastAsia="宋体" w:hAnsi="宋体" w:cs="宋体"/>
          <w:kern w:val="0"/>
          <w:sz w:val="24"/>
          <w:szCs w:val="24"/>
        </w:rPr>
        <w:t>÷</w:t>
      </w:r>
      <w:r>
        <w:rPr>
          <w:rFonts w:ascii="宋体" w:eastAsia="宋体" w:hAnsi="宋体" w:cs="宋体"/>
          <w:kern w:val="0"/>
          <w:sz w:val="24"/>
          <w:szCs w:val="24"/>
        </w:rPr>
        <w:t>转入基金</w:t>
      </w:r>
      <w:r>
        <w:rPr>
          <w:rFonts w:ascii="宋体" w:eastAsia="宋体" w:hAnsi="宋体" w:cs="宋体"/>
          <w:kern w:val="0"/>
          <w:sz w:val="24"/>
          <w:szCs w:val="24"/>
        </w:rPr>
        <w:t>T</w:t>
      </w:r>
      <w:r>
        <w:rPr>
          <w:rFonts w:ascii="宋体" w:eastAsia="宋体" w:hAnsi="宋体" w:cs="宋体"/>
          <w:kern w:val="0"/>
          <w:sz w:val="24"/>
          <w:szCs w:val="24"/>
        </w:rPr>
        <w:t>日基金份额净值</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转入份额按照四舍五入方法保留到小数点后两位，由此产生的收益或损失由基金资产承担。</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本基金的直销柜台基金转换基金申购补差费用实施</w:t>
      </w:r>
      <w:r>
        <w:rPr>
          <w:rFonts w:ascii="宋体" w:eastAsia="宋体" w:hAnsi="宋体" w:cs="宋体"/>
          <w:kern w:val="0"/>
          <w:sz w:val="24"/>
          <w:szCs w:val="24"/>
        </w:rPr>
        <w:t>0</w:t>
      </w:r>
      <w:r>
        <w:rPr>
          <w:rFonts w:ascii="宋体" w:eastAsia="宋体" w:hAnsi="宋体" w:cs="宋体"/>
          <w:kern w:val="0"/>
          <w:sz w:val="24"/>
          <w:szCs w:val="24"/>
        </w:rPr>
        <w:t>折优惠。网上直销基金转换基金申购补</w:t>
      </w:r>
      <w:r>
        <w:rPr>
          <w:rFonts w:ascii="宋体" w:eastAsia="宋体" w:hAnsi="宋体" w:cs="宋体" w:hint="eastAsia"/>
          <w:kern w:val="0"/>
          <w:sz w:val="24"/>
          <w:szCs w:val="24"/>
        </w:rPr>
        <w:t>差费用实施</w:t>
      </w:r>
      <w:r>
        <w:rPr>
          <w:rFonts w:ascii="宋体" w:eastAsia="宋体" w:hAnsi="宋体" w:cs="宋体"/>
          <w:kern w:val="0"/>
          <w:sz w:val="24"/>
          <w:szCs w:val="24"/>
        </w:rPr>
        <w:t>0</w:t>
      </w:r>
      <w:r>
        <w:rPr>
          <w:rFonts w:ascii="宋体" w:eastAsia="宋体" w:hAnsi="宋体" w:cs="宋体"/>
          <w:kern w:val="0"/>
          <w:sz w:val="24"/>
          <w:szCs w:val="24"/>
        </w:rPr>
        <w:t>折优惠。</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转换费用由基金份额持有人承担，对于转出基金</w:t>
      </w:r>
      <w:r>
        <w:rPr>
          <w:rFonts w:ascii="宋体" w:eastAsia="宋体" w:hAnsi="宋体" w:cs="宋体" w:hint="eastAsia"/>
          <w:kern w:val="0"/>
          <w:sz w:val="24"/>
          <w:szCs w:val="24"/>
        </w:rPr>
        <w:t>份额</w:t>
      </w:r>
      <w:r>
        <w:rPr>
          <w:rFonts w:ascii="宋体" w:eastAsia="宋体" w:hAnsi="宋体" w:cs="宋体"/>
          <w:kern w:val="0"/>
          <w:sz w:val="24"/>
          <w:szCs w:val="24"/>
        </w:rPr>
        <w:t>赎回业务收取赎回费的，基金</w:t>
      </w:r>
      <w:r>
        <w:rPr>
          <w:rFonts w:ascii="宋体" w:eastAsia="宋体" w:hAnsi="宋体" w:cs="宋体" w:hint="eastAsia"/>
          <w:kern w:val="0"/>
          <w:sz w:val="24"/>
          <w:szCs w:val="24"/>
        </w:rPr>
        <w:t>份额</w:t>
      </w:r>
      <w:r>
        <w:rPr>
          <w:rFonts w:ascii="宋体" w:eastAsia="宋体" w:hAnsi="宋体" w:cs="宋体"/>
          <w:kern w:val="0"/>
          <w:sz w:val="24"/>
          <w:szCs w:val="24"/>
        </w:rPr>
        <w:t>转出时，归入</w:t>
      </w:r>
      <w:r>
        <w:rPr>
          <w:rFonts w:ascii="宋体" w:eastAsia="宋体" w:hAnsi="宋体" w:cs="宋体" w:hint="eastAsia"/>
          <w:kern w:val="0"/>
          <w:sz w:val="24"/>
          <w:szCs w:val="24"/>
        </w:rPr>
        <w:t>基金资产部分按赎回费的处理方法计算。</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上述</w:t>
      </w:r>
      <w:r>
        <w:rPr>
          <w:rFonts w:ascii="宋体" w:eastAsia="宋体" w:hAnsi="宋体" w:cs="宋体"/>
          <w:kern w:val="0"/>
          <w:sz w:val="24"/>
          <w:szCs w:val="24"/>
        </w:rPr>
        <w:t>基金的申购费率、赎回费率请详见各基金公开法律文件。</w:t>
      </w:r>
      <w:r>
        <w:rPr>
          <w:rFonts w:ascii="宋体" w:eastAsia="宋体" w:hAnsi="宋体" w:cs="宋体"/>
          <w:kern w:val="0"/>
          <w:sz w:val="24"/>
          <w:szCs w:val="24"/>
        </w:rPr>
        <w:cr/>
      </w:r>
    </w:p>
    <w:p w:rsidR="00BE6C62" w:rsidRDefault="003210FF">
      <w:pPr>
        <w:widowControl/>
        <w:spacing w:line="360" w:lineRule="auto"/>
        <w:jc w:val="left"/>
        <w:outlineLvl w:val="1"/>
        <w:rPr>
          <w:rFonts w:ascii="宋体" w:eastAsia="宋体" w:hAnsi="宋体" w:cs="宋体"/>
          <w:b/>
          <w:bCs/>
          <w:kern w:val="0"/>
          <w:sz w:val="28"/>
          <w:szCs w:val="28"/>
        </w:rPr>
      </w:pPr>
      <w:r>
        <w:rPr>
          <w:rFonts w:ascii="宋体" w:eastAsia="宋体" w:hAnsi="宋体" w:cs="宋体"/>
          <w:b/>
          <w:bCs/>
          <w:kern w:val="0"/>
          <w:sz w:val="28"/>
          <w:szCs w:val="28"/>
        </w:rPr>
        <w:t>四、转换业务规则</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1</w:t>
      </w:r>
      <w:r>
        <w:rPr>
          <w:rFonts w:ascii="宋体" w:eastAsia="宋体" w:hAnsi="宋体" w:cs="宋体"/>
          <w:kern w:val="0"/>
          <w:sz w:val="24"/>
          <w:szCs w:val="24"/>
        </w:rPr>
        <w:t>）基金转换只能在同一销售机构进行。</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2</w:t>
      </w:r>
      <w:r>
        <w:rPr>
          <w:rFonts w:ascii="宋体" w:eastAsia="宋体" w:hAnsi="宋体" w:cs="宋体"/>
          <w:kern w:val="0"/>
          <w:sz w:val="24"/>
          <w:szCs w:val="24"/>
        </w:rPr>
        <w:t>）基金转换以份额为单位进行申请。投资者同一天可以发起多次基金转换业务，基</w:t>
      </w:r>
      <w:r>
        <w:rPr>
          <w:rFonts w:ascii="宋体" w:eastAsia="宋体" w:hAnsi="宋体" w:cs="宋体" w:hint="eastAsia"/>
          <w:kern w:val="0"/>
          <w:sz w:val="24"/>
          <w:szCs w:val="24"/>
        </w:rPr>
        <w:t>金转换费用</w:t>
      </w:r>
      <w:r>
        <w:rPr>
          <w:rFonts w:ascii="宋体" w:eastAsia="宋体" w:hAnsi="宋体" w:cs="宋体" w:hint="eastAsia"/>
          <w:kern w:val="0"/>
          <w:sz w:val="24"/>
          <w:szCs w:val="24"/>
        </w:rPr>
        <w:t>按每笔申请单独计算，计算结果按照四舍五入方法，保留小数点后两位。</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3</w:t>
      </w:r>
      <w:r>
        <w:rPr>
          <w:rFonts w:ascii="宋体" w:eastAsia="宋体" w:hAnsi="宋体" w:cs="宋体"/>
          <w:kern w:val="0"/>
          <w:sz w:val="24"/>
          <w:szCs w:val="24"/>
        </w:rPr>
        <w:t>）基金转换采取未知价法，即基金的转换价格以转换申请受理当日各转出、转入基金的份额净值为基准进行计算。</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4</w:t>
      </w:r>
      <w:r>
        <w:rPr>
          <w:rFonts w:ascii="宋体" w:eastAsia="宋体" w:hAnsi="宋体" w:cs="宋体"/>
          <w:kern w:val="0"/>
          <w:sz w:val="24"/>
          <w:szCs w:val="24"/>
        </w:rPr>
        <w:t>）</w:t>
      </w:r>
      <w:r>
        <w:rPr>
          <w:rFonts w:ascii="宋体" w:eastAsia="宋体" w:hAnsi="宋体" w:cs="宋体" w:hint="eastAsia"/>
          <w:kern w:val="0"/>
          <w:sz w:val="24"/>
          <w:szCs w:val="24"/>
        </w:rPr>
        <w:t>基金份额持有人可将其全部或部</w:t>
      </w:r>
      <w:r>
        <w:rPr>
          <w:rFonts w:ascii="宋体" w:eastAsia="宋体" w:hAnsi="宋体" w:cs="宋体"/>
          <w:kern w:val="0"/>
          <w:sz w:val="24"/>
          <w:szCs w:val="24"/>
        </w:rPr>
        <w:t>分基金份额转换成另一只基金份额，每类基金份</w:t>
      </w:r>
      <w:r>
        <w:rPr>
          <w:rFonts w:ascii="宋体" w:eastAsia="宋体" w:hAnsi="宋体" w:cs="宋体" w:hint="eastAsia"/>
          <w:kern w:val="0"/>
          <w:sz w:val="24"/>
          <w:szCs w:val="24"/>
        </w:rPr>
        <w:t>额单笔转出申请不得少于</w:t>
      </w:r>
      <w:r>
        <w:rPr>
          <w:rFonts w:ascii="宋体" w:eastAsia="宋体" w:hAnsi="宋体" w:cs="宋体"/>
          <w:kern w:val="0"/>
          <w:sz w:val="24"/>
          <w:szCs w:val="24"/>
        </w:rPr>
        <w:t>1</w:t>
      </w:r>
      <w:r>
        <w:rPr>
          <w:rFonts w:ascii="宋体" w:eastAsia="宋体" w:hAnsi="宋体" w:cs="宋体"/>
          <w:kern w:val="0"/>
          <w:sz w:val="24"/>
          <w:szCs w:val="24"/>
        </w:rPr>
        <w:t>份（如该账户在该销售机构托管的该类基金份额余额不足</w:t>
      </w:r>
      <w:r>
        <w:rPr>
          <w:rFonts w:ascii="宋体" w:eastAsia="宋体" w:hAnsi="宋体" w:cs="宋体"/>
          <w:kern w:val="0"/>
          <w:sz w:val="24"/>
          <w:szCs w:val="24"/>
        </w:rPr>
        <w:t>1</w:t>
      </w:r>
      <w:r>
        <w:rPr>
          <w:rFonts w:ascii="宋体" w:eastAsia="宋体" w:hAnsi="宋体" w:cs="宋体"/>
          <w:kern w:val="0"/>
          <w:sz w:val="24"/>
          <w:szCs w:val="24"/>
        </w:rPr>
        <w:t>份，则必须一次性转出该类基金全部份额）；若某笔转换导致投资者在该销售机构托管的该</w:t>
      </w:r>
      <w:r>
        <w:rPr>
          <w:rFonts w:ascii="宋体" w:eastAsia="宋体" w:hAnsi="宋体" w:cs="宋体" w:hint="eastAsia"/>
          <w:kern w:val="0"/>
          <w:sz w:val="24"/>
          <w:szCs w:val="24"/>
        </w:rPr>
        <w:t>类基金份额余额低于该类基金份额在《招募说明书》（含更新）或相关公告中约定的最低保有份额时，本公司有权将投资者</w:t>
      </w:r>
      <w:r>
        <w:rPr>
          <w:rFonts w:ascii="宋体" w:eastAsia="宋体" w:hAnsi="宋体" w:cs="宋体" w:hint="eastAsia"/>
          <w:kern w:val="0"/>
          <w:sz w:val="24"/>
          <w:szCs w:val="24"/>
        </w:rPr>
        <w:t>在该销售机构托管的该类基金剩余份额一次性全部赎回。</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5</w:t>
      </w:r>
      <w:r>
        <w:rPr>
          <w:rFonts w:ascii="宋体" w:eastAsia="宋体" w:hAnsi="宋体" w:cs="宋体"/>
          <w:kern w:val="0"/>
          <w:sz w:val="24"/>
          <w:szCs w:val="24"/>
        </w:rPr>
        <w:t>）投资者办理基金转换业务时，转出方的基金必须处于可赎回状态，转入方的基金必须处于可申购状态。</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6</w:t>
      </w:r>
      <w:r>
        <w:rPr>
          <w:rFonts w:ascii="宋体" w:eastAsia="宋体" w:hAnsi="宋体" w:cs="宋体"/>
          <w:kern w:val="0"/>
          <w:sz w:val="24"/>
          <w:szCs w:val="24"/>
        </w:rPr>
        <w:t>）</w:t>
      </w:r>
      <w:r>
        <w:rPr>
          <w:rFonts w:ascii="宋体" w:eastAsia="宋体" w:hAnsi="宋体" w:cs="宋体" w:hint="eastAsia"/>
          <w:kern w:val="0"/>
          <w:sz w:val="24"/>
          <w:szCs w:val="24"/>
        </w:rPr>
        <w:t>转换结果以注册登记机构的记录为准，转入份额</w:t>
      </w:r>
      <w:r>
        <w:rPr>
          <w:rFonts w:ascii="宋体" w:eastAsia="宋体" w:hAnsi="宋体" w:cs="宋体"/>
          <w:kern w:val="0"/>
          <w:sz w:val="24"/>
          <w:szCs w:val="24"/>
        </w:rPr>
        <w:t>的计算结果保留位数依照转入基</w:t>
      </w:r>
      <w:r>
        <w:rPr>
          <w:rFonts w:ascii="宋体" w:eastAsia="宋体" w:hAnsi="宋体" w:cs="宋体" w:hint="eastAsia"/>
          <w:kern w:val="0"/>
          <w:sz w:val="24"/>
          <w:szCs w:val="24"/>
        </w:rPr>
        <w:t>金的《招募说明书》（含更新）的规定。由此误差产生的损失由基金财产承担，产生的收益归基金财产所有。</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7</w:t>
      </w:r>
      <w:r>
        <w:rPr>
          <w:rFonts w:ascii="宋体" w:eastAsia="宋体" w:hAnsi="宋体" w:cs="宋体"/>
          <w:kern w:val="0"/>
          <w:sz w:val="24"/>
          <w:szCs w:val="24"/>
        </w:rPr>
        <w:t>）本公司旗下各基金的转换业务的解释权归本公司，本公司可以根据市场情况在不违反有关法律法规和基金合同的规定之前提下调整上述转换的业务规则及有关限制。</w:t>
      </w:r>
    </w:p>
    <w:p w:rsidR="00BE6C62" w:rsidRDefault="00BE6C62">
      <w:pPr>
        <w:widowControl/>
        <w:spacing w:line="360" w:lineRule="auto"/>
        <w:rPr>
          <w:rFonts w:ascii="宋体" w:eastAsia="宋体" w:hAnsi="宋体" w:cs="宋体"/>
          <w:kern w:val="0"/>
          <w:sz w:val="24"/>
          <w:szCs w:val="24"/>
        </w:rPr>
      </w:pPr>
    </w:p>
    <w:p w:rsidR="00BE6C62" w:rsidRDefault="003210FF">
      <w:pPr>
        <w:widowControl/>
        <w:spacing w:line="360" w:lineRule="auto"/>
        <w:jc w:val="left"/>
        <w:outlineLvl w:val="1"/>
        <w:rPr>
          <w:rFonts w:ascii="宋体" w:eastAsia="宋体" w:hAnsi="宋体" w:cs="宋体"/>
          <w:b/>
          <w:bCs/>
          <w:kern w:val="0"/>
          <w:sz w:val="28"/>
          <w:szCs w:val="28"/>
        </w:rPr>
      </w:pPr>
      <w:r>
        <w:rPr>
          <w:rFonts w:ascii="宋体" w:eastAsia="宋体" w:hAnsi="宋体" w:cs="宋体"/>
          <w:b/>
          <w:bCs/>
          <w:kern w:val="0"/>
          <w:sz w:val="28"/>
          <w:szCs w:val="28"/>
        </w:rPr>
        <w:t>风险提示</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本公司承诺以诚实信用、勤勉尽责的原则管理和运用基金资产，但不保证基金一定盈利，也不保证最低收益。敬请投资者注意投资风险。投资者投资于基金前应认真阅读基金的基金合同和招募说明书等法律文件，确认已知悉基金产品资料概要，全面认识基金的风险收益特征和产品特性，并充分考虑自身的风险承受能力，在了解产品情况及销售机构适当性匹配意见的基础上，理性判断市场，谨慎做出投资决策。基金具体风险评级结果以销售机构提供的评级结果为准。</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投资者可以通过以下方式联系</w:t>
      </w:r>
      <w:r>
        <w:rPr>
          <w:rFonts w:ascii="宋体" w:eastAsia="宋体" w:hAnsi="宋体" w:cs="宋体" w:hint="eastAsia"/>
          <w:kern w:val="0"/>
          <w:sz w:val="24"/>
          <w:szCs w:val="24"/>
        </w:rPr>
        <w:t>华泰柏瑞</w:t>
      </w:r>
      <w:r>
        <w:rPr>
          <w:rFonts w:ascii="宋体" w:eastAsia="宋体" w:hAnsi="宋体" w:cs="宋体"/>
          <w:kern w:val="0"/>
          <w:sz w:val="24"/>
          <w:szCs w:val="24"/>
        </w:rPr>
        <w:t>基金管理有限公司进行咨询：</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客户服务电话：</w:t>
      </w:r>
      <w:r>
        <w:rPr>
          <w:rFonts w:ascii="宋体" w:eastAsia="宋体" w:hAnsi="宋体" w:cs="宋体"/>
          <w:kern w:val="0"/>
          <w:sz w:val="24"/>
          <w:szCs w:val="24"/>
        </w:rPr>
        <w:t>400-888-000</w:t>
      </w:r>
      <w:r>
        <w:rPr>
          <w:rFonts w:ascii="宋体" w:eastAsia="宋体" w:hAnsi="宋体" w:cs="宋体"/>
          <w:kern w:val="0"/>
          <w:sz w:val="24"/>
          <w:szCs w:val="24"/>
        </w:rPr>
        <w:t>1</w:t>
      </w: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网址：</w:t>
      </w:r>
      <w:hyperlink r:id="rId5" w:history="1">
        <w:r>
          <w:rPr>
            <w:rStyle w:val="a8"/>
            <w:rFonts w:ascii="宋体" w:eastAsia="宋体" w:hAnsi="宋体" w:cs="宋体"/>
            <w:kern w:val="0"/>
            <w:sz w:val="24"/>
            <w:szCs w:val="24"/>
          </w:rPr>
          <w:t>www.huatai-pb.com</w:t>
        </w:r>
      </w:hyperlink>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本公告的解释权归本公司所有。</w:t>
      </w:r>
    </w:p>
    <w:p w:rsidR="00BE6C62" w:rsidRDefault="00BE6C62">
      <w:pPr>
        <w:widowControl/>
        <w:spacing w:line="360" w:lineRule="auto"/>
        <w:ind w:firstLineChars="200" w:firstLine="480"/>
        <w:rPr>
          <w:rFonts w:ascii="宋体" w:eastAsia="宋体" w:hAnsi="宋体" w:cs="宋体"/>
          <w:kern w:val="0"/>
          <w:sz w:val="24"/>
          <w:szCs w:val="24"/>
        </w:rPr>
      </w:pPr>
    </w:p>
    <w:p w:rsidR="00BE6C62" w:rsidRDefault="003210FF">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特此公告。</w:t>
      </w:r>
    </w:p>
    <w:p w:rsidR="00BE6C62" w:rsidRDefault="00BE6C62">
      <w:pPr>
        <w:widowControl/>
        <w:spacing w:line="360" w:lineRule="auto"/>
        <w:jc w:val="left"/>
        <w:rPr>
          <w:rFonts w:ascii="宋体" w:eastAsia="宋体" w:hAnsi="宋体" w:cs="宋体"/>
          <w:kern w:val="0"/>
          <w:sz w:val="24"/>
          <w:szCs w:val="24"/>
        </w:rPr>
      </w:pPr>
    </w:p>
    <w:p w:rsidR="00BE6C62" w:rsidRDefault="003210FF">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华泰柏瑞</w:t>
      </w:r>
      <w:r>
        <w:rPr>
          <w:rFonts w:ascii="宋体" w:eastAsia="宋体" w:hAnsi="宋体" w:cs="宋体"/>
          <w:kern w:val="0"/>
          <w:sz w:val="24"/>
          <w:szCs w:val="24"/>
        </w:rPr>
        <w:t>基金管理有限公司</w:t>
      </w:r>
      <w:r>
        <w:rPr>
          <w:rFonts w:ascii="宋体" w:eastAsia="宋体" w:hAnsi="宋体" w:cs="宋体"/>
          <w:kern w:val="0"/>
          <w:sz w:val="24"/>
          <w:szCs w:val="24"/>
        </w:rPr>
        <w:br/>
        <w:t>2026</w:t>
      </w:r>
      <w:r>
        <w:rPr>
          <w:rFonts w:ascii="宋体" w:eastAsia="宋体" w:hAnsi="宋体" w:cs="宋体"/>
          <w:kern w:val="0"/>
          <w:sz w:val="24"/>
          <w:szCs w:val="24"/>
        </w:rPr>
        <w:t>年</w:t>
      </w:r>
      <w:r>
        <w:rPr>
          <w:rFonts w:ascii="宋体" w:eastAsia="宋体" w:hAnsi="宋体" w:cs="宋体"/>
          <w:kern w:val="0"/>
          <w:sz w:val="24"/>
          <w:szCs w:val="24"/>
        </w:rPr>
        <w:t>3</w:t>
      </w:r>
      <w:r>
        <w:rPr>
          <w:rFonts w:ascii="宋体" w:eastAsia="宋体" w:hAnsi="宋体" w:cs="宋体"/>
          <w:kern w:val="0"/>
          <w:sz w:val="24"/>
          <w:szCs w:val="24"/>
        </w:rPr>
        <w:t>月</w:t>
      </w:r>
      <w:r>
        <w:rPr>
          <w:rFonts w:ascii="宋体" w:eastAsia="宋体" w:hAnsi="宋体" w:cs="宋体" w:hint="eastAsia"/>
          <w:kern w:val="0"/>
          <w:sz w:val="24"/>
          <w:szCs w:val="24"/>
        </w:rPr>
        <w:t>20</w:t>
      </w:r>
      <w:bookmarkStart w:id="1" w:name="_GoBack"/>
      <w:bookmarkEnd w:id="1"/>
      <w:r>
        <w:rPr>
          <w:rFonts w:ascii="宋体" w:eastAsia="宋体" w:hAnsi="宋体" w:cs="宋体"/>
          <w:kern w:val="0"/>
          <w:sz w:val="24"/>
          <w:szCs w:val="24"/>
        </w:rPr>
        <w:t>日</w:t>
      </w:r>
    </w:p>
    <w:p w:rsidR="00BE6C62" w:rsidRDefault="00BE6C62">
      <w:pPr>
        <w:spacing w:line="360" w:lineRule="auto"/>
        <w:rPr>
          <w:rFonts w:ascii="宋体" w:eastAsia="宋体" w:hAnsi="宋体"/>
        </w:rPr>
      </w:pPr>
    </w:p>
    <w:sectPr w:rsidR="00BE6C62" w:rsidSect="00BE6C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00000000" w:usb2="00000016" w:usb3="00000000" w:csb0="0004000F" w:csb1="00000000"/>
  </w:font>
  <w:font w:name="等线 Light">
    <w:charset w:val="86"/>
    <w:family w:val="auto"/>
    <w:pitch w:val="default"/>
    <w:sig w:usb0="00000000" w:usb1="00000000"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6C62"/>
    <w:rsid w:val="003210FF"/>
    <w:rsid w:val="00BE6C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C6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BE6C6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qFormat/>
    <w:rsid w:val="00BE6C6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BE6C6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BE6C62"/>
    <w:rPr>
      <w:b/>
      <w:bCs/>
    </w:rPr>
  </w:style>
  <w:style w:type="paragraph" w:styleId="a4">
    <w:name w:val="annotation text"/>
    <w:basedOn w:val="a"/>
    <w:link w:val="Char0"/>
    <w:uiPriority w:val="99"/>
    <w:unhideWhenUsed/>
    <w:rsid w:val="00BE6C62"/>
    <w:pPr>
      <w:jc w:val="left"/>
    </w:pPr>
  </w:style>
  <w:style w:type="paragraph" w:styleId="a5">
    <w:name w:val="Balloon Text"/>
    <w:basedOn w:val="a"/>
    <w:link w:val="Char1"/>
    <w:uiPriority w:val="99"/>
    <w:unhideWhenUsed/>
    <w:rsid w:val="00BE6C62"/>
    <w:rPr>
      <w:sz w:val="18"/>
      <w:szCs w:val="18"/>
    </w:rPr>
  </w:style>
  <w:style w:type="paragraph" w:styleId="a6">
    <w:name w:val="footer"/>
    <w:basedOn w:val="a"/>
    <w:link w:val="Char2"/>
    <w:uiPriority w:val="99"/>
    <w:unhideWhenUsed/>
    <w:rsid w:val="00BE6C62"/>
    <w:pPr>
      <w:tabs>
        <w:tab w:val="center" w:pos="4153"/>
        <w:tab w:val="right" w:pos="8306"/>
      </w:tabs>
      <w:snapToGrid w:val="0"/>
      <w:jc w:val="left"/>
    </w:pPr>
    <w:rPr>
      <w:sz w:val="18"/>
      <w:szCs w:val="18"/>
    </w:rPr>
  </w:style>
  <w:style w:type="paragraph" w:styleId="a7">
    <w:name w:val="header"/>
    <w:basedOn w:val="a"/>
    <w:link w:val="Char3"/>
    <w:uiPriority w:val="99"/>
    <w:unhideWhenUsed/>
    <w:rsid w:val="00BE6C62"/>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rsid w:val="00BE6C62"/>
    <w:rPr>
      <w:color w:val="0000FF"/>
      <w:u w:val="single"/>
    </w:rPr>
  </w:style>
  <w:style w:type="character" w:styleId="a9">
    <w:name w:val="annotation reference"/>
    <w:basedOn w:val="a0"/>
    <w:uiPriority w:val="99"/>
    <w:unhideWhenUsed/>
    <w:rsid w:val="00BE6C62"/>
    <w:rPr>
      <w:sz w:val="21"/>
      <w:szCs w:val="21"/>
    </w:rPr>
  </w:style>
  <w:style w:type="character" w:customStyle="1" w:styleId="1Char">
    <w:name w:val="标题 1 Char"/>
    <w:basedOn w:val="a0"/>
    <w:link w:val="1"/>
    <w:uiPriority w:val="9"/>
    <w:rsid w:val="00BE6C62"/>
    <w:rPr>
      <w:rFonts w:ascii="宋体" w:eastAsia="宋体" w:hAnsi="宋体" w:cs="宋体"/>
      <w:b/>
      <w:bCs/>
      <w:kern w:val="36"/>
      <w:sz w:val="48"/>
      <w:szCs w:val="48"/>
    </w:rPr>
  </w:style>
  <w:style w:type="character" w:customStyle="1" w:styleId="2Char">
    <w:name w:val="标题 2 Char"/>
    <w:basedOn w:val="a0"/>
    <w:link w:val="2"/>
    <w:uiPriority w:val="9"/>
    <w:rsid w:val="00BE6C62"/>
    <w:rPr>
      <w:rFonts w:ascii="宋体" w:eastAsia="宋体" w:hAnsi="宋体" w:cs="宋体"/>
      <w:b/>
      <w:bCs/>
      <w:kern w:val="0"/>
      <w:sz w:val="36"/>
      <w:szCs w:val="36"/>
    </w:rPr>
  </w:style>
  <w:style w:type="character" w:customStyle="1" w:styleId="3Char">
    <w:name w:val="标题 3 Char"/>
    <w:basedOn w:val="a0"/>
    <w:link w:val="3"/>
    <w:uiPriority w:val="9"/>
    <w:rsid w:val="00BE6C62"/>
    <w:rPr>
      <w:rFonts w:ascii="宋体" w:eastAsia="宋体" w:hAnsi="宋体" w:cs="宋体"/>
      <w:b/>
      <w:bCs/>
      <w:kern w:val="0"/>
      <w:sz w:val="27"/>
      <w:szCs w:val="27"/>
    </w:rPr>
  </w:style>
  <w:style w:type="paragraph" w:customStyle="1" w:styleId="s-font-xs-strong">
    <w:name w:val="s-font-xs-strong"/>
    <w:basedOn w:val="a"/>
    <w:rsid w:val="00BE6C62"/>
    <w:pPr>
      <w:widowControl/>
      <w:spacing w:before="100" w:beforeAutospacing="1" w:after="100" w:afterAutospacing="1"/>
      <w:jc w:val="left"/>
    </w:pPr>
    <w:rPr>
      <w:rFonts w:ascii="宋体" w:eastAsia="宋体" w:hAnsi="宋体" w:cs="宋体"/>
      <w:kern w:val="0"/>
      <w:sz w:val="24"/>
      <w:szCs w:val="24"/>
    </w:rPr>
  </w:style>
  <w:style w:type="character" w:customStyle="1" w:styleId="semi-button-content">
    <w:name w:val="semi-button-content"/>
    <w:basedOn w:val="a0"/>
    <w:rsid w:val="00BE6C62"/>
  </w:style>
  <w:style w:type="character" w:customStyle="1" w:styleId="select-none">
    <w:name w:val="select-none"/>
    <w:basedOn w:val="a0"/>
    <w:rsid w:val="00BE6C62"/>
  </w:style>
  <w:style w:type="paragraph" w:customStyle="1" w:styleId="p-0">
    <w:name w:val="p-0"/>
    <w:basedOn w:val="a"/>
    <w:rsid w:val="00BE6C62"/>
    <w:pPr>
      <w:widowControl/>
      <w:spacing w:before="100" w:beforeAutospacing="1" w:after="100" w:afterAutospacing="1"/>
      <w:jc w:val="left"/>
    </w:pPr>
    <w:rPr>
      <w:rFonts w:ascii="宋体" w:eastAsia="宋体" w:hAnsi="宋体" w:cs="宋体"/>
      <w:kern w:val="0"/>
      <w:sz w:val="24"/>
      <w:szCs w:val="24"/>
    </w:rPr>
  </w:style>
  <w:style w:type="character" w:customStyle="1" w:styleId="title-fffpx1">
    <w:name w:val="title-fffpx1"/>
    <w:basedOn w:val="a0"/>
    <w:rsid w:val="00BE6C62"/>
  </w:style>
  <w:style w:type="character" w:customStyle="1" w:styleId="title-fhnwmz">
    <w:name w:val="title-fhnwmz"/>
    <w:basedOn w:val="a0"/>
    <w:rsid w:val="00BE6C62"/>
  </w:style>
  <w:style w:type="character" w:customStyle="1" w:styleId="title-xmnbdl">
    <w:name w:val="title-xmnbdl"/>
    <w:basedOn w:val="a0"/>
    <w:rsid w:val="00BE6C62"/>
  </w:style>
  <w:style w:type="character" w:customStyle="1" w:styleId="button-text-o3epts">
    <w:name w:val="button-text-o3epts"/>
    <w:basedOn w:val="a0"/>
    <w:rsid w:val="00BE6C62"/>
  </w:style>
  <w:style w:type="character" w:customStyle="1" w:styleId="markedcontent">
    <w:name w:val="markedcontent"/>
    <w:basedOn w:val="a0"/>
    <w:rsid w:val="00BE6C62"/>
  </w:style>
  <w:style w:type="character" w:customStyle="1" w:styleId="UnresolvedMention">
    <w:name w:val="Unresolved Mention"/>
    <w:basedOn w:val="a0"/>
    <w:uiPriority w:val="99"/>
    <w:unhideWhenUsed/>
    <w:rsid w:val="00BE6C62"/>
    <w:rPr>
      <w:color w:val="605E5C"/>
      <w:shd w:val="clear" w:color="auto" w:fill="E1DFDD"/>
    </w:rPr>
  </w:style>
  <w:style w:type="character" w:customStyle="1" w:styleId="Char0">
    <w:name w:val="批注文字 Char"/>
    <w:basedOn w:val="a0"/>
    <w:link w:val="a4"/>
    <w:uiPriority w:val="99"/>
    <w:semiHidden/>
    <w:rsid w:val="00BE6C62"/>
  </w:style>
  <w:style w:type="character" w:customStyle="1" w:styleId="Char">
    <w:name w:val="批注主题 Char"/>
    <w:basedOn w:val="Char0"/>
    <w:link w:val="a3"/>
    <w:uiPriority w:val="99"/>
    <w:semiHidden/>
    <w:rsid w:val="00BE6C62"/>
    <w:rPr>
      <w:b/>
      <w:bCs/>
    </w:rPr>
  </w:style>
  <w:style w:type="character" w:customStyle="1" w:styleId="Char1">
    <w:name w:val="批注框文本 Char"/>
    <w:basedOn w:val="a0"/>
    <w:link w:val="a5"/>
    <w:uiPriority w:val="99"/>
    <w:semiHidden/>
    <w:rsid w:val="00BE6C62"/>
    <w:rPr>
      <w:sz w:val="18"/>
      <w:szCs w:val="18"/>
    </w:rPr>
  </w:style>
  <w:style w:type="character" w:customStyle="1" w:styleId="Char3">
    <w:name w:val="页眉 Char"/>
    <w:basedOn w:val="a0"/>
    <w:link w:val="a7"/>
    <w:uiPriority w:val="99"/>
    <w:rsid w:val="00BE6C62"/>
    <w:rPr>
      <w:sz w:val="18"/>
      <w:szCs w:val="18"/>
    </w:rPr>
  </w:style>
  <w:style w:type="character" w:customStyle="1" w:styleId="Char2">
    <w:name w:val="页脚 Char"/>
    <w:basedOn w:val="a0"/>
    <w:link w:val="a6"/>
    <w:uiPriority w:val="99"/>
    <w:rsid w:val="00BE6C62"/>
    <w:rPr>
      <w:sz w:val="18"/>
      <w:szCs w:val="18"/>
    </w:rPr>
  </w:style>
  <w:style w:type="paragraph" w:customStyle="1" w:styleId="10">
    <w:name w:val="修订1"/>
    <w:hidden/>
    <w:uiPriority w:val="99"/>
    <w:semiHidden/>
    <w:rsid w:val="00BE6C62"/>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huatai-p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1776</Characters>
  <Application>Microsoft Office Word</Application>
  <DocSecurity>4</DocSecurity>
  <Lines>14</Lines>
  <Paragraphs>4</Paragraphs>
  <ScaleCrop>false</ScaleCrop>
  <Company>CNSTOCK</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杨婷(Yang Ting)</dc:creator>
  <cp:lastModifiedBy>ZHONGM</cp:lastModifiedBy>
  <cp:revision>2</cp:revision>
  <dcterms:created xsi:type="dcterms:W3CDTF">2026-03-19T16:02:00Z</dcterms:created>
  <dcterms:modified xsi:type="dcterms:W3CDTF">2026-03-19T16:02:00Z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E892570CC6C5F9A5A1CBBB69D9ED632B_31</vt:lpwstr>
  </property>
  <property fmtid="{D5CDD505-2E9C-101B-9397-08002B2CF9AE}" pid="3" name="KSOProductBuildVer">
    <vt:lpwstr>2052-12.41.0</vt:lpwstr>
  </property>
</Properties>
</file>