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A1290">
      <w:pPr>
        <w:pStyle w:val="a6"/>
        <w:spacing w:before="0" w:beforeAutospacing="0" w:after="0" w:afterAutospacing="0" w:line="360" w:lineRule="auto"/>
        <w:jc w:val="center"/>
        <w:rPr>
          <w:rFonts w:ascii="黑体" w:eastAsia="黑体"/>
          <w:sz w:val="30"/>
        </w:rPr>
      </w:pPr>
      <w:r>
        <w:rPr>
          <w:rFonts w:ascii="黑体" w:eastAsia="黑体" w:hint="eastAsia"/>
          <w:sz w:val="30"/>
        </w:rPr>
        <w:t>华富</w:t>
      </w:r>
      <w:r>
        <w:rPr>
          <w:rFonts w:ascii="黑体" w:eastAsia="黑体"/>
          <w:sz w:val="30"/>
        </w:rPr>
        <w:t>基金管理有限公司关于旗下基金持有的股票停牌后估值</w:t>
      </w:r>
    </w:p>
    <w:p w:rsidR="00000000" w:rsidRDefault="00AA1290">
      <w:pPr>
        <w:pStyle w:val="a6"/>
        <w:spacing w:before="0" w:beforeAutospacing="0" w:after="0" w:afterAutospacing="0" w:line="360" w:lineRule="auto"/>
        <w:jc w:val="center"/>
        <w:rPr>
          <w:rFonts w:ascii="黑体" w:eastAsia="黑体" w:hint="eastAsia"/>
          <w:sz w:val="30"/>
        </w:rPr>
      </w:pPr>
      <w:r>
        <w:rPr>
          <w:rFonts w:ascii="黑体" w:eastAsia="黑体"/>
          <w:sz w:val="30"/>
        </w:rPr>
        <w:t>方法变更的提示性公告</w:t>
      </w:r>
    </w:p>
    <w:p w:rsidR="00000000" w:rsidRDefault="00AA1290">
      <w:pPr>
        <w:ind w:firstLineChars="200" w:firstLine="480"/>
        <w:rPr>
          <w:rFonts w:hint="eastAsia"/>
          <w:sz w:val="24"/>
        </w:rPr>
      </w:pPr>
    </w:p>
    <w:p w:rsidR="00000000" w:rsidRDefault="00AA1290">
      <w:pPr>
        <w:widowControl/>
        <w:adjustRightInd w:val="0"/>
        <w:spacing w:line="360" w:lineRule="auto"/>
        <w:ind w:firstLineChars="200" w:firstLine="480"/>
        <w:rPr>
          <w:rFonts w:hint="eastAsia"/>
          <w:sz w:val="24"/>
        </w:rPr>
      </w:pPr>
      <w:r>
        <w:rPr>
          <w:rFonts w:hint="eastAsia"/>
          <w:sz w:val="24"/>
        </w:rPr>
        <w:t>根据《中国证监会关于证券投资基金估值业务的指导意见》，以及中国证券业协会基金估值工作小组《关于停牌股票估值的参考方法》的内容和有关要求，华富基金管理有限公司（以下简称“本公司”）根据《华富</w:t>
      </w:r>
      <w:r>
        <w:rPr>
          <w:sz w:val="24"/>
        </w:rPr>
        <w:t>基金管理有限公司关于长期停牌股票等</w:t>
      </w:r>
      <w:r>
        <w:rPr>
          <w:rFonts w:hint="eastAsia"/>
          <w:sz w:val="24"/>
        </w:rPr>
        <w:t>无</w:t>
      </w:r>
      <w:r>
        <w:rPr>
          <w:sz w:val="24"/>
        </w:rPr>
        <w:t>市价投资品种</w:t>
      </w:r>
      <w:r>
        <w:rPr>
          <w:rFonts w:hint="eastAsia"/>
          <w:sz w:val="24"/>
        </w:rPr>
        <w:t>调整</w:t>
      </w:r>
      <w:r>
        <w:rPr>
          <w:sz w:val="24"/>
        </w:rPr>
        <w:t>估值</w:t>
      </w:r>
      <w:r>
        <w:rPr>
          <w:rFonts w:hint="eastAsia"/>
          <w:sz w:val="24"/>
        </w:rPr>
        <w:t>方法</w:t>
      </w:r>
      <w:r>
        <w:rPr>
          <w:sz w:val="24"/>
        </w:rPr>
        <w:t>的公告</w:t>
      </w:r>
      <w:r>
        <w:rPr>
          <w:rFonts w:hint="eastAsia"/>
          <w:sz w:val="24"/>
        </w:rPr>
        <w:t>》，对旗下基金持有的停牌股票等估值日无市价且对基金净值影响超过</w:t>
      </w:r>
      <w:r>
        <w:rPr>
          <w:rFonts w:ascii="宋体" w:hAnsi="宋体" w:hint="eastAsia"/>
          <w:sz w:val="24"/>
        </w:rPr>
        <w:t>0.25%</w:t>
      </w:r>
      <w:r>
        <w:rPr>
          <w:rFonts w:hint="eastAsia"/>
          <w:sz w:val="24"/>
        </w:rPr>
        <w:t>的投资品种的公允价值按照“指数收益法”估值确定。</w:t>
      </w:r>
    </w:p>
    <w:p w:rsidR="00000000" w:rsidRDefault="00AA1290">
      <w:pPr>
        <w:widowControl/>
        <w:adjustRightInd w:val="0"/>
        <w:spacing w:line="360" w:lineRule="auto"/>
        <w:ind w:firstLineChars="200" w:firstLine="480"/>
        <w:rPr>
          <w:rFonts w:hint="eastAsia"/>
          <w:sz w:val="24"/>
        </w:rPr>
      </w:pPr>
      <w:r>
        <w:rPr>
          <w:rFonts w:ascii="宋体" w:hAnsi="宋体"/>
          <w:sz w:val="24"/>
        </w:rPr>
        <w:t>2026</w:t>
      </w:r>
      <w:r>
        <w:rPr>
          <w:rFonts w:ascii="宋体" w:hAnsi="宋体" w:hint="eastAsia"/>
          <w:sz w:val="24"/>
        </w:rPr>
        <w:t>年</w:t>
      </w:r>
      <w:r>
        <w:rPr>
          <w:rFonts w:ascii="宋体" w:hAnsi="宋体"/>
          <w:sz w:val="24"/>
        </w:rPr>
        <w:t>3</w:t>
      </w:r>
      <w:r>
        <w:rPr>
          <w:rFonts w:ascii="宋体" w:hAnsi="宋体" w:hint="eastAsia"/>
          <w:sz w:val="24"/>
        </w:rPr>
        <w:t>月</w:t>
      </w:r>
      <w:r>
        <w:rPr>
          <w:rFonts w:ascii="宋体" w:hAnsi="宋体" w:hint="eastAsia"/>
          <w:sz w:val="24"/>
        </w:rPr>
        <w:t>1</w:t>
      </w:r>
      <w:r>
        <w:rPr>
          <w:rFonts w:ascii="宋体" w:hAnsi="宋体"/>
          <w:sz w:val="24"/>
        </w:rPr>
        <w:t>9</w:t>
      </w:r>
      <w:r>
        <w:rPr>
          <w:rFonts w:ascii="宋体" w:hAnsi="宋体" w:hint="eastAsia"/>
          <w:sz w:val="24"/>
        </w:rPr>
        <w:t>日</w:t>
      </w:r>
      <w:r>
        <w:rPr>
          <w:rFonts w:hint="eastAsia"/>
          <w:sz w:val="24"/>
        </w:rPr>
        <w:t>，本公司旗下基金持有的股票“赤峰黄金”</w:t>
      </w:r>
      <w:r>
        <w:rPr>
          <w:rFonts w:hint="eastAsia"/>
          <w:sz w:val="24"/>
        </w:rPr>
        <w:t>（股票代码</w:t>
      </w:r>
      <w:r>
        <w:rPr>
          <w:rFonts w:ascii="宋体" w:hAnsi="宋体"/>
          <w:sz w:val="24"/>
        </w:rPr>
        <w:t>600988</w:t>
      </w:r>
      <w:r>
        <w:rPr>
          <w:rFonts w:hint="eastAsia"/>
          <w:sz w:val="24"/>
        </w:rPr>
        <w:t>）停牌，本公司依据指导意见等法规规定，经与托管银行协商一致，决定于</w:t>
      </w:r>
      <w:r>
        <w:rPr>
          <w:rFonts w:ascii="宋体" w:hAnsi="宋体" w:hint="eastAsia"/>
          <w:sz w:val="24"/>
        </w:rPr>
        <w:t>20</w:t>
      </w:r>
      <w:r>
        <w:rPr>
          <w:rFonts w:ascii="宋体" w:hAnsi="宋体"/>
          <w:sz w:val="24"/>
        </w:rPr>
        <w:t>26</w:t>
      </w:r>
      <w:r>
        <w:rPr>
          <w:rFonts w:ascii="宋体" w:hAnsi="宋体" w:hint="eastAsia"/>
          <w:sz w:val="24"/>
        </w:rPr>
        <w:t>年</w:t>
      </w:r>
      <w:r>
        <w:rPr>
          <w:rFonts w:ascii="宋体" w:hAnsi="宋体"/>
          <w:sz w:val="24"/>
        </w:rPr>
        <w:t>3</w:t>
      </w:r>
      <w:r>
        <w:rPr>
          <w:rFonts w:ascii="宋体" w:hAnsi="宋体" w:hint="eastAsia"/>
          <w:sz w:val="24"/>
        </w:rPr>
        <w:t>月</w:t>
      </w:r>
      <w:r>
        <w:rPr>
          <w:rFonts w:ascii="宋体" w:hAnsi="宋体"/>
          <w:sz w:val="24"/>
        </w:rPr>
        <w:t>19</w:t>
      </w:r>
      <w:r>
        <w:rPr>
          <w:rFonts w:ascii="宋体" w:hAnsi="宋体" w:hint="eastAsia"/>
          <w:sz w:val="24"/>
        </w:rPr>
        <w:t>日</w:t>
      </w:r>
      <w:r>
        <w:rPr>
          <w:rFonts w:hint="eastAsia"/>
          <w:sz w:val="24"/>
        </w:rPr>
        <w:t>起</w:t>
      </w:r>
      <w:r>
        <w:rPr>
          <w:rFonts w:ascii="宋体" w:hAnsi="宋体" w:hint="eastAsia"/>
          <w:sz w:val="24"/>
        </w:rPr>
        <w:t>对本</w:t>
      </w:r>
      <w:r>
        <w:rPr>
          <w:rFonts w:hint="eastAsia"/>
          <w:sz w:val="24"/>
        </w:rPr>
        <w:t>公司旗下基金</w:t>
      </w:r>
      <w:r>
        <w:rPr>
          <w:sz w:val="24"/>
        </w:rPr>
        <w:t>（</w:t>
      </w:r>
      <w:r>
        <w:rPr>
          <w:sz w:val="24"/>
        </w:rPr>
        <w:t>ETF</w:t>
      </w:r>
      <w:r>
        <w:rPr>
          <w:sz w:val="24"/>
        </w:rPr>
        <w:t>除外）</w:t>
      </w:r>
      <w:r>
        <w:rPr>
          <w:rFonts w:hint="eastAsia"/>
          <w:sz w:val="24"/>
        </w:rPr>
        <w:t>所持有的该股票采用“指数收益法”进行估值。该股票复牌后，本公司将综合参考各项相关影响因素并与基金托管人协商后确定对该股票恢复按市价估值法进行估值。届时不再另行公告。</w:t>
      </w:r>
    </w:p>
    <w:p w:rsidR="00000000" w:rsidRDefault="00AA1290">
      <w:pPr>
        <w:widowControl/>
        <w:adjustRightInd w:val="0"/>
        <w:spacing w:line="360" w:lineRule="auto"/>
        <w:ind w:firstLineChars="200" w:firstLine="480"/>
        <w:rPr>
          <w:rFonts w:hint="eastAsia"/>
          <w:sz w:val="24"/>
        </w:rPr>
      </w:pPr>
      <w:r>
        <w:rPr>
          <w:rFonts w:hint="eastAsia"/>
          <w:sz w:val="24"/>
        </w:rPr>
        <w:t>本公司旗下基金将严格按照《企业会计准则》、指导意见、中国证监会相关规定和基金合同中关于估值的约定对基金所持有的投资品种进行估值，请广大投资者关注。</w:t>
      </w:r>
    </w:p>
    <w:p w:rsidR="00000000" w:rsidRDefault="00AA1290">
      <w:pPr>
        <w:widowControl/>
        <w:adjustRightInd w:val="0"/>
        <w:spacing w:line="360" w:lineRule="auto"/>
        <w:ind w:firstLineChars="200" w:firstLine="480"/>
        <w:jc w:val="left"/>
        <w:rPr>
          <w:rFonts w:hint="eastAsia"/>
          <w:sz w:val="24"/>
        </w:rPr>
      </w:pPr>
      <w:r>
        <w:rPr>
          <w:rFonts w:hint="eastAsia"/>
          <w:sz w:val="24"/>
        </w:rPr>
        <w:t>特此公告。</w:t>
      </w:r>
    </w:p>
    <w:p w:rsidR="00000000" w:rsidRDefault="00AA1290">
      <w:pPr>
        <w:widowControl/>
        <w:adjustRightInd w:val="0"/>
        <w:spacing w:line="480" w:lineRule="auto"/>
        <w:ind w:firstLineChars="200" w:firstLine="480"/>
        <w:jc w:val="left"/>
        <w:rPr>
          <w:rFonts w:ascii="宋体" w:hAnsi="Calibri" w:cs="宋体" w:hint="eastAsia"/>
          <w:kern w:val="0"/>
          <w:sz w:val="24"/>
        </w:rPr>
      </w:pPr>
    </w:p>
    <w:p w:rsidR="00000000" w:rsidRDefault="00AA1290">
      <w:pPr>
        <w:widowControl/>
        <w:adjustRightInd w:val="0"/>
        <w:spacing w:line="480" w:lineRule="auto"/>
        <w:ind w:firstLineChars="200" w:firstLine="480"/>
        <w:jc w:val="left"/>
        <w:rPr>
          <w:rFonts w:ascii="宋体" w:hAnsi="Calibri" w:cs="宋体" w:hint="eastAsia"/>
          <w:kern w:val="0"/>
          <w:sz w:val="24"/>
        </w:rPr>
      </w:pPr>
    </w:p>
    <w:p w:rsidR="00000000" w:rsidRDefault="00AA1290">
      <w:pPr>
        <w:widowControl/>
        <w:adjustRightInd w:val="0"/>
        <w:spacing w:line="480" w:lineRule="auto"/>
        <w:ind w:firstLineChars="200" w:firstLine="480"/>
        <w:jc w:val="left"/>
        <w:rPr>
          <w:rFonts w:ascii="宋体" w:hAnsi="Calibri" w:cs="宋体" w:hint="eastAsia"/>
          <w:kern w:val="0"/>
          <w:sz w:val="24"/>
        </w:rPr>
      </w:pPr>
    </w:p>
    <w:p w:rsidR="00000000" w:rsidRDefault="00AA1290">
      <w:pPr>
        <w:pStyle w:val="a6"/>
        <w:spacing w:before="0" w:beforeAutospacing="0" w:after="0" w:afterAutospacing="0" w:line="360" w:lineRule="auto"/>
        <w:ind w:firstLineChars="1900" w:firstLine="4560"/>
        <w:jc w:val="right"/>
        <w:rPr>
          <w:rFonts w:hint="eastAsia"/>
          <w:bCs/>
        </w:rPr>
      </w:pPr>
      <w:r>
        <w:rPr>
          <w:rFonts w:hint="eastAsia"/>
          <w:bCs/>
        </w:rPr>
        <w:t>华富基金管理有限公司</w:t>
      </w:r>
    </w:p>
    <w:p w:rsidR="00000000" w:rsidRDefault="00AA1290">
      <w:pPr>
        <w:pStyle w:val="a6"/>
        <w:spacing w:before="0" w:beforeAutospacing="0" w:after="0" w:afterAutospacing="0" w:line="360" w:lineRule="auto"/>
        <w:ind w:firstLineChars="500" w:firstLine="1200"/>
        <w:jc w:val="right"/>
        <w:rPr>
          <w:rFonts w:hint="eastAsia"/>
          <w:bCs/>
        </w:rPr>
      </w:pPr>
      <w:r>
        <w:rPr>
          <w:rFonts w:hint="eastAsia"/>
          <w:bCs/>
        </w:rPr>
        <w:t>20</w:t>
      </w:r>
      <w:r>
        <w:rPr>
          <w:bCs/>
        </w:rPr>
        <w:t>26</w:t>
      </w:r>
      <w:r>
        <w:rPr>
          <w:rFonts w:hint="eastAsia"/>
          <w:bCs/>
        </w:rPr>
        <w:t>年</w:t>
      </w:r>
      <w:r>
        <w:rPr>
          <w:bCs/>
        </w:rPr>
        <w:t>3</w:t>
      </w:r>
      <w:r>
        <w:rPr>
          <w:rFonts w:hint="eastAsia"/>
          <w:bCs/>
        </w:rPr>
        <w:t>月</w:t>
      </w:r>
      <w:r>
        <w:rPr>
          <w:bCs/>
        </w:rPr>
        <w:t>20</w:t>
      </w:r>
      <w:r>
        <w:rPr>
          <w:rFonts w:hint="eastAsia"/>
          <w:bCs/>
        </w:rPr>
        <w:t>日</w:t>
      </w:r>
    </w:p>
    <w:sectPr w:rsidR="0000000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A1290">
      <w:pPr>
        <w:rPr>
          <w:sz w:val="18"/>
        </w:rPr>
      </w:pPr>
    </w:p>
  </w:endnote>
  <w:endnote w:type="continuationSeparator" w:id="0">
    <w:p w:rsidR="00000000" w:rsidRDefault="00AA1290">
      <w:pPr>
        <w:rPr>
          <w:sz w:val="18"/>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A1290">
      <w:pPr>
        <w:rPr>
          <w:sz w:val="18"/>
        </w:rPr>
      </w:pPr>
    </w:p>
  </w:footnote>
  <w:footnote w:type="continuationSeparator" w:id="0">
    <w:p w:rsidR="00000000" w:rsidRDefault="00AA1290">
      <w:pPr>
        <w:rPr>
          <w:sz w:val="18"/>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stylePaneFormatFilter w:val="3F01"/>
  <w:trackRevisions/>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63E9"/>
    <w:rsid w:val="0000113E"/>
    <w:rsid w:val="00030F72"/>
    <w:rsid w:val="00033D6D"/>
    <w:rsid w:val="000347E3"/>
    <w:rsid w:val="0005069F"/>
    <w:rsid w:val="000978A6"/>
    <w:rsid w:val="000B4100"/>
    <w:rsid w:val="000B5B03"/>
    <w:rsid w:val="000C42A6"/>
    <w:rsid w:val="000C5AA9"/>
    <w:rsid w:val="000D31F0"/>
    <w:rsid w:val="000E4E14"/>
    <w:rsid w:val="000E5A5E"/>
    <w:rsid w:val="00101025"/>
    <w:rsid w:val="001229AF"/>
    <w:rsid w:val="0012393B"/>
    <w:rsid w:val="00166833"/>
    <w:rsid w:val="0017003D"/>
    <w:rsid w:val="00176AED"/>
    <w:rsid w:val="001818A0"/>
    <w:rsid w:val="001A5930"/>
    <w:rsid w:val="001B08E8"/>
    <w:rsid w:val="001B1F30"/>
    <w:rsid w:val="001C4318"/>
    <w:rsid w:val="001C746F"/>
    <w:rsid w:val="001D0376"/>
    <w:rsid w:val="001E0E3A"/>
    <w:rsid w:val="001F1E61"/>
    <w:rsid w:val="00215922"/>
    <w:rsid w:val="00215C45"/>
    <w:rsid w:val="00245BA8"/>
    <w:rsid w:val="00253923"/>
    <w:rsid w:val="002708D2"/>
    <w:rsid w:val="00270A3C"/>
    <w:rsid w:val="00272C46"/>
    <w:rsid w:val="0028011F"/>
    <w:rsid w:val="0028428A"/>
    <w:rsid w:val="00294FD6"/>
    <w:rsid w:val="002952E3"/>
    <w:rsid w:val="00297677"/>
    <w:rsid w:val="002A7963"/>
    <w:rsid w:val="002B3635"/>
    <w:rsid w:val="002B3B32"/>
    <w:rsid w:val="002B6956"/>
    <w:rsid w:val="002C67CD"/>
    <w:rsid w:val="002D1368"/>
    <w:rsid w:val="002F3409"/>
    <w:rsid w:val="00312693"/>
    <w:rsid w:val="003212A5"/>
    <w:rsid w:val="00333550"/>
    <w:rsid w:val="003704DF"/>
    <w:rsid w:val="003847BE"/>
    <w:rsid w:val="00387669"/>
    <w:rsid w:val="00390D6B"/>
    <w:rsid w:val="00395B30"/>
    <w:rsid w:val="003A7735"/>
    <w:rsid w:val="003B3518"/>
    <w:rsid w:val="003C01AC"/>
    <w:rsid w:val="003C0527"/>
    <w:rsid w:val="003D76FD"/>
    <w:rsid w:val="003E408B"/>
    <w:rsid w:val="003E611B"/>
    <w:rsid w:val="003F66BC"/>
    <w:rsid w:val="00412A76"/>
    <w:rsid w:val="004344F7"/>
    <w:rsid w:val="00474462"/>
    <w:rsid w:val="0049127D"/>
    <w:rsid w:val="00497483"/>
    <w:rsid w:val="004A481C"/>
    <w:rsid w:val="004C50E3"/>
    <w:rsid w:val="004D71FA"/>
    <w:rsid w:val="004D7FBA"/>
    <w:rsid w:val="004E2908"/>
    <w:rsid w:val="004F51E4"/>
    <w:rsid w:val="0050118E"/>
    <w:rsid w:val="00526E52"/>
    <w:rsid w:val="0053631B"/>
    <w:rsid w:val="00536DE4"/>
    <w:rsid w:val="00540ECD"/>
    <w:rsid w:val="00553838"/>
    <w:rsid w:val="00565F70"/>
    <w:rsid w:val="00580254"/>
    <w:rsid w:val="005907A0"/>
    <w:rsid w:val="005C2C35"/>
    <w:rsid w:val="005C6449"/>
    <w:rsid w:val="005D0130"/>
    <w:rsid w:val="005D2788"/>
    <w:rsid w:val="005D3A40"/>
    <w:rsid w:val="005E52C5"/>
    <w:rsid w:val="005F4406"/>
    <w:rsid w:val="006419C9"/>
    <w:rsid w:val="00647EAB"/>
    <w:rsid w:val="00654DE4"/>
    <w:rsid w:val="00665A1B"/>
    <w:rsid w:val="006669EB"/>
    <w:rsid w:val="006759CB"/>
    <w:rsid w:val="0068375D"/>
    <w:rsid w:val="006902F3"/>
    <w:rsid w:val="006B2724"/>
    <w:rsid w:val="006C000A"/>
    <w:rsid w:val="006C14F7"/>
    <w:rsid w:val="006C621F"/>
    <w:rsid w:val="006C7C2B"/>
    <w:rsid w:val="006E4FF0"/>
    <w:rsid w:val="00703435"/>
    <w:rsid w:val="00722A81"/>
    <w:rsid w:val="00722B95"/>
    <w:rsid w:val="0075276A"/>
    <w:rsid w:val="007820A0"/>
    <w:rsid w:val="00786713"/>
    <w:rsid w:val="007907F8"/>
    <w:rsid w:val="00797370"/>
    <w:rsid w:val="007B385F"/>
    <w:rsid w:val="007B6414"/>
    <w:rsid w:val="007C1DBD"/>
    <w:rsid w:val="007D2E0C"/>
    <w:rsid w:val="007E134D"/>
    <w:rsid w:val="00807859"/>
    <w:rsid w:val="00825830"/>
    <w:rsid w:val="008363E9"/>
    <w:rsid w:val="008565A3"/>
    <w:rsid w:val="00857BF5"/>
    <w:rsid w:val="00860E51"/>
    <w:rsid w:val="00866DA6"/>
    <w:rsid w:val="00891A43"/>
    <w:rsid w:val="008A3DFD"/>
    <w:rsid w:val="008A6DB8"/>
    <w:rsid w:val="008C33F9"/>
    <w:rsid w:val="008C46F8"/>
    <w:rsid w:val="008E1A6C"/>
    <w:rsid w:val="008E236D"/>
    <w:rsid w:val="008E7A09"/>
    <w:rsid w:val="008F6BF2"/>
    <w:rsid w:val="00906D1D"/>
    <w:rsid w:val="00922064"/>
    <w:rsid w:val="00937782"/>
    <w:rsid w:val="00943CFA"/>
    <w:rsid w:val="00986868"/>
    <w:rsid w:val="009A381F"/>
    <w:rsid w:val="009B1B54"/>
    <w:rsid w:val="009B2562"/>
    <w:rsid w:val="009B2564"/>
    <w:rsid w:val="009B675F"/>
    <w:rsid w:val="009D5D5E"/>
    <w:rsid w:val="009F2CE5"/>
    <w:rsid w:val="009F586F"/>
    <w:rsid w:val="009F5D18"/>
    <w:rsid w:val="00A10C8D"/>
    <w:rsid w:val="00A13FE7"/>
    <w:rsid w:val="00A303EA"/>
    <w:rsid w:val="00A53878"/>
    <w:rsid w:val="00A6464A"/>
    <w:rsid w:val="00A64E7E"/>
    <w:rsid w:val="00A7013E"/>
    <w:rsid w:val="00A949A1"/>
    <w:rsid w:val="00A95565"/>
    <w:rsid w:val="00AA0358"/>
    <w:rsid w:val="00AA0BD1"/>
    <w:rsid w:val="00AA1290"/>
    <w:rsid w:val="00AB0CB2"/>
    <w:rsid w:val="00AD360D"/>
    <w:rsid w:val="00AD52E2"/>
    <w:rsid w:val="00AE0B2C"/>
    <w:rsid w:val="00AE466A"/>
    <w:rsid w:val="00AF42DA"/>
    <w:rsid w:val="00B012F6"/>
    <w:rsid w:val="00B01D51"/>
    <w:rsid w:val="00B07FDC"/>
    <w:rsid w:val="00B12C30"/>
    <w:rsid w:val="00B20B26"/>
    <w:rsid w:val="00B238B1"/>
    <w:rsid w:val="00B371BA"/>
    <w:rsid w:val="00B45A30"/>
    <w:rsid w:val="00B61702"/>
    <w:rsid w:val="00B716D3"/>
    <w:rsid w:val="00B81112"/>
    <w:rsid w:val="00B83D0F"/>
    <w:rsid w:val="00BA43A4"/>
    <w:rsid w:val="00BB4FA8"/>
    <w:rsid w:val="00BB5E0D"/>
    <w:rsid w:val="00BD7946"/>
    <w:rsid w:val="00BE2B8A"/>
    <w:rsid w:val="00BE2FBC"/>
    <w:rsid w:val="00C11FC6"/>
    <w:rsid w:val="00C16841"/>
    <w:rsid w:val="00C561F4"/>
    <w:rsid w:val="00C61383"/>
    <w:rsid w:val="00D00EE5"/>
    <w:rsid w:val="00D05CFE"/>
    <w:rsid w:val="00D23659"/>
    <w:rsid w:val="00D244FE"/>
    <w:rsid w:val="00D321B8"/>
    <w:rsid w:val="00D46D76"/>
    <w:rsid w:val="00D475DC"/>
    <w:rsid w:val="00D52115"/>
    <w:rsid w:val="00D53BC2"/>
    <w:rsid w:val="00D553EF"/>
    <w:rsid w:val="00D57E2F"/>
    <w:rsid w:val="00D753FC"/>
    <w:rsid w:val="00D76120"/>
    <w:rsid w:val="00D95C1F"/>
    <w:rsid w:val="00DA67B8"/>
    <w:rsid w:val="00DC0C9F"/>
    <w:rsid w:val="00DC458E"/>
    <w:rsid w:val="00DD13A0"/>
    <w:rsid w:val="00DD402B"/>
    <w:rsid w:val="00DE56CC"/>
    <w:rsid w:val="00E07539"/>
    <w:rsid w:val="00E2726E"/>
    <w:rsid w:val="00E30836"/>
    <w:rsid w:val="00E32565"/>
    <w:rsid w:val="00E348BC"/>
    <w:rsid w:val="00E35658"/>
    <w:rsid w:val="00E5345C"/>
    <w:rsid w:val="00E62AC8"/>
    <w:rsid w:val="00E676F8"/>
    <w:rsid w:val="00E7719C"/>
    <w:rsid w:val="00EA6946"/>
    <w:rsid w:val="00EB1BC9"/>
    <w:rsid w:val="00EC1201"/>
    <w:rsid w:val="00EE1838"/>
    <w:rsid w:val="00EE1A91"/>
    <w:rsid w:val="00EF4B54"/>
    <w:rsid w:val="00F175F0"/>
    <w:rsid w:val="00F17A87"/>
    <w:rsid w:val="00F2028A"/>
    <w:rsid w:val="00F26A1C"/>
    <w:rsid w:val="00F37335"/>
    <w:rsid w:val="00F50463"/>
    <w:rsid w:val="00F5553D"/>
    <w:rsid w:val="00F77DCE"/>
    <w:rsid w:val="00F8349F"/>
    <w:rsid w:val="00F84602"/>
    <w:rsid w:val="00F84C10"/>
    <w:rsid w:val="00FC179F"/>
    <w:rsid w:val="1C757FCA"/>
    <w:rsid w:val="7D3B43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qFormat/>
    <w:pPr>
      <w:widowControl/>
      <w:spacing w:before="100" w:beforeAutospacing="1" w:after="100" w:afterAutospacing="1"/>
      <w:jc w:val="center"/>
      <w:outlineLvl w:val="2"/>
    </w:pPr>
    <w:rPr>
      <w:rFonts w:ascii="宋体" w:hAnsi="宋体" w:cs="宋体"/>
      <w:b/>
      <w:bCs/>
      <w:kern w:val="0"/>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semiHidden/>
    <w:rPr>
      <w:rFonts w:ascii="Cambria" w:eastAsia="宋体" w:hAnsi="Cambria" w:cs="Times New Roman"/>
      <w:b/>
      <w:bCs/>
      <w:kern w:val="2"/>
      <w:sz w:val="32"/>
      <w:szCs w:val="32"/>
    </w:rPr>
  </w:style>
  <w:style w:type="paragraph" w:styleId="a3">
    <w:name w:val="Balloon Text"/>
    <w:basedOn w:val="a"/>
    <w:semiHidden/>
    <w:rPr>
      <w:sz w:val="18"/>
      <w:szCs w:val="18"/>
    </w:rPr>
  </w:style>
  <w:style w:type="paragraph" w:styleId="a4">
    <w:name w:val="footer"/>
    <w:basedOn w:val="a"/>
    <w:link w:val="Char"/>
    <w:pPr>
      <w:tabs>
        <w:tab w:val="center" w:pos="4153"/>
        <w:tab w:val="right" w:pos="8306"/>
      </w:tabs>
      <w:snapToGrid w:val="0"/>
      <w:jc w:val="left"/>
    </w:pPr>
    <w:rPr>
      <w:sz w:val="18"/>
      <w:szCs w:val="18"/>
    </w:rPr>
  </w:style>
  <w:style w:type="character" w:customStyle="1" w:styleId="Char">
    <w:name w:val="页脚 Char"/>
    <w:link w:val="a4"/>
    <w:rPr>
      <w:kern w:val="2"/>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Pr>
      <w:kern w:val="2"/>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character" w:styleId="a7">
    <w:name w:val="Strong"/>
    <w:qFormat/>
    <w:rPr>
      <w:b/>
      <w:bC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4</DocSecurity>
  <Lines>3</Lines>
  <Paragraphs>1</Paragraphs>
  <ScaleCrop>false</ScaleCrop>
  <Company>hffund</Company>
  <LinksUpToDate>false</LinksUpToDate>
  <CharactersWithSpaces>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华富基金管理有限公司关于旗下基金持有的股票停牌后估值方法变更的提示性公告</dc:title>
  <dc:subject/>
  <dc:creator>huangll</dc:creator>
  <cp:keywords/>
  <cp:lastModifiedBy>ZHONGM</cp:lastModifiedBy>
  <cp:revision>2</cp:revision>
  <cp:lastPrinted>2024-01-23T10:36:00Z</cp:lastPrinted>
  <dcterms:created xsi:type="dcterms:W3CDTF">2026-03-19T16:02:00Z</dcterms:created>
  <dcterms:modified xsi:type="dcterms:W3CDTF">2026-03-19T16:02:00Z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3978FF2EFAA24B2EACF2198F6266F385_13</vt:lpwstr>
  </property>
  <property fmtid="{D5CDD505-2E9C-101B-9397-08002B2CF9AE}" pid="4" name="KSOTemplateDocerSaveRecord">
    <vt:lpwstr>eyJoZGlkIjoiMDA3OTliN2JhNzQ5OWYzM2Q5M2U3OTgzODQxZmE3OGUiLCJ1c2VySWQiOiIxNjE1ODM3MDM0In0=</vt:lpwstr>
  </property>
</Properties>
</file>