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DAF" w:rsidRPr="003A4804" w:rsidRDefault="00597DA4" w:rsidP="000E7409">
      <w:pPr>
        <w:pStyle w:val="a4"/>
        <w:spacing w:line="360" w:lineRule="auto"/>
        <w:ind w:rightChars="130" w:right="286" w:firstLineChars="200" w:firstLine="600"/>
        <w:rPr>
          <w:rFonts w:asciiTheme="minorEastAsia" w:eastAsiaTheme="minorEastAsia" w:hAnsiTheme="minorEastAsia"/>
        </w:rPr>
      </w:pPr>
      <w:r w:rsidRPr="003A4804">
        <w:rPr>
          <w:rFonts w:asciiTheme="minorEastAsia" w:eastAsiaTheme="minorEastAsia" w:hAnsiTheme="minorEastAsia"/>
          <w:spacing w:val="-1"/>
        </w:rPr>
        <w:t>关于</w:t>
      </w:r>
      <w:r w:rsidR="0075128E" w:rsidRPr="0075128E">
        <w:rPr>
          <w:rFonts w:asciiTheme="minorEastAsia" w:eastAsiaTheme="minorEastAsia" w:hAnsiTheme="minorEastAsia" w:hint="eastAsia"/>
          <w:spacing w:val="-1"/>
        </w:rPr>
        <w:t>融通产业趋势精选混合型证券投资基金</w:t>
      </w:r>
      <w:r w:rsidRPr="003A4804">
        <w:rPr>
          <w:rFonts w:asciiTheme="minorEastAsia" w:eastAsiaTheme="minorEastAsia" w:hAnsiTheme="minorEastAsia"/>
          <w:spacing w:val="-1"/>
        </w:rPr>
        <w:t>开通同一基金不同类别基金份额相互转换业务的公告</w:t>
      </w:r>
    </w:p>
    <w:p w:rsidR="008C7DAF" w:rsidRPr="003A4804" w:rsidRDefault="008C7DAF" w:rsidP="000E7409">
      <w:pPr>
        <w:pStyle w:val="a3"/>
        <w:spacing w:before="0" w:line="360" w:lineRule="auto"/>
        <w:ind w:left="0" w:firstLineChars="200" w:firstLine="602"/>
        <w:rPr>
          <w:rFonts w:asciiTheme="minorEastAsia" w:eastAsiaTheme="minorEastAsia" w:hAnsiTheme="minorEastAsia"/>
          <w:b/>
          <w:sz w:val="30"/>
        </w:rPr>
      </w:pPr>
    </w:p>
    <w:p w:rsidR="008C7DAF" w:rsidRPr="003A4804" w:rsidRDefault="00597DA4" w:rsidP="000E7409">
      <w:pPr>
        <w:pStyle w:val="a3"/>
        <w:spacing w:before="0" w:line="360" w:lineRule="auto"/>
        <w:ind w:left="0" w:firstLineChars="200" w:firstLine="476"/>
        <w:rPr>
          <w:rFonts w:asciiTheme="minorEastAsia" w:eastAsiaTheme="minorEastAsia" w:hAnsiTheme="minorEastAsia"/>
        </w:rPr>
      </w:pPr>
      <w:r w:rsidRPr="003A4804">
        <w:rPr>
          <w:rFonts w:asciiTheme="minorEastAsia" w:eastAsiaTheme="minorEastAsia" w:hAnsiTheme="minorEastAsia"/>
          <w:spacing w:val="-2"/>
        </w:rPr>
        <w:t>为了满足投资者的理财需求，</w:t>
      </w:r>
      <w:r w:rsidR="003A4804">
        <w:rPr>
          <w:rFonts w:asciiTheme="minorEastAsia" w:eastAsiaTheme="minorEastAsia" w:hAnsiTheme="minorEastAsia" w:hint="eastAsia"/>
          <w:spacing w:val="-2"/>
        </w:rPr>
        <w:t>融通</w:t>
      </w:r>
      <w:r w:rsidRPr="003A4804">
        <w:rPr>
          <w:rFonts w:asciiTheme="minorEastAsia" w:eastAsiaTheme="minorEastAsia" w:hAnsiTheme="minorEastAsia"/>
          <w:spacing w:val="-2"/>
        </w:rPr>
        <w:t>基金管理有限公司（以下简称“本公</w:t>
      </w:r>
      <w:r w:rsidRPr="003A4804">
        <w:rPr>
          <w:rFonts w:asciiTheme="minorEastAsia" w:eastAsiaTheme="minorEastAsia" w:hAnsiTheme="minorEastAsia"/>
          <w:spacing w:val="-4"/>
        </w:rPr>
        <w:t>司”）</w:t>
      </w:r>
      <w:r w:rsidRPr="003A4804">
        <w:rPr>
          <w:rFonts w:asciiTheme="minorEastAsia" w:eastAsiaTheme="minorEastAsia" w:hAnsiTheme="minorEastAsia"/>
          <w:spacing w:val="-17"/>
        </w:rPr>
        <w:t>决定自</w:t>
      </w:r>
      <w:r w:rsidRPr="003A4804">
        <w:rPr>
          <w:rFonts w:asciiTheme="minorEastAsia" w:eastAsiaTheme="minorEastAsia" w:hAnsiTheme="minorEastAsia"/>
          <w:spacing w:val="-4"/>
        </w:rPr>
        <w:t>202</w:t>
      </w:r>
      <w:r w:rsidR="0075128E">
        <w:rPr>
          <w:rFonts w:asciiTheme="minorEastAsia" w:eastAsiaTheme="minorEastAsia" w:hAnsiTheme="minorEastAsia" w:hint="eastAsia"/>
          <w:spacing w:val="-39"/>
        </w:rPr>
        <w:t xml:space="preserve">6 </w:t>
      </w:r>
      <w:r w:rsidRPr="003A4804">
        <w:rPr>
          <w:rFonts w:asciiTheme="minorEastAsia" w:eastAsiaTheme="minorEastAsia" w:hAnsiTheme="minorEastAsia"/>
          <w:spacing w:val="-39"/>
        </w:rPr>
        <w:t>年</w:t>
      </w:r>
      <w:r w:rsidR="0075128E">
        <w:rPr>
          <w:rFonts w:asciiTheme="minorEastAsia" w:eastAsiaTheme="minorEastAsia" w:hAnsiTheme="minorEastAsia" w:hint="eastAsia"/>
          <w:spacing w:val="-39"/>
        </w:rPr>
        <w:t>3</w:t>
      </w:r>
      <w:r w:rsidRPr="003A4804">
        <w:rPr>
          <w:rFonts w:asciiTheme="minorEastAsia" w:eastAsiaTheme="minorEastAsia" w:hAnsiTheme="minorEastAsia"/>
          <w:spacing w:val="-39"/>
        </w:rPr>
        <w:t>月</w:t>
      </w:r>
      <w:r w:rsidR="001074BA">
        <w:rPr>
          <w:rFonts w:asciiTheme="minorEastAsia" w:eastAsiaTheme="minorEastAsia" w:hAnsiTheme="minorEastAsia" w:hint="eastAsia"/>
          <w:spacing w:val="-4"/>
        </w:rPr>
        <w:t>20</w:t>
      </w:r>
      <w:r w:rsidRPr="003A4804">
        <w:rPr>
          <w:rFonts w:asciiTheme="minorEastAsia" w:eastAsiaTheme="minorEastAsia" w:hAnsiTheme="minorEastAsia"/>
          <w:spacing w:val="-12"/>
        </w:rPr>
        <w:t>日起对</w:t>
      </w:r>
      <w:r w:rsidR="003A4804">
        <w:rPr>
          <w:rFonts w:asciiTheme="minorEastAsia" w:eastAsiaTheme="minorEastAsia" w:hAnsiTheme="minorEastAsia" w:hint="eastAsia"/>
          <w:spacing w:val="-12"/>
        </w:rPr>
        <w:t>旗下</w:t>
      </w:r>
      <w:r w:rsidR="00905C65">
        <w:rPr>
          <w:rFonts w:asciiTheme="minorEastAsia" w:eastAsiaTheme="minorEastAsia" w:hAnsiTheme="minorEastAsia" w:hint="eastAsia"/>
          <w:spacing w:val="-12"/>
        </w:rPr>
        <w:t>的</w:t>
      </w:r>
      <w:r w:rsidR="00905C65" w:rsidRPr="00905C65">
        <w:rPr>
          <w:rFonts w:asciiTheme="minorEastAsia" w:eastAsiaTheme="minorEastAsia" w:hAnsiTheme="minorEastAsia" w:hint="eastAsia"/>
          <w:spacing w:val="-12"/>
        </w:rPr>
        <w:t>融通产业趋势精选混合型证券投资基金（以下简称“本基金”）</w:t>
      </w:r>
      <w:r w:rsidRPr="003A4804">
        <w:rPr>
          <w:rFonts w:asciiTheme="minorEastAsia" w:eastAsiaTheme="minorEastAsia" w:hAnsiTheme="minorEastAsia"/>
          <w:spacing w:val="-2"/>
        </w:rPr>
        <w:t>开通同一基金不同类别基金份额之间的转换业务。</w:t>
      </w:r>
    </w:p>
    <w:p w:rsidR="008C7DAF" w:rsidRPr="003A4804" w:rsidRDefault="00597DA4" w:rsidP="000E7409">
      <w:pPr>
        <w:pStyle w:val="a3"/>
        <w:spacing w:before="0" w:line="360" w:lineRule="auto"/>
        <w:ind w:left="0" w:firstLineChars="200" w:firstLine="478"/>
        <w:rPr>
          <w:rFonts w:asciiTheme="minorEastAsia" w:eastAsiaTheme="minorEastAsia" w:hAnsiTheme="minorEastAsia"/>
        </w:rPr>
      </w:pPr>
      <w:r w:rsidRPr="003A4804">
        <w:rPr>
          <w:rFonts w:asciiTheme="minorEastAsia" w:eastAsiaTheme="minorEastAsia" w:hAnsiTheme="minorEastAsia"/>
          <w:spacing w:val="-1"/>
        </w:rPr>
        <w:t>现将相关事项公告如下：</w:t>
      </w:r>
    </w:p>
    <w:p w:rsidR="008C7DAF" w:rsidRDefault="005C438E" w:rsidP="000E7409">
      <w:pPr>
        <w:pStyle w:val="1"/>
        <w:spacing w:before="0" w:line="360" w:lineRule="auto"/>
        <w:ind w:left="0" w:firstLineChars="200" w:firstLine="478"/>
        <w:rPr>
          <w:rFonts w:asciiTheme="minorEastAsia" w:eastAsiaTheme="minorEastAsia" w:hAnsiTheme="minorEastAsia"/>
          <w:spacing w:val="-2"/>
        </w:rPr>
      </w:pPr>
      <w:r>
        <w:rPr>
          <w:rFonts w:asciiTheme="minorEastAsia" w:eastAsiaTheme="minorEastAsia" w:hAnsiTheme="minorEastAsia" w:hint="eastAsia"/>
          <w:spacing w:val="-2"/>
        </w:rPr>
        <w:t>一、</w:t>
      </w:r>
      <w:r w:rsidR="00597DA4" w:rsidRPr="003A4804">
        <w:rPr>
          <w:rFonts w:asciiTheme="minorEastAsia" w:eastAsiaTheme="minorEastAsia" w:hAnsiTheme="minorEastAsia"/>
          <w:spacing w:val="-2"/>
        </w:rPr>
        <w:t>适用基金</w:t>
      </w:r>
    </w:p>
    <w:tbl>
      <w:tblPr>
        <w:tblW w:w="9176" w:type="dxa"/>
        <w:jc w:val="center"/>
        <w:tblLook w:val="04A0"/>
      </w:tblPr>
      <w:tblGrid>
        <w:gridCol w:w="1416"/>
        <w:gridCol w:w="4580"/>
        <w:gridCol w:w="3180"/>
      </w:tblGrid>
      <w:tr w:rsidR="003A4804" w:rsidRPr="003A4804" w:rsidTr="000E7409">
        <w:trPr>
          <w:trHeight w:val="280"/>
          <w:jc w:val="center"/>
        </w:trPr>
        <w:tc>
          <w:tcPr>
            <w:tcW w:w="1416" w:type="dxa"/>
            <w:tcBorders>
              <w:top w:val="single" w:sz="4" w:space="0" w:color="000000"/>
              <w:left w:val="single" w:sz="4" w:space="0" w:color="000000"/>
              <w:bottom w:val="single" w:sz="4" w:space="0" w:color="000000"/>
              <w:right w:val="single" w:sz="4" w:space="0" w:color="000000"/>
            </w:tcBorders>
            <w:noWrap/>
            <w:vAlign w:val="center"/>
            <w:hideMark/>
          </w:tcPr>
          <w:p w:rsidR="003A4804" w:rsidRPr="003A4804" w:rsidRDefault="003A4804" w:rsidP="000E7409">
            <w:pPr>
              <w:widowControl/>
              <w:autoSpaceDE/>
              <w:autoSpaceDN/>
              <w:spacing w:line="360" w:lineRule="auto"/>
              <w:ind w:firstLineChars="200" w:firstLine="402"/>
              <w:jc w:val="center"/>
              <w:rPr>
                <w:b/>
                <w:bCs/>
                <w:sz w:val="20"/>
                <w:szCs w:val="20"/>
              </w:rPr>
            </w:pPr>
            <w:r w:rsidRPr="003A4804">
              <w:rPr>
                <w:rFonts w:hint="eastAsia"/>
                <w:b/>
                <w:bCs/>
                <w:sz w:val="20"/>
                <w:szCs w:val="20"/>
              </w:rPr>
              <w:t>基金代码</w:t>
            </w:r>
          </w:p>
        </w:tc>
        <w:tc>
          <w:tcPr>
            <w:tcW w:w="4580" w:type="dxa"/>
            <w:tcBorders>
              <w:top w:val="single" w:sz="4" w:space="0" w:color="000000"/>
              <w:left w:val="nil"/>
              <w:bottom w:val="single" w:sz="4" w:space="0" w:color="000000"/>
              <w:right w:val="single" w:sz="4" w:space="0" w:color="000000"/>
            </w:tcBorders>
            <w:noWrap/>
            <w:vAlign w:val="center"/>
            <w:hideMark/>
          </w:tcPr>
          <w:p w:rsidR="003A4804" w:rsidRPr="003A4804" w:rsidRDefault="003A4804" w:rsidP="000E7409">
            <w:pPr>
              <w:widowControl/>
              <w:autoSpaceDE/>
              <w:autoSpaceDN/>
              <w:spacing w:line="360" w:lineRule="auto"/>
              <w:ind w:firstLineChars="200" w:firstLine="402"/>
              <w:jc w:val="center"/>
              <w:rPr>
                <w:b/>
                <w:bCs/>
                <w:sz w:val="20"/>
                <w:szCs w:val="20"/>
              </w:rPr>
            </w:pPr>
            <w:r w:rsidRPr="003A4804">
              <w:rPr>
                <w:rFonts w:hint="eastAsia"/>
                <w:b/>
                <w:bCs/>
                <w:sz w:val="20"/>
                <w:szCs w:val="20"/>
              </w:rPr>
              <w:t>基金全称</w:t>
            </w:r>
          </w:p>
        </w:tc>
        <w:tc>
          <w:tcPr>
            <w:tcW w:w="3180" w:type="dxa"/>
            <w:tcBorders>
              <w:top w:val="single" w:sz="4" w:space="0" w:color="000000"/>
              <w:left w:val="nil"/>
              <w:bottom w:val="single" w:sz="4" w:space="0" w:color="000000"/>
              <w:right w:val="single" w:sz="4" w:space="0" w:color="000000"/>
            </w:tcBorders>
            <w:noWrap/>
            <w:vAlign w:val="center"/>
            <w:hideMark/>
          </w:tcPr>
          <w:p w:rsidR="003A4804" w:rsidRPr="003A4804" w:rsidRDefault="003A4804" w:rsidP="000E7409">
            <w:pPr>
              <w:widowControl/>
              <w:autoSpaceDE/>
              <w:autoSpaceDN/>
              <w:spacing w:line="360" w:lineRule="auto"/>
              <w:ind w:firstLineChars="200" w:firstLine="402"/>
              <w:jc w:val="center"/>
              <w:rPr>
                <w:b/>
                <w:bCs/>
                <w:sz w:val="20"/>
                <w:szCs w:val="20"/>
              </w:rPr>
            </w:pPr>
            <w:r w:rsidRPr="003A4804">
              <w:rPr>
                <w:rFonts w:hint="eastAsia"/>
                <w:b/>
                <w:bCs/>
                <w:sz w:val="20"/>
                <w:szCs w:val="20"/>
              </w:rPr>
              <w:t>基金简称</w:t>
            </w:r>
          </w:p>
        </w:tc>
      </w:tr>
      <w:tr w:rsidR="003A4804" w:rsidRPr="003A4804" w:rsidTr="000E7409">
        <w:trPr>
          <w:trHeight w:val="280"/>
          <w:jc w:val="center"/>
        </w:trPr>
        <w:tc>
          <w:tcPr>
            <w:tcW w:w="1416" w:type="dxa"/>
            <w:tcBorders>
              <w:top w:val="nil"/>
              <w:left w:val="single" w:sz="4" w:space="0" w:color="000000"/>
              <w:bottom w:val="single" w:sz="4" w:space="0" w:color="000000"/>
              <w:right w:val="single" w:sz="4" w:space="0" w:color="000000"/>
            </w:tcBorders>
            <w:noWrap/>
            <w:vAlign w:val="center"/>
            <w:hideMark/>
          </w:tcPr>
          <w:p w:rsidR="003A4804" w:rsidRPr="003A4804" w:rsidRDefault="0075128E" w:rsidP="000E7409">
            <w:pPr>
              <w:widowControl/>
              <w:autoSpaceDE/>
              <w:autoSpaceDN/>
              <w:spacing w:line="360" w:lineRule="auto"/>
              <w:ind w:firstLineChars="200" w:firstLine="400"/>
              <w:jc w:val="center"/>
              <w:rPr>
                <w:sz w:val="20"/>
                <w:szCs w:val="20"/>
              </w:rPr>
            </w:pPr>
            <w:r>
              <w:rPr>
                <w:rFonts w:hint="eastAsia"/>
                <w:sz w:val="20"/>
                <w:szCs w:val="20"/>
              </w:rPr>
              <w:t>011011</w:t>
            </w:r>
          </w:p>
        </w:tc>
        <w:tc>
          <w:tcPr>
            <w:tcW w:w="4580" w:type="dxa"/>
            <w:tcBorders>
              <w:top w:val="nil"/>
              <w:left w:val="nil"/>
              <w:bottom w:val="single" w:sz="4" w:space="0" w:color="000000"/>
              <w:right w:val="single" w:sz="4" w:space="0" w:color="000000"/>
            </w:tcBorders>
            <w:noWrap/>
            <w:vAlign w:val="center"/>
            <w:hideMark/>
          </w:tcPr>
          <w:p w:rsidR="003A4804" w:rsidRPr="003A4804" w:rsidRDefault="0075128E" w:rsidP="000E7409">
            <w:pPr>
              <w:widowControl/>
              <w:autoSpaceDE/>
              <w:autoSpaceDN/>
              <w:spacing w:line="360" w:lineRule="auto"/>
              <w:ind w:firstLineChars="200" w:firstLine="400"/>
              <w:jc w:val="center"/>
              <w:rPr>
                <w:sz w:val="20"/>
                <w:szCs w:val="20"/>
              </w:rPr>
            </w:pPr>
            <w:r w:rsidRPr="0075128E">
              <w:rPr>
                <w:rFonts w:hint="eastAsia"/>
                <w:bCs/>
                <w:sz w:val="20"/>
                <w:szCs w:val="20"/>
              </w:rPr>
              <w:t>融通产业趋势精选混合型证券投资基金</w:t>
            </w:r>
          </w:p>
        </w:tc>
        <w:tc>
          <w:tcPr>
            <w:tcW w:w="3180" w:type="dxa"/>
            <w:tcBorders>
              <w:top w:val="nil"/>
              <w:left w:val="nil"/>
              <w:bottom w:val="single" w:sz="4" w:space="0" w:color="000000"/>
              <w:right w:val="single" w:sz="4" w:space="0" w:color="000000"/>
            </w:tcBorders>
            <w:noWrap/>
            <w:vAlign w:val="center"/>
            <w:hideMark/>
          </w:tcPr>
          <w:p w:rsidR="003A4804" w:rsidRPr="003A4804" w:rsidRDefault="003A4804" w:rsidP="000E7409">
            <w:pPr>
              <w:widowControl/>
              <w:autoSpaceDE/>
              <w:autoSpaceDN/>
              <w:spacing w:line="360" w:lineRule="auto"/>
              <w:ind w:firstLineChars="200" w:firstLine="400"/>
              <w:jc w:val="center"/>
              <w:rPr>
                <w:sz w:val="20"/>
                <w:szCs w:val="20"/>
              </w:rPr>
            </w:pPr>
            <w:r w:rsidRPr="003A4804">
              <w:rPr>
                <w:rFonts w:hint="eastAsia"/>
                <w:sz w:val="20"/>
                <w:szCs w:val="20"/>
              </w:rPr>
              <w:t>融通产业趋势</w:t>
            </w:r>
            <w:r w:rsidR="0075128E">
              <w:rPr>
                <w:rFonts w:hint="eastAsia"/>
                <w:sz w:val="20"/>
                <w:szCs w:val="20"/>
              </w:rPr>
              <w:t>精选</w:t>
            </w:r>
            <w:r w:rsidR="005A4A0D">
              <w:rPr>
                <w:rFonts w:hint="eastAsia"/>
                <w:sz w:val="20"/>
                <w:szCs w:val="20"/>
              </w:rPr>
              <w:t>混合</w:t>
            </w:r>
            <w:r w:rsidRPr="003A4804">
              <w:rPr>
                <w:rFonts w:hint="eastAsia"/>
                <w:sz w:val="20"/>
                <w:szCs w:val="20"/>
              </w:rPr>
              <w:t>A</w:t>
            </w:r>
          </w:p>
        </w:tc>
      </w:tr>
      <w:tr w:rsidR="003A4804" w:rsidRPr="003A4804" w:rsidTr="000E7409">
        <w:trPr>
          <w:trHeight w:val="280"/>
          <w:jc w:val="center"/>
        </w:trPr>
        <w:tc>
          <w:tcPr>
            <w:tcW w:w="1416" w:type="dxa"/>
            <w:tcBorders>
              <w:top w:val="nil"/>
              <w:left w:val="single" w:sz="4" w:space="0" w:color="000000"/>
              <w:bottom w:val="single" w:sz="4" w:space="0" w:color="000000"/>
              <w:right w:val="single" w:sz="4" w:space="0" w:color="000000"/>
            </w:tcBorders>
            <w:noWrap/>
            <w:vAlign w:val="center"/>
            <w:hideMark/>
          </w:tcPr>
          <w:p w:rsidR="003A4804" w:rsidRPr="003A4804" w:rsidRDefault="0075128E" w:rsidP="000E7409">
            <w:pPr>
              <w:widowControl/>
              <w:autoSpaceDE/>
              <w:autoSpaceDN/>
              <w:spacing w:line="360" w:lineRule="auto"/>
              <w:ind w:firstLineChars="200" w:firstLine="400"/>
              <w:jc w:val="center"/>
              <w:rPr>
                <w:sz w:val="20"/>
                <w:szCs w:val="20"/>
              </w:rPr>
            </w:pPr>
            <w:r>
              <w:rPr>
                <w:rFonts w:hint="eastAsia"/>
                <w:sz w:val="20"/>
                <w:szCs w:val="20"/>
              </w:rPr>
              <w:t>019194</w:t>
            </w:r>
          </w:p>
        </w:tc>
        <w:tc>
          <w:tcPr>
            <w:tcW w:w="4580" w:type="dxa"/>
            <w:tcBorders>
              <w:top w:val="nil"/>
              <w:left w:val="nil"/>
              <w:bottom w:val="single" w:sz="4" w:space="0" w:color="000000"/>
              <w:right w:val="single" w:sz="4" w:space="0" w:color="000000"/>
            </w:tcBorders>
            <w:noWrap/>
            <w:vAlign w:val="center"/>
            <w:hideMark/>
          </w:tcPr>
          <w:p w:rsidR="003A4804" w:rsidRPr="003A4804" w:rsidRDefault="0075128E" w:rsidP="000E7409">
            <w:pPr>
              <w:widowControl/>
              <w:autoSpaceDE/>
              <w:autoSpaceDN/>
              <w:spacing w:line="360" w:lineRule="auto"/>
              <w:ind w:firstLineChars="200" w:firstLine="400"/>
              <w:jc w:val="center"/>
              <w:rPr>
                <w:sz w:val="20"/>
                <w:szCs w:val="20"/>
              </w:rPr>
            </w:pPr>
            <w:r w:rsidRPr="0075128E">
              <w:rPr>
                <w:rFonts w:hint="eastAsia"/>
                <w:bCs/>
                <w:sz w:val="20"/>
                <w:szCs w:val="20"/>
              </w:rPr>
              <w:t>融通产业趋势精选混合型证券投资基金</w:t>
            </w:r>
          </w:p>
        </w:tc>
        <w:tc>
          <w:tcPr>
            <w:tcW w:w="3180" w:type="dxa"/>
            <w:tcBorders>
              <w:top w:val="nil"/>
              <w:left w:val="nil"/>
              <w:bottom w:val="single" w:sz="4" w:space="0" w:color="000000"/>
              <w:right w:val="single" w:sz="4" w:space="0" w:color="000000"/>
            </w:tcBorders>
            <w:noWrap/>
            <w:vAlign w:val="center"/>
            <w:hideMark/>
          </w:tcPr>
          <w:p w:rsidR="003A4804" w:rsidRPr="003A4804" w:rsidRDefault="003A4804" w:rsidP="000E7409">
            <w:pPr>
              <w:widowControl/>
              <w:autoSpaceDE/>
              <w:autoSpaceDN/>
              <w:spacing w:line="360" w:lineRule="auto"/>
              <w:ind w:firstLineChars="200" w:firstLine="400"/>
              <w:jc w:val="center"/>
              <w:rPr>
                <w:sz w:val="20"/>
                <w:szCs w:val="20"/>
              </w:rPr>
            </w:pPr>
            <w:r w:rsidRPr="003A4804">
              <w:rPr>
                <w:rFonts w:hint="eastAsia"/>
                <w:sz w:val="20"/>
                <w:szCs w:val="20"/>
              </w:rPr>
              <w:t>融通产业趋势</w:t>
            </w:r>
            <w:r w:rsidR="0075128E">
              <w:rPr>
                <w:rFonts w:hint="eastAsia"/>
                <w:sz w:val="20"/>
                <w:szCs w:val="20"/>
              </w:rPr>
              <w:t>精选</w:t>
            </w:r>
            <w:r w:rsidR="005A4A0D">
              <w:rPr>
                <w:rFonts w:hint="eastAsia"/>
                <w:sz w:val="20"/>
                <w:szCs w:val="20"/>
              </w:rPr>
              <w:t>混合</w:t>
            </w:r>
            <w:r w:rsidRPr="003A4804">
              <w:rPr>
                <w:rFonts w:hint="eastAsia"/>
                <w:sz w:val="20"/>
                <w:szCs w:val="20"/>
              </w:rPr>
              <w:t>C</w:t>
            </w:r>
          </w:p>
        </w:tc>
      </w:tr>
    </w:tbl>
    <w:p w:rsidR="003A4804" w:rsidRDefault="003A4804" w:rsidP="000E7409">
      <w:pPr>
        <w:pStyle w:val="1"/>
        <w:spacing w:before="0" w:line="360" w:lineRule="auto"/>
        <w:ind w:left="0" w:firstLineChars="200" w:firstLine="478"/>
        <w:rPr>
          <w:rFonts w:asciiTheme="minorEastAsia" w:eastAsiaTheme="minorEastAsia" w:hAnsiTheme="minorEastAsia"/>
          <w:spacing w:val="-2"/>
        </w:rPr>
      </w:pPr>
    </w:p>
    <w:p w:rsidR="008C7DAF" w:rsidRPr="000E7409" w:rsidRDefault="005C438E" w:rsidP="000E7409">
      <w:pPr>
        <w:pStyle w:val="1"/>
        <w:spacing w:before="0" w:line="360" w:lineRule="auto"/>
        <w:ind w:left="0" w:firstLineChars="200" w:firstLine="478"/>
        <w:rPr>
          <w:rFonts w:asciiTheme="minorEastAsia" w:eastAsiaTheme="minorEastAsia" w:hAnsiTheme="minorEastAsia"/>
          <w:b w:val="0"/>
          <w:spacing w:val="-2"/>
        </w:rPr>
      </w:pPr>
      <w:r>
        <w:rPr>
          <w:rFonts w:asciiTheme="minorEastAsia" w:eastAsiaTheme="minorEastAsia" w:hAnsiTheme="minorEastAsia" w:hint="eastAsia"/>
          <w:spacing w:val="-2"/>
        </w:rPr>
        <w:t>二、</w:t>
      </w:r>
      <w:r w:rsidR="00597DA4" w:rsidRPr="003A4804">
        <w:rPr>
          <w:rFonts w:asciiTheme="minorEastAsia" w:eastAsiaTheme="minorEastAsia" w:hAnsiTheme="minorEastAsia"/>
          <w:spacing w:val="-2"/>
        </w:rPr>
        <w:t>业务规则</w:t>
      </w:r>
    </w:p>
    <w:p w:rsidR="008C7DAF" w:rsidRPr="003A4804" w:rsidRDefault="00597DA4" w:rsidP="000E7409">
      <w:pPr>
        <w:pStyle w:val="a5"/>
        <w:numPr>
          <w:ilvl w:val="0"/>
          <w:numId w:val="3"/>
        </w:numPr>
        <w:tabs>
          <w:tab w:val="left" w:pos="936"/>
        </w:tabs>
        <w:spacing w:before="0" w:line="360" w:lineRule="auto"/>
        <w:ind w:left="0" w:right="0" w:firstLineChars="200" w:firstLine="476"/>
        <w:rPr>
          <w:rFonts w:asciiTheme="minorEastAsia" w:eastAsiaTheme="minorEastAsia" w:hAnsiTheme="minorEastAsia"/>
        </w:rPr>
      </w:pPr>
      <w:r w:rsidRPr="003A4804">
        <w:rPr>
          <w:rFonts w:asciiTheme="minorEastAsia" w:eastAsiaTheme="minorEastAsia" w:hAnsiTheme="minorEastAsia"/>
          <w:spacing w:val="-2"/>
          <w:sz w:val="24"/>
        </w:rPr>
        <w:t>同一基金不同类别基金份额间的转换业务（以下简称“本业务”）是指：</w:t>
      </w:r>
      <w:r w:rsidRPr="003A4804">
        <w:rPr>
          <w:rFonts w:asciiTheme="minorEastAsia" w:eastAsiaTheme="minorEastAsia" w:hAnsiTheme="minorEastAsia"/>
          <w:spacing w:val="-7"/>
          <w:sz w:val="24"/>
        </w:rPr>
        <w:t>若投资者持有的某只基金具有多种类别基金份额</w:t>
      </w:r>
      <w:r w:rsidRPr="003A4804">
        <w:rPr>
          <w:rFonts w:asciiTheme="minorEastAsia" w:eastAsiaTheme="minorEastAsia" w:hAnsiTheme="minorEastAsia"/>
          <w:spacing w:val="-2"/>
          <w:sz w:val="24"/>
        </w:rPr>
        <w:t>（各类基金份额分设不同的基金</w:t>
      </w:r>
      <w:r w:rsidRPr="003A4804">
        <w:rPr>
          <w:rFonts w:asciiTheme="minorEastAsia" w:eastAsiaTheme="minorEastAsia" w:hAnsiTheme="minorEastAsia"/>
          <w:spacing w:val="-4"/>
          <w:sz w:val="24"/>
        </w:rPr>
        <w:t>代码），且登记在同一注册登记机构并由同一销售机构销售，投资者可以将其持有</w:t>
      </w:r>
      <w:r w:rsidRPr="003A4804">
        <w:rPr>
          <w:rFonts w:asciiTheme="minorEastAsia" w:eastAsiaTheme="minorEastAsia" w:hAnsiTheme="minorEastAsia"/>
          <w:spacing w:val="-2"/>
          <w:sz w:val="24"/>
        </w:rPr>
        <w:t>的某一类基金份额转换成同只基金的其他类基金份额。</w:t>
      </w:r>
    </w:p>
    <w:p w:rsidR="008C7DAF" w:rsidRPr="003A4804" w:rsidRDefault="00597DA4" w:rsidP="000E7409">
      <w:pPr>
        <w:pStyle w:val="a5"/>
        <w:numPr>
          <w:ilvl w:val="0"/>
          <w:numId w:val="3"/>
        </w:numPr>
        <w:tabs>
          <w:tab w:val="left" w:pos="936"/>
        </w:tabs>
        <w:spacing w:before="0" w:line="360" w:lineRule="auto"/>
        <w:ind w:left="0" w:right="0" w:firstLineChars="200" w:firstLine="476"/>
        <w:rPr>
          <w:rFonts w:asciiTheme="minorEastAsia" w:eastAsiaTheme="minorEastAsia" w:hAnsiTheme="minorEastAsia"/>
          <w:spacing w:val="-2"/>
          <w:sz w:val="24"/>
        </w:rPr>
      </w:pPr>
      <w:r w:rsidRPr="003A4804">
        <w:rPr>
          <w:rFonts w:asciiTheme="minorEastAsia" w:eastAsiaTheme="minorEastAsia" w:hAnsiTheme="minorEastAsia"/>
          <w:spacing w:val="-2"/>
          <w:sz w:val="24"/>
        </w:rPr>
        <w:t>同一基金不同类别基金份额间转换转出的最低申请基金份额适用该基金招募说明书中关于最低转换份额的规定。</w:t>
      </w:r>
    </w:p>
    <w:p w:rsidR="008C7DAF" w:rsidRPr="003A4804" w:rsidRDefault="00597DA4" w:rsidP="000E7409">
      <w:pPr>
        <w:pStyle w:val="a5"/>
        <w:numPr>
          <w:ilvl w:val="0"/>
          <w:numId w:val="3"/>
        </w:numPr>
        <w:tabs>
          <w:tab w:val="left" w:pos="936"/>
        </w:tabs>
        <w:spacing w:before="0" w:line="360" w:lineRule="auto"/>
        <w:ind w:left="0" w:right="0" w:firstLineChars="200" w:firstLine="478"/>
        <w:rPr>
          <w:rFonts w:asciiTheme="minorEastAsia" w:eastAsiaTheme="minorEastAsia" w:hAnsiTheme="minorEastAsia"/>
          <w:b/>
          <w:spacing w:val="-2"/>
          <w:sz w:val="24"/>
        </w:rPr>
      </w:pPr>
      <w:r w:rsidRPr="003A4804">
        <w:rPr>
          <w:rFonts w:asciiTheme="minorEastAsia" w:eastAsiaTheme="minorEastAsia" w:hAnsiTheme="minorEastAsia"/>
          <w:b/>
          <w:spacing w:val="-2"/>
          <w:sz w:val="24"/>
        </w:rPr>
        <w:t>同一基金不同类别基金份额间相互转换，原持有期限不延续计算。转入的基金份额的持有期将自转入的基金份额被确认之日起重新开始计算。</w:t>
      </w:r>
    </w:p>
    <w:p w:rsidR="008C7DAF" w:rsidRPr="003A4804" w:rsidRDefault="00597DA4" w:rsidP="000E7409">
      <w:pPr>
        <w:pStyle w:val="a5"/>
        <w:numPr>
          <w:ilvl w:val="0"/>
          <w:numId w:val="3"/>
        </w:numPr>
        <w:tabs>
          <w:tab w:val="left" w:pos="936"/>
        </w:tabs>
        <w:spacing w:before="0" w:line="360" w:lineRule="auto"/>
        <w:ind w:left="0" w:right="0" w:firstLineChars="200" w:firstLine="476"/>
        <w:rPr>
          <w:rFonts w:asciiTheme="minorEastAsia" w:eastAsiaTheme="minorEastAsia" w:hAnsiTheme="minorEastAsia"/>
          <w:spacing w:val="-2"/>
          <w:sz w:val="24"/>
        </w:rPr>
      </w:pPr>
      <w:r w:rsidRPr="003A4804">
        <w:rPr>
          <w:rFonts w:asciiTheme="minorEastAsia" w:eastAsiaTheme="minorEastAsia" w:hAnsiTheme="minorEastAsia"/>
          <w:spacing w:val="-2"/>
          <w:sz w:val="24"/>
        </w:rPr>
        <w:t>同一基金不同类别基金份额转换时，以申请当日各类基金份额净值为基础计算。投资者采用“份额转换”的原则提交申请，同一基金不同类别基金份额转换遵循“先进先出”的业务规则。</w:t>
      </w:r>
    </w:p>
    <w:p w:rsidR="008C7DAF" w:rsidRPr="003A4804" w:rsidRDefault="00597DA4" w:rsidP="000E7409">
      <w:pPr>
        <w:pStyle w:val="a5"/>
        <w:numPr>
          <w:ilvl w:val="0"/>
          <w:numId w:val="3"/>
        </w:numPr>
        <w:tabs>
          <w:tab w:val="left" w:pos="936"/>
        </w:tabs>
        <w:spacing w:before="0" w:line="360" w:lineRule="auto"/>
        <w:ind w:left="0" w:right="0" w:firstLineChars="200" w:firstLine="476"/>
        <w:rPr>
          <w:rFonts w:asciiTheme="minorEastAsia" w:eastAsiaTheme="minorEastAsia" w:hAnsiTheme="minorEastAsia"/>
          <w:spacing w:val="-2"/>
          <w:sz w:val="24"/>
        </w:rPr>
      </w:pPr>
      <w:r w:rsidRPr="003A4804">
        <w:rPr>
          <w:rFonts w:asciiTheme="minorEastAsia" w:eastAsiaTheme="minorEastAsia" w:hAnsiTheme="minorEastAsia"/>
          <w:spacing w:val="-2"/>
          <w:sz w:val="24"/>
        </w:rPr>
        <w:t>投资者办理本业务时，转出基金份额类别必须处于可赎回状态，转入基</w:t>
      </w:r>
      <w:r w:rsidRPr="003A4804">
        <w:rPr>
          <w:rFonts w:asciiTheme="minorEastAsia" w:eastAsiaTheme="minorEastAsia" w:hAnsiTheme="minorEastAsia"/>
          <w:spacing w:val="-4"/>
          <w:sz w:val="24"/>
        </w:rPr>
        <w:t>金份额类别必须处于可申购状态，已经冻结的基金份额不得申请转换业务。当转</w:t>
      </w:r>
      <w:r w:rsidRPr="003A4804">
        <w:rPr>
          <w:rFonts w:asciiTheme="minorEastAsia" w:eastAsiaTheme="minorEastAsia" w:hAnsiTheme="minorEastAsia"/>
          <w:spacing w:val="-7"/>
          <w:sz w:val="24"/>
        </w:rPr>
        <w:t>换转</w:t>
      </w:r>
      <w:r w:rsidRPr="003A4804">
        <w:rPr>
          <w:rFonts w:asciiTheme="minorEastAsia" w:eastAsiaTheme="minorEastAsia" w:hAnsiTheme="minorEastAsia"/>
          <w:spacing w:val="-2"/>
          <w:sz w:val="24"/>
        </w:rPr>
        <w:t>入的份额类别因其他原因暂停转换转入、暂停大额转换转入业务或有其他交易状态限制的，本业务亦受相关交易状态限制，基金管理人另有公告的除外。</w:t>
      </w:r>
    </w:p>
    <w:p w:rsidR="008C7DAF" w:rsidRPr="003A4804" w:rsidRDefault="00597DA4" w:rsidP="000E7409">
      <w:pPr>
        <w:pStyle w:val="a5"/>
        <w:numPr>
          <w:ilvl w:val="0"/>
          <w:numId w:val="3"/>
        </w:numPr>
        <w:tabs>
          <w:tab w:val="left" w:pos="936"/>
        </w:tabs>
        <w:spacing w:before="0" w:line="360" w:lineRule="auto"/>
        <w:ind w:left="0" w:right="0" w:firstLineChars="200" w:firstLine="476"/>
        <w:rPr>
          <w:rFonts w:asciiTheme="minorEastAsia" w:eastAsiaTheme="minorEastAsia" w:hAnsiTheme="minorEastAsia"/>
          <w:spacing w:val="-2"/>
          <w:sz w:val="24"/>
        </w:rPr>
      </w:pPr>
      <w:r w:rsidRPr="003A4804">
        <w:rPr>
          <w:rFonts w:asciiTheme="minorEastAsia" w:eastAsiaTheme="minorEastAsia" w:hAnsiTheme="minorEastAsia"/>
          <w:spacing w:val="-2"/>
          <w:sz w:val="24"/>
        </w:rPr>
        <w:t>本业务与本公司已经开通的不同基金之间相互转换业务不产生冲突。</w:t>
      </w:r>
    </w:p>
    <w:p w:rsidR="008C7DAF" w:rsidRPr="003A4804" w:rsidRDefault="00597DA4" w:rsidP="000E7409">
      <w:pPr>
        <w:pStyle w:val="a5"/>
        <w:numPr>
          <w:ilvl w:val="0"/>
          <w:numId w:val="3"/>
        </w:numPr>
        <w:tabs>
          <w:tab w:val="left" w:pos="936"/>
        </w:tabs>
        <w:spacing w:before="0" w:line="360" w:lineRule="auto"/>
        <w:ind w:left="0" w:right="0" w:firstLineChars="200" w:firstLine="476"/>
        <w:rPr>
          <w:rFonts w:asciiTheme="minorEastAsia" w:eastAsiaTheme="minorEastAsia" w:hAnsiTheme="minorEastAsia"/>
          <w:spacing w:val="-2"/>
          <w:sz w:val="24"/>
        </w:rPr>
      </w:pPr>
      <w:r w:rsidRPr="003A4804">
        <w:rPr>
          <w:rFonts w:asciiTheme="minorEastAsia" w:eastAsiaTheme="minorEastAsia" w:hAnsiTheme="minorEastAsia"/>
          <w:spacing w:val="-2"/>
          <w:sz w:val="24"/>
        </w:rPr>
        <w:lastRenderedPageBreak/>
        <w:t>本公司</w:t>
      </w:r>
      <w:r w:rsidR="00484FB5" w:rsidRPr="003A4804">
        <w:rPr>
          <w:rFonts w:asciiTheme="minorEastAsia" w:eastAsiaTheme="minorEastAsia" w:hAnsiTheme="minorEastAsia"/>
          <w:spacing w:val="-2"/>
          <w:sz w:val="24"/>
        </w:rPr>
        <w:t>将根据具体情况确定是否开通</w:t>
      </w:r>
      <w:r w:rsidR="00484FB5">
        <w:rPr>
          <w:rFonts w:asciiTheme="minorEastAsia" w:eastAsiaTheme="minorEastAsia" w:hAnsiTheme="minorEastAsia" w:hint="eastAsia"/>
          <w:spacing w:val="-2"/>
          <w:sz w:val="24"/>
        </w:rPr>
        <w:t>本公司</w:t>
      </w:r>
      <w:r w:rsidRPr="003A4804">
        <w:rPr>
          <w:rFonts w:asciiTheme="minorEastAsia" w:eastAsiaTheme="minorEastAsia" w:hAnsiTheme="minorEastAsia"/>
          <w:spacing w:val="-2"/>
          <w:sz w:val="24"/>
        </w:rPr>
        <w:t>旗下管理的其他开放式基金</w:t>
      </w:r>
      <w:r w:rsidR="00484FB5">
        <w:rPr>
          <w:rFonts w:asciiTheme="minorEastAsia" w:eastAsiaTheme="minorEastAsia" w:hAnsiTheme="minorEastAsia" w:hint="eastAsia"/>
          <w:spacing w:val="-2"/>
          <w:sz w:val="24"/>
        </w:rPr>
        <w:t>的</w:t>
      </w:r>
      <w:r w:rsidR="009A6550">
        <w:rPr>
          <w:rFonts w:asciiTheme="minorEastAsia" w:eastAsiaTheme="minorEastAsia" w:hAnsiTheme="minorEastAsia" w:hint="eastAsia"/>
          <w:spacing w:val="-2"/>
          <w:sz w:val="24"/>
        </w:rPr>
        <w:t>本</w:t>
      </w:r>
      <w:r w:rsidRPr="003A4804">
        <w:rPr>
          <w:rFonts w:asciiTheme="minorEastAsia" w:eastAsiaTheme="minorEastAsia" w:hAnsiTheme="minorEastAsia"/>
          <w:spacing w:val="-2"/>
          <w:sz w:val="24"/>
        </w:rPr>
        <w:t>业务，请投资者以相关公告为准。</w:t>
      </w:r>
    </w:p>
    <w:p w:rsidR="008C7DAF" w:rsidRPr="003A4804" w:rsidRDefault="00597DA4" w:rsidP="000E7409">
      <w:pPr>
        <w:pStyle w:val="a5"/>
        <w:numPr>
          <w:ilvl w:val="0"/>
          <w:numId w:val="3"/>
        </w:numPr>
        <w:tabs>
          <w:tab w:val="left" w:pos="937"/>
        </w:tabs>
        <w:spacing w:before="0" w:line="360" w:lineRule="auto"/>
        <w:ind w:left="0" w:right="0" w:firstLineChars="200" w:firstLine="476"/>
        <w:rPr>
          <w:rFonts w:asciiTheme="minorEastAsia" w:eastAsiaTheme="minorEastAsia" w:hAnsiTheme="minorEastAsia"/>
        </w:rPr>
      </w:pPr>
      <w:r w:rsidRPr="003A4804">
        <w:rPr>
          <w:rFonts w:asciiTheme="minorEastAsia" w:eastAsiaTheme="minorEastAsia" w:hAnsiTheme="minorEastAsia"/>
          <w:spacing w:val="-2"/>
          <w:sz w:val="24"/>
        </w:rPr>
        <w:t>自202</w:t>
      </w:r>
      <w:r w:rsidR="005B34A0">
        <w:rPr>
          <w:rFonts w:asciiTheme="minorEastAsia" w:eastAsiaTheme="minorEastAsia" w:hAnsiTheme="minorEastAsia" w:hint="eastAsia"/>
          <w:spacing w:val="-2"/>
          <w:sz w:val="24"/>
        </w:rPr>
        <w:t>6</w:t>
      </w:r>
      <w:r w:rsidRPr="003A4804">
        <w:rPr>
          <w:rFonts w:asciiTheme="minorEastAsia" w:eastAsiaTheme="minorEastAsia" w:hAnsiTheme="minorEastAsia"/>
          <w:spacing w:val="-2"/>
          <w:sz w:val="24"/>
        </w:rPr>
        <w:t>年</w:t>
      </w:r>
      <w:r w:rsidR="005B34A0">
        <w:rPr>
          <w:rFonts w:asciiTheme="minorEastAsia" w:eastAsiaTheme="minorEastAsia" w:hAnsiTheme="minorEastAsia" w:hint="eastAsia"/>
          <w:spacing w:val="-2"/>
          <w:sz w:val="24"/>
        </w:rPr>
        <w:t>3</w:t>
      </w:r>
      <w:r w:rsidRPr="003A4804">
        <w:rPr>
          <w:rFonts w:asciiTheme="minorEastAsia" w:eastAsiaTheme="minorEastAsia" w:hAnsiTheme="minorEastAsia"/>
          <w:spacing w:val="-2"/>
          <w:sz w:val="24"/>
        </w:rPr>
        <w:t>月</w:t>
      </w:r>
      <w:r w:rsidR="001074BA">
        <w:rPr>
          <w:rFonts w:asciiTheme="minorEastAsia" w:eastAsiaTheme="minorEastAsia" w:hAnsiTheme="minorEastAsia" w:hint="eastAsia"/>
          <w:spacing w:val="-2"/>
          <w:sz w:val="24"/>
        </w:rPr>
        <w:t>20</w:t>
      </w:r>
      <w:r w:rsidRPr="003A4804">
        <w:rPr>
          <w:rFonts w:asciiTheme="minorEastAsia" w:eastAsiaTheme="minorEastAsia" w:hAnsiTheme="minorEastAsia"/>
          <w:spacing w:val="-2"/>
          <w:sz w:val="24"/>
        </w:rPr>
        <w:t>日起，本公司</w:t>
      </w:r>
      <w:r w:rsidR="00E711A3">
        <w:rPr>
          <w:rFonts w:asciiTheme="minorEastAsia" w:eastAsiaTheme="minorEastAsia" w:hAnsiTheme="minorEastAsia" w:hint="eastAsia"/>
          <w:spacing w:val="-2"/>
          <w:sz w:val="24"/>
        </w:rPr>
        <w:t>在</w:t>
      </w:r>
      <w:r w:rsidRPr="003A4804">
        <w:rPr>
          <w:rFonts w:asciiTheme="minorEastAsia" w:eastAsiaTheme="minorEastAsia" w:hAnsiTheme="minorEastAsia"/>
          <w:spacing w:val="-2"/>
          <w:sz w:val="24"/>
        </w:rPr>
        <w:t>直销中心</w:t>
      </w:r>
      <w:r w:rsidR="00E711A3">
        <w:rPr>
          <w:rFonts w:asciiTheme="minorEastAsia" w:eastAsiaTheme="minorEastAsia" w:hAnsiTheme="minorEastAsia" w:hint="eastAsia"/>
          <w:spacing w:val="-2"/>
          <w:sz w:val="24"/>
        </w:rPr>
        <w:t>和</w:t>
      </w:r>
      <w:r w:rsidR="00E711A3" w:rsidRPr="007E10F1">
        <w:rPr>
          <w:rFonts w:asciiTheme="minorEastAsia" w:eastAsiaTheme="minorEastAsia" w:hAnsiTheme="minorEastAsia" w:hint="eastAsia"/>
          <w:spacing w:val="-2"/>
          <w:sz w:val="24"/>
          <w:szCs w:val="24"/>
        </w:rPr>
        <w:t>中国人寿保险股份有限公司</w:t>
      </w:r>
      <w:r w:rsidRPr="003A4804">
        <w:rPr>
          <w:rFonts w:asciiTheme="minorEastAsia" w:eastAsiaTheme="minorEastAsia" w:hAnsiTheme="minorEastAsia"/>
          <w:spacing w:val="-2"/>
          <w:sz w:val="24"/>
        </w:rPr>
        <w:t>开通本业务。由于各销售机构的系统差异以及业务安排等</w:t>
      </w:r>
      <w:r w:rsidRPr="003A4804">
        <w:rPr>
          <w:rFonts w:asciiTheme="minorEastAsia" w:eastAsiaTheme="minorEastAsia" w:hAnsiTheme="minorEastAsia"/>
          <w:spacing w:val="-8"/>
          <w:sz w:val="24"/>
        </w:rPr>
        <w:t>原因，开展</w:t>
      </w:r>
      <w:r w:rsidR="009A6550">
        <w:rPr>
          <w:rFonts w:asciiTheme="minorEastAsia" w:eastAsiaTheme="minorEastAsia" w:hAnsiTheme="minorEastAsia" w:hint="eastAsia"/>
          <w:spacing w:val="-8"/>
          <w:sz w:val="24"/>
        </w:rPr>
        <w:t>本</w:t>
      </w:r>
      <w:r w:rsidRPr="003A4804">
        <w:rPr>
          <w:rFonts w:asciiTheme="minorEastAsia" w:eastAsiaTheme="minorEastAsia" w:hAnsiTheme="minorEastAsia"/>
          <w:spacing w:val="-8"/>
          <w:sz w:val="24"/>
        </w:rPr>
        <w:t>业务</w:t>
      </w:r>
      <w:r w:rsidRPr="003A4804">
        <w:rPr>
          <w:rFonts w:asciiTheme="minorEastAsia" w:eastAsiaTheme="minorEastAsia" w:hAnsiTheme="minorEastAsia"/>
          <w:spacing w:val="-2"/>
          <w:sz w:val="24"/>
        </w:rPr>
        <w:t>的时间及其他未尽事宜详见各销售机构的相关业务规则和公告。</w:t>
      </w:r>
    </w:p>
    <w:p w:rsidR="008C7DAF" w:rsidRPr="003A4804" w:rsidRDefault="00597DA4" w:rsidP="000E7409">
      <w:pPr>
        <w:pStyle w:val="1"/>
        <w:spacing w:before="0" w:line="360" w:lineRule="auto"/>
        <w:ind w:left="0" w:firstLineChars="200" w:firstLine="478"/>
        <w:rPr>
          <w:rFonts w:asciiTheme="minorEastAsia" w:eastAsiaTheme="minorEastAsia" w:hAnsiTheme="minorEastAsia"/>
        </w:rPr>
      </w:pPr>
      <w:r w:rsidRPr="003A4804">
        <w:rPr>
          <w:rFonts w:asciiTheme="minorEastAsia" w:eastAsiaTheme="minorEastAsia" w:hAnsiTheme="minorEastAsia"/>
          <w:spacing w:val="-2"/>
        </w:rPr>
        <w:t>三、费率计算</w:t>
      </w:r>
    </w:p>
    <w:p w:rsidR="008C7DAF" w:rsidRPr="003A4804" w:rsidRDefault="0044138F" w:rsidP="000E7409">
      <w:pPr>
        <w:pStyle w:val="a5"/>
        <w:numPr>
          <w:ilvl w:val="0"/>
          <w:numId w:val="2"/>
        </w:numPr>
        <w:tabs>
          <w:tab w:val="left" w:pos="936"/>
        </w:tabs>
        <w:spacing w:before="0" w:line="360" w:lineRule="auto"/>
        <w:ind w:left="0" w:right="0" w:firstLineChars="200" w:firstLine="476"/>
        <w:rPr>
          <w:rFonts w:asciiTheme="minorEastAsia" w:eastAsiaTheme="minorEastAsia" w:hAnsiTheme="minorEastAsia"/>
          <w:sz w:val="24"/>
        </w:rPr>
      </w:pPr>
      <w:r>
        <w:rPr>
          <w:rFonts w:asciiTheme="minorEastAsia" w:eastAsiaTheme="minorEastAsia" w:hAnsiTheme="minorEastAsia" w:hint="eastAsia"/>
          <w:spacing w:val="-2"/>
          <w:sz w:val="24"/>
        </w:rPr>
        <w:t>本业务的</w:t>
      </w:r>
      <w:r w:rsidR="00CD080B" w:rsidRPr="00CD080B">
        <w:rPr>
          <w:rFonts w:asciiTheme="minorEastAsia" w:eastAsiaTheme="minorEastAsia" w:hAnsiTheme="minorEastAsia" w:hint="eastAsia"/>
          <w:spacing w:val="-2"/>
          <w:sz w:val="24"/>
        </w:rPr>
        <w:t>基金转换费用包括转换费和补差费</w:t>
      </w:r>
      <w:r w:rsidR="00597DA4" w:rsidRPr="003A4804">
        <w:rPr>
          <w:rFonts w:asciiTheme="minorEastAsia" w:eastAsiaTheme="minorEastAsia" w:hAnsiTheme="minorEastAsia"/>
          <w:spacing w:val="-4"/>
          <w:sz w:val="24"/>
        </w:rPr>
        <w:t>。</w:t>
      </w:r>
    </w:p>
    <w:p w:rsidR="008C7DAF" w:rsidRPr="00FE7832" w:rsidRDefault="006023DA" w:rsidP="000E7409">
      <w:pPr>
        <w:pStyle w:val="a5"/>
        <w:numPr>
          <w:ilvl w:val="0"/>
          <w:numId w:val="2"/>
        </w:numPr>
        <w:tabs>
          <w:tab w:val="left" w:pos="936"/>
        </w:tabs>
        <w:spacing w:before="0" w:line="360" w:lineRule="auto"/>
        <w:ind w:left="0" w:right="0" w:firstLineChars="200" w:firstLine="476"/>
        <w:rPr>
          <w:rFonts w:asciiTheme="minorEastAsia" w:eastAsiaTheme="minorEastAsia" w:hAnsiTheme="minorEastAsia"/>
          <w:spacing w:val="-2"/>
          <w:sz w:val="24"/>
        </w:rPr>
      </w:pPr>
      <w:r w:rsidRPr="00FE7832">
        <w:rPr>
          <w:rFonts w:asciiTheme="minorEastAsia" w:eastAsiaTheme="minorEastAsia" w:hAnsiTheme="minorEastAsia" w:hint="eastAsia"/>
          <w:spacing w:val="-2"/>
          <w:sz w:val="24"/>
        </w:rPr>
        <w:t>转换费按转出基金</w:t>
      </w:r>
      <w:r w:rsidR="000B4AE2">
        <w:rPr>
          <w:rFonts w:asciiTheme="minorEastAsia" w:eastAsiaTheme="minorEastAsia" w:hAnsiTheme="minorEastAsia" w:hint="eastAsia"/>
          <w:spacing w:val="-2"/>
          <w:sz w:val="24"/>
        </w:rPr>
        <w:t>份额类别</w:t>
      </w:r>
      <w:r w:rsidRPr="00FE7832">
        <w:rPr>
          <w:rFonts w:asciiTheme="minorEastAsia" w:eastAsiaTheme="minorEastAsia" w:hAnsiTheme="minorEastAsia" w:hint="eastAsia"/>
          <w:spacing w:val="-2"/>
          <w:sz w:val="24"/>
        </w:rPr>
        <w:t>正常赎回时的赎回费率收取费用。</w:t>
      </w:r>
    </w:p>
    <w:p w:rsidR="008C7DAF" w:rsidRPr="000E7409" w:rsidRDefault="0044138F" w:rsidP="000E7409">
      <w:pPr>
        <w:pStyle w:val="a5"/>
        <w:numPr>
          <w:ilvl w:val="0"/>
          <w:numId w:val="2"/>
        </w:numPr>
        <w:tabs>
          <w:tab w:val="left" w:pos="936"/>
        </w:tabs>
        <w:spacing w:before="0" w:line="360" w:lineRule="auto"/>
        <w:ind w:left="0" w:right="0" w:firstLineChars="200" w:firstLine="476"/>
        <w:rPr>
          <w:rFonts w:asciiTheme="minorEastAsia" w:eastAsiaTheme="minorEastAsia" w:hAnsiTheme="minorEastAsia"/>
          <w:sz w:val="24"/>
        </w:rPr>
      </w:pPr>
      <w:r w:rsidRPr="0044138F">
        <w:rPr>
          <w:rFonts w:asciiTheme="minorEastAsia" w:eastAsiaTheme="minorEastAsia" w:hAnsiTheme="minorEastAsia" w:hint="eastAsia"/>
          <w:spacing w:val="-2"/>
          <w:sz w:val="24"/>
        </w:rPr>
        <w:t>补差费：转出基金</w:t>
      </w:r>
      <w:r>
        <w:rPr>
          <w:rFonts w:asciiTheme="minorEastAsia" w:eastAsiaTheme="minorEastAsia" w:hAnsiTheme="minorEastAsia" w:hint="eastAsia"/>
          <w:spacing w:val="-2"/>
          <w:sz w:val="24"/>
        </w:rPr>
        <w:t>份额类别</w:t>
      </w:r>
      <w:r w:rsidRPr="0044138F">
        <w:rPr>
          <w:rFonts w:asciiTheme="minorEastAsia" w:eastAsiaTheme="minorEastAsia" w:hAnsiTheme="minorEastAsia" w:hint="eastAsia"/>
          <w:spacing w:val="-2"/>
          <w:sz w:val="24"/>
        </w:rPr>
        <w:t>的申购（或认购）费率高于</w:t>
      </w:r>
      <w:r w:rsidR="009C1A4E">
        <w:rPr>
          <w:rFonts w:asciiTheme="minorEastAsia" w:eastAsiaTheme="minorEastAsia" w:hAnsiTheme="minorEastAsia" w:hint="eastAsia"/>
          <w:spacing w:val="-2"/>
          <w:sz w:val="24"/>
        </w:rPr>
        <w:t>转换金额对应的</w:t>
      </w:r>
      <w:r w:rsidRPr="0044138F">
        <w:rPr>
          <w:rFonts w:asciiTheme="minorEastAsia" w:eastAsiaTheme="minorEastAsia" w:hAnsiTheme="minorEastAsia" w:hint="eastAsia"/>
          <w:spacing w:val="-2"/>
          <w:sz w:val="24"/>
        </w:rPr>
        <w:t>转入基金</w:t>
      </w:r>
      <w:r>
        <w:rPr>
          <w:rFonts w:asciiTheme="minorEastAsia" w:eastAsiaTheme="minorEastAsia" w:hAnsiTheme="minorEastAsia" w:hint="eastAsia"/>
          <w:spacing w:val="-2"/>
          <w:sz w:val="24"/>
        </w:rPr>
        <w:t>份额类别</w:t>
      </w:r>
      <w:r w:rsidRPr="0044138F">
        <w:rPr>
          <w:rFonts w:asciiTheme="minorEastAsia" w:eastAsiaTheme="minorEastAsia" w:hAnsiTheme="minorEastAsia" w:hint="eastAsia"/>
          <w:spacing w:val="-2"/>
          <w:sz w:val="24"/>
        </w:rPr>
        <w:t>的申购（或认购）费率时，补差费为</w:t>
      </w:r>
      <w:r w:rsidRPr="0044138F">
        <w:rPr>
          <w:rFonts w:asciiTheme="minorEastAsia" w:eastAsiaTheme="minorEastAsia" w:hAnsiTheme="minorEastAsia"/>
          <w:spacing w:val="-2"/>
          <w:sz w:val="24"/>
        </w:rPr>
        <w:t>0；转出基金</w:t>
      </w:r>
      <w:r>
        <w:rPr>
          <w:rFonts w:asciiTheme="minorEastAsia" w:eastAsiaTheme="minorEastAsia" w:hAnsiTheme="minorEastAsia" w:hint="eastAsia"/>
          <w:spacing w:val="-2"/>
          <w:sz w:val="24"/>
        </w:rPr>
        <w:t>份额类别</w:t>
      </w:r>
      <w:r w:rsidRPr="0044138F">
        <w:rPr>
          <w:rFonts w:asciiTheme="minorEastAsia" w:eastAsiaTheme="minorEastAsia" w:hAnsiTheme="minorEastAsia"/>
          <w:spacing w:val="-2"/>
          <w:sz w:val="24"/>
        </w:rPr>
        <w:t>的申购（或认购）费率低于</w:t>
      </w:r>
      <w:r w:rsidR="009C1A4E">
        <w:rPr>
          <w:rFonts w:asciiTheme="minorEastAsia" w:eastAsiaTheme="minorEastAsia" w:hAnsiTheme="minorEastAsia" w:hint="eastAsia"/>
          <w:spacing w:val="-2"/>
          <w:sz w:val="24"/>
        </w:rPr>
        <w:t>转换金额对应的</w:t>
      </w:r>
      <w:r w:rsidRPr="0044138F">
        <w:rPr>
          <w:rFonts w:asciiTheme="minorEastAsia" w:eastAsiaTheme="minorEastAsia" w:hAnsiTheme="minorEastAsia"/>
          <w:spacing w:val="-2"/>
          <w:sz w:val="24"/>
        </w:rPr>
        <w:t>转入基金</w:t>
      </w:r>
      <w:r>
        <w:rPr>
          <w:rFonts w:asciiTheme="minorEastAsia" w:eastAsiaTheme="minorEastAsia" w:hAnsiTheme="minorEastAsia" w:hint="eastAsia"/>
          <w:spacing w:val="-2"/>
          <w:sz w:val="24"/>
        </w:rPr>
        <w:t>份额类别</w:t>
      </w:r>
      <w:r w:rsidRPr="0044138F">
        <w:rPr>
          <w:rFonts w:asciiTheme="minorEastAsia" w:eastAsiaTheme="minorEastAsia" w:hAnsiTheme="minorEastAsia"/>
          <w:spacing w:val="-2"/>
          <w:sz w:val="24"/>
        </w:rPr>
        <w:t>的申购（或认购）费率时，按申购（或认购）费率的差额收取补差费；</w:t>
      </w:r>
      <w:r w:rsidRPr="0044138F">
        <w:rPr>
          <w:rFonts w:asciiTheme="minorEastAsia" w:eastAsiaTheme="minorEastAsia" w:hAnsiTheme="minorEastAsia" w:hint="eastAsia"/>
          <w:spacing w:val="-2"/>
          <w:sz w:val="24"/>
        </w:rPr>
        <w:t>补差费</w:t>
      </w:r>
      <w:r w:rsidR="00EB3687">
        <w:rPr>
          <w:rFonts w:asciiTheme="minorEastAsia" w:eastAsiaTheme="minorEastAsia" w:hAnsiTheme="minorEastAsia" w:hint="eastAsia"/>
          <w:spacing w:val="-2"/>
          <w:sz w:val="24"/>
        </w:rPr>
        <w:t>率</w:t>
      </w:r>
      <w:r w:rsidRPr="0044138F">
        <w:rPr>
          <w:rFonts w:asciiTheme="minorEastAsia" w:eastAsiaTheme="minorEastAsia" w:hAnsiTheme="minorEastAsia" w:hint="eastAsia"/>
          <w:spacing w:val="-2"/>
          <w:sz w:val="24"/>
        </w:rPr>
        <w:t>以该</w:t>
      </w:r>
      <w:r w:rsidR="00D77BAF">
        <w:rPr>
          <w:rFonts w:asciiTheme="minorEastAsia" w:eastAsiaTheme="minorEastAsia" w:hAnsiTheme="minorEastAsia" w:hint="eastAsia"/>
          <w:spacing w:val="-2"/>
          <w:sz w:val="24"/>
        </w:rPr>
        <w:t>转出</w:t>
      </w:r>
      <w:r w:rsidRPr="0044138F">
        <w:rPr>
          <w:rFonts w:asciiTheme="minorEastAsia" w:eastAsiaTheme="minorEastAsia" w:hAnsiTheme="minorEastAsia" w:hint="eastAsia"/>
          <w:spacing w:val="-2"/>
          <w:sz w:val="24"/>
        </w:rPr>
        <w:t>基金份额</w:t>
      </w:r>
      <w:r>
        <w:rPr>
          <w:rFonts w:asciiTheme="minorEastAsia" w:eastAsiaTheme="minorEastAsia" w:hAnsiTheme="minorEastAsia" w:hint="eastAsia"/>
          <w:spacing w:val="-2"/>
          <w:sz w:val="24"/>
        </w:rPr>
        <w:t>类别</w:t>
      </w:r>
      <w:r w:rsidR="00D77BAF">
        <w:rPr>
          <w:rFonts w:asciiTheme="minorEastAsia" w:eastAsiaTheme="minorEastAsia" w:hAnsiTheme="minorEastAsia" w:hint="eastAsia"/>
          <w:spacing w:val="-2"/>
          <w:sz w:val="24"/>
        </w:rPr>
        <w:t>的每份份额</w:t>
      </w:r>
      <w:r w:rsidRPr="0044138F">
        <w:rPr>
          <w:rFonts w:asciiTheme="minorEastAsia" w:eastAsiaTheme="minorEastAsia" w:hAnsiTheme="minorEastAsia" w:hint="eastAsia"/>
          <w:spacing w:val="-2"/>
          <w:sz w:val="24"/>
        </w:rPr>
        <w:t>曾经有过的最高申（认）购费率为基础计算，累计不超过最高认购（申购）费率与最低认购（申购）费率的差额</w:t>
      </w:r>
      <w:r w:rsidR="00597DA4" w:rsidRPr="003A4804">
        <w:rPr>
          <w:rFonts w:asciiTheme="minorEastAsia" w:eastAsiaTheme="minorEastAsia" w:hAnsiTheme="minorEastAsia"/>
          <w:spacing w:val="-4"/>
          <w:sz w:val="24"/>
        </w:rPr>
        <w:t>。</w:t>
      </w:r>
    </w:p>
    <w:p w:rsidR="00D77BAF" w:rsidRPr="00FE7832" w:rsidRDefault="000B4AE2" w:rsidP="000E7409">
      <w:pPr>
        <w:pStyle w:val="a5"/>
        <w:numPr>
          <w:ilvl w:val="0"/>
          <w:numId w:val="2"/>
        </w:numPr>
        <w:tabs>
          <w:tab w:val="left" w:pos="936"/>
        </w:tabs>
        <w:spacing w:before="0" w:line="360" w:lineRule="auto"/>
        <w:ind w:left="0" w:right="0" w:firstLineChars="200" w:firstLine="480"/>
        <w:rPr>
          <w:rFonts w:asciiTheme="minorEastAsia" w:eastAsiaTheme="minorEastAsia" w:hAnsiTheme="minorEastAsia"/>
          <w:sz w:val="24"/>
        </w:rPr>
      </w:pPr>
      <w:r w:rsidRPr="000B4AE2">
        <w:rPr>
          <w:rFonts w:asciiTheme="minorEastAsia" w:eastAsiaTheme="minorEastAsia" w:hAnsiTheme="minorEastAsia" w:hint="eastAsia"/>
          <w:sz w:val="24"/>
        </w:rPr>
        <w:t>基金转换费用由申请转换的</w:t>
      </w:r>
      <w:r w:rsidR="003E5190">
        <w:rPr>
          <w:rFonts w:asciiTheme="minorEastAsia" w:eastAsiaTheme="minorEastAsia" w:hAnsiTheme="minorEastAsia" w:hint="eastAsia"/>
          <w:sz w:val="24"/>
        </w:rPr>
        <w:t>投资者</w:t>
      </w:r>
      <w:r w:rsidRPr="000B4AE2">
        <w:rPr>
          <w:rFonts w:asciiTheme="minorEastAsia" w:eastAsiaTheme="minorEastAsia" w:hAnsiTheme="minorEastAsia" w:hint="eastAsia"/>
          <w:sz w:val="24"/>
        </w:rPr>
        <w:t>承担，转换费扣除归转出基金</w:t>
      </w:r>
      <w:r>
        <w:rPr>
          <w:rFonts w:asciiTheme="minorEastAsia" w:eastAsiaTheme="minorEastAsia" w:hAnsiTheme="minorEastAsia" w:hint="eastAsia"/>
          <w:spacing w:val="-2"/>
          <w:sz w:val="24"/>
        </w:rPr>
        <w:t>份额类别的</w:t>
      </w:r>
      <w:r w:rsidRPr="000B4AE2">
        <w:rPr>
          <w:rFonts w:asciiTheme="minorEastAsia" w:eastAsiaTheme="minorEastAsia" w:hAnsiTheme="minorEastAsia" w:hint="eastAsia"/>
          <w:sz w:val="24"/>
        </w:rPr>
        <w:t>基金财产部分后的剩余部分及补差费，作为市场推广、销售、注册登记等相关费用</w:t>
      </w:r>
      <w:r>
        <w:rPr>
          <w:rFonts w:asciiTheme="minorEastAsia" w:eastAsiaTheme="minorEastAsia" w:hAnsiTheme="minorEastAsia" w:hint="eastAsia"/>
          <w:spacing w:val="-2"/>
          <w:sz w:val="24"/>
        </w:rPr>
        <w:t>。</w:t>
      </w:r>
    </w:p>
    <w:p w:rsidR="008C7DAF" w:rsidRPr="00FE7832" w:rsidRDefault="00597DA4" w:rsidP="000E7409">
      <w:pPr>
        <w:pStyle w:val="a5"/>
        <w:numPr>
          <w:ilvl w:val="0"/>
          <w:numId w:val="2"/>
        </w:numPr>
        <w:tabs>
          <w:tab w:val="left" w:pos="936"/>
        </w:tabs>
        <w:spacing w:before="0" w:line="360" w:lineRule="auto"/>
        <w:ind w:left="0" w:right="0" w:firstLineChars="200" w:firstLine="476"/>
        <w:rPr>
          <w:rFonts w:asciiTheme="minorEastAsia" w:eastAsiaTheme="minorEastAsia" w:hAnsiTheme="minorEastAsia"/>
          <w:sz w:val="24"/>
        </w:rPr>
      </w:pPr>
      <w:r w:rsidRPr="003A4804">
        <w:rPr>
          <w:rFonts w:asciiTheme="minorEastAsia" w:eastAsiaTheme="minorEastAsia" w:hAnsiTheme="minorEastAsia"/>
          <w:spacing w:val="-2"/>
          <w:sz w:val="24"/>
        </w:rPr>
        <w:t>投资者在各销售机构办理基金转换业务时，具体费率优惠细则请以销售机构的相关公告和规定为准。</w:t>
      </w:r>
    </w:p>
    <w:p w:rsidR="000B4AE2" w:rsidRPr="003A4804" w:rsidRDefault="00B60B2A" w:rsidP="000E7409">
      <w:pPr>
        <w:pStyle w:val="a5"/>
        <w:numPr>
          <w:ilvl w:val="0"/>
          <w:numId w:val="2"/>
        </w:numPr>
        <w:tabs>
          <w:tab w:val="left" w:pos="936"/>
        </w:tabs>
        <w:spacing w:before="0" w:line="360" w:lineRule="auto"/>
        <w:ind w:left="0" w:right="0" w:firstLineChars="200" w:firstLine="480"/>
        <w:rPr>
          <w:rFonts w:asciiTheme="minorEastAsia" w:eastAsiaTheme="minorEastAsia" w:hAnsiTheme="minorEastAsia"/>
          <w:sz w:val="24"/>
        </w:rPr>
      </w:pPr>
      <w:r>
        <w:rPr>
          <w:rFonts w:asciiTheme="minorEastAsia" w:eastAsiaTheme="minorEastAsia" w:hAnsiTheme="minorEastAsia" w:hint="eastAsia"/>
          <w:sz w:val="24"/>
        </w:rPr>
        <w:t>本公司</w:t>
      </w:r>
      <w:r w:rsidR="000B4AE2" w:rsidRPr="000B4AE2">
        <w:rPr>
          <w:rFonts w:asciiTheme="minorEastAsia" w:eastAsiaTheme="minorEastAsia" w:hAnsiTheme="minorEastAsia" w:hint="eastAsia"/>
          <w:sz w:val="24"/>
        </w:rPr>
        <w:t>可以对养老金客户开展</w:t>
      </w:r>
      <w:r w:rsidR="009A6550">
        <w:rPr>
          <w:rFonts w:asciiTheme="minorEastAsia" w:eastAsiaTheme="minorEastAsia" w:hAnsiTheme="minorEastAsia" w:hint="eastAsia"/>
          <w:sz w:val="24"/>
        </w:rPr>
        <w:t>本业务的</w:t>
      </w:r>
      <w:r w:rsidR="000B4AE2" w:rsidRPr="000B4AE2">
        <w:rPr>
          <w:rFonts w:asciiTheme="minorEastAsia" w:eastAsiaTheme="minorEastAsia" w:hAnsiTheme="minorEastAsia" w:hint="eastAsia"/>
          <w:sz w:val="24"/>
        </w:rPr>
        <w:t>费率优惠活动，详见</w:t>
      </w:r>
      <w:r w:rsidR="000B4AE2">
        <w:rPr>
          <w:rFonts w:asciiTheme="minorEastAsia" w:eastAsiaTheme="minorEastAsia" w:hAnsiTheme="minorEastAsia" w:hint="eastAsia"/>
          <w:sz w:val="24"/>
        </w:rPr>
        <w:t>本公司</w:t>
      </w:r>
      <w:r w:rsidR="000B4AE2" w:rsidRPr="000B4AE2">
        <w:rPr>
          <w:rFonts w:asciiTheme="minorEastAsia" w:eastAsiaTheme="minorEastAsia" w:hAnsiTheme="minorEastAsia" w:hint="eastAsia"/>
          <w:sz w:val="24"/>
        </w:rPr>
        <w:t>发布的相关公告</w:t>
      </w:r>
      <w:r w:rsidR="000B4AE2">
        <w:rPr>
          <w:rFonts w:asciiTheme="minorEastAsia" w:eastAsiaTheme="minorEastAsia" w:hAnsiTheme="minorEastAsia" w:hint="eastAsia"/>
          <w:spacing w:val="-2"/>
          <w:sz w:val="24"/>
        </w:rPr>
        <w:t>。</w:t>
      </w:r>
    </w:p>
    <w:p w:rsidR="008C7DAF" w:rsidRPr="003A4804" w:rsidRDefault="00597DA4" w:rsidP="000E7409">
      <w:pPr>
        <w:pStyle w:val="a5"/>
        <w:numPr>
          <w:ilvl w:val="0"/>
          <w:numId w:val="2"/>
        </w:numPr>
        <w:tabs>
          <w:tab w:val="left" w:pos="936"/>
        </w:tabs>
        <w:spacing w:before="0" w:line="360" w:lineRule="auto"/>
        <w:ind w:left="0" w:right="0" w:firstLineChars="200" w:firstLine="476"/>
        <w:rPr>
          <w:rFonts w:asciiTheme="minorEastAsia" w:eastAsiaTheme="minorEastAsia" w:hAnsiTheme="minorEastAsia"/>
          <w:sz w:val="24"/>
        </w:rPr>
      </w:pPr>
      <w:r w:rsidRPr="003A4804">
        <w:rPr>
          <w:rFonts w:asciiTheme="minorEastAsia" w:eastAsiaTheme="minorEastAsia" w:hAnsiTheme="minorEastAsia"/>
          <w:spacing w:val="-2"/>
          <w:sz w:val="24"/>
        </w:rPr>
        <w:t>基金转换以份额为单位进行申请。投资者可以发起多次基金转换业务，</w:t>
      </w:r>
      <w:r w:rsidRPr="003A4804">
        <w:rPr>
          <w:rFonts w:asciiTheme="minorEastAsia" w:eastAsiaTheme="minorEastAsia" w:hAnsiTheme="minorEastAsia"/>
          <w:spacing w:val="-4"/>
          <w:sz w:val="24"/>
        </w:rPr>
        <w:t>基金转换费用按每笔申请单独计算。转换费用以人民币元为单位，计算结果按照</w:t>
      </w:r>
      <w:r w:rsidRPr="003A4804">
        <w:rPr>
          <w:rFonts w:asciiTheme="minorEastAsia" w:eastAsiaTheme="minorEastAsia" w:hAnsiTheme="minorEastAsia"/>
          <w:spacing w:val="-2"/>
          <w:sz w:val="24"/>
        </w:rPr>
        <w:t>四舍五入方法，保留小数点后两位。</w:t>
      </w:r>
    </w:p>
    <w:p w:rsidR="008C7DAF" w:rsidRPr="003A4804" w:rsidRDefault="00597DA4" w:rsidP="000E7409">
      <w:pPr>
        <w:pStyle w:val="a5"/>
        <w:numPr>
          <w:ilvl w:val="0"/>
          <w:numId w:val="2"/>
        </w:numPr>
        <w:tabs>
          <w:tab w:val="left" w:pos="936"/>
        </w:tabs>
        <w:spacing w:before="0" w:line="360" w:lineRule="auto"/>
        <w:ind w:left="0" w:right="0" w:firstLineChars="200" w:firstLine="476"/>
        <w:rPr>
          <w:rFonts w:asciiTheme="minorEastAsia" w:eastAsiaTheme="minorEastAsia" w:hAnsiTheme="minorEastAsia"/>
          <w:sz w:val="24"/>
        </w:rPr>
      </w:pPr>
      <w:r w:rsidRPr="003A4804">
        <w:rPr>
          <w:rFonts w:asciiTheme="minorEastAsia" w:eastAsiaTheme="minorEastAsia" w:hAnsiTheme="minorEastAsia"/>
          <w:spacing w:val="-2"/>
          <w:sz w:val="24"/>
        </w:rPr>
        <w:t>具体计算公式：</w:t>
      </w:r>
    </w:p>
    <w:p w:rsidR="008C7DAF" w:rsidRPr="000E7409" w:rsidRDefault="00597DA4" w:rsidP="000E7409">
      <w:pPr>
        <w:pStyle w:val="a3"/>
        <w:spacing w:before="0" w:line="360" w:lineRule="auto"/>
        <w:ind w:left="0" w:firstLineChars="200" w:firstLine="472"/>
        <w:jc w:val="both"/>
        <w:rPr>
          <w:rFonts w:asciiTheme="minorEastAsia" w:eastAsiaTheme="minorEastAsia" w:hAnsiTheme="minorEastAsia"/>
          <w:spacing w:val="-4"/>
          <w:szCs w:val="22"/>
        </w:rPr>
      </w:pPr>
      <w:r w:rsidRPr="000E7409">
        <w:rPr>
          <w:rFonts w:asciiTheme="minorEastAsia" w:eastAsiaTheme="minorEastAsia" w:hAnsiTheme="minorEastAsia" w:hint="eastAsia"/>
          <w:spacing w:val="-4"/>
          <w:szCs w:val="22"/>
        </w:rPr>
        <w:t>转换金额=转出份额×转出基金份额类别当日基金份额净值</w:t>
      </w:r>
    </w:p>
    <w:p w:rsidR="008C7DAF" w:rsidRPr="000E7409" w:rsidRDefault="00B60B2A" w:rsidP="000E7409">
      <w:pPr>
        <w:pStyle w:val="a3"/>
        <w:spacing w:before="0" w:line="360" w:lineRule="auto"/>
        <w:ind w:left="0" w:firstLineChars="200" w:firstLine="472"/>
        <w:jc w:val="both"/>
        <w:rPr>
          <w:rFonts w:asciiTheme="minorEastAsia" w:eastAsiaTheme="minorEastAsia" w:hAnsiTheme="minorEastAsia"/>
          <w:spacing w:val="-4"/>
          <w:szCs w:val="22"/>
        </w:rPr>
      </w:pPr>
      <w:r w:rsidRPr="000E7409">
        <w:rPr>
          <w:rFonts w:asciiTheme="minorEastAsia" w:eastAsiaTheme="minorEastAsia" w:hAnsiTheme="minorEastAsia" w:hint="eastAsia"/>
          <w:spacing w:val="-4"/>
          <w:szCs w:val="22"/>
        </w:rPr>
        <w:t>转换</w:t>
      </w:r>
      <w:r w:rsidR="00597DA4" w:rsidRPr="000E7409">
        <w:rPr>
          <w:rFonts w:asciiTheme="minorEastAsia" w:eastAsiaTheme="minorEastAsia" w:hAnsiTheme="minorEastAsia" w:hint="eastAsia"/>
          <w:spacing w:val="-4"/>
          <w:szCs w:val="22"/>
        </w:rPr>
        <w:t>费＝转换金额×转出基金份额类别</w:t>
      </w:r>
      <w:r w:rsidRPr="000E7409">
        <w:rPr>
          <w:rFonts w:asciiTheme="minorEastAsia" w:eastAsiaTheme="minorEastAsia" w:hAnsiTheme="minorEastAsia" w:hint="eastAsia"/>
          <w:spacing w:val="-4"/>
          <w:szCs w:val="22"/>
        </w:rPr>
        <w:t>的转换</w:t>
      </w:r>
      <w:r w:rsidR="00597DA4" w:rsidRPr="000E7409">
        <w:rPr>
          <w:rFonts w:asciiTheme="minorEastAsia" w:eastAsiaTheme="minorEastAsia" w:hAnsiTheme="minorEastAsia" w:hint="eastAsia"/>
          <w:spacing w:val="-4"/>
          <w:szCs w:val="22"/>
        </w:rPr>
        <w:t>费率</w:t>
      </w:r>
    </w:p>
    <w:p w:rsidR="008C7DAF" w:rsidRPr="000E7409" w:rsidRDefault="00597DA4" w:rsidP="000E7409">
      <w:pPr>
        <w:pStyle w:val="a3"/>
        <w:spacing w:before="0" w:line="360" w:lineRule="auto"/>
        <w:ind w:left="0" w:firstLineChars="200" w:firstLine="472"/>
        <w:jc w:val="both"/>
        <w:rPr>
          <w:rFonts w:asciiTheme="minorEastAsia" w:eastAsiaTheme="minorEastAsia" w:hAnsiTheme="minorEastAsia"/>
          <w:spacing w:val="-4"/>
          <w:szCs w:val="22"/>
        </w:rPr>
      </w:pPr>
      <w:r w:rsidRPr="000E7409">
        <w:rPr>
          <w:rFonts w:asciiTheme="minorEastAsia" w:eastAsiaTheme="minorEastAsia" w:hAnsiTheme="minorEastAsia" w:hint="eastAsia"/>
          <w:spacing w:val="-4"/>
          <w:szCs w:val="22"/>
        </w:rPr>
        <w:t>补差费=</w:t>
      </w:r>
      <w:r w:rsidR="00B60B2A" w:rsidRPr="000E7409">
        <w:rPr>
          <w:rFonts w:asciiTheme="minorEastAsia" w:eastAsiaTheme="minorEastAsia" w:hAnsiTheme="minorEastAsia" w:hint="eastAsia"/>
          <w:spacing w:val="-4"/>
          <w:szCs w:val="22"/>
        </w:rPr>
        <w:t xml:space="preserve"> [</w:t>
      </w:r>
      <w:r w:rsidRPr="000E7409">
        <w:rPr>
          <w:rFonts w:asciiTheme="minorEastAsia" w:eastAsiaTheme="minorEastAsia" w:hAnsiTheme="minorEastAsia" w:hint="eastAsia"/>
          <w:spacing w:val="-4"/>
          <w:szCs w:val="22"/>
        </w:rPr>
        <w:t>（转换金额-转出基金份额类别</w:t>
      </w:r>
      <w:r w:rsidR="00EB3687" w:rsidRPr="000E7409">
        <w:rPr>
          <w:rFonts w:asciiTheme="minorEastAsia" w:eastAsiaTheme="minorEastAsia" w:hAnsiTheme="minorEastAsia" w:hint="eastAsia"/>
          <w:spacing w:val="-4"/>
          <w:szCs w:val="22"/>
        </w:rPr>
        <w:t>的</w:t>
      </w:r>
      <w:r w:rsidR="00B60B2A" w:rsidRPr="000E7409">
        <w:rPr>
          <w:rFonts w:asciiTheme="minorEastAsia" w:eastAsiaTheme="minorEastAsia" w:hAnsiTheme="minorEastAsia" w:hint="eastAsia"/>
          <w:spacing w:val="-4"/>
          <w:szCs w:val="22"/>
        </w:rPr>
        <w:t>转换</w:t>
      </w:r>
      <w:r w:rsidRPr="000E7409">
        <w:rPr>
          <w:rFonts w:asciiTheme="minorEastAsia" w:eastAsiaTheme="minorEastAsia" w:hAnsiTheme="minorEastAsia" w:hint="eastAsia"/>
          <w:spacing w:val="-4"/>
          <w:szCs w:val="22"/>
        </w:rPr>
        <w:t>费）</w:t>
      </w:r>
      <w:r w:rsidR="00B60B2A" w:rsidRPr="000E7409">
        <w:rPr>
          <w:rFonts w:asciiTheme="minorEastAsia" w:eastAsiaTheme="minorEastAsia" w:hAnsiTheme="minorEastAsia" w:hint="eastAsia"/>
          <w:spacing w:val="-4"/>
          <w:szCs w:val="22"/>
        </w:rPr>
        <w:t>/</w:t>
      </w:r>
      <w:r w:rsidRPr="000E7409">
        <w:rPr>
          <w:rFonts w:asciiTheme="minorEastAsia" w:eastAsiaTheme="minorEastAsia" w:hAnsiTheme="minorEastAsia" w:hint="eastAsia"/>
          <w:spacing w:val="-4"/>
          <w:szCs w:val="22"/>
        </w:rPr>
        <w:t>（1＋补差费率）</w:t>
      </w:r>
      <w:r w:rsidR="00B60B2A" w:rsidRPr="000E7409">
        <w:rPr>
          <w:rFonts w:asciiTheme="minorEastAsia" w:eastAsiaTheme="minorEastAsia" w:hAnsiTheme="minorEastAsia" w:hint="eastAsia"/>
          <w:spacing w:val="-4"/>
          <w:szCs w:val="22"/>
        </w:rPr>
        <w:t>]×补差费率</w:t>
      </w:r>
    </w:p>
    <w:p w:rsidR="008C7DAF" w:rsidRPr="000E7409" w:rsidRDefault="00597DA4" w:rsidP="000E7409">
      <w:pPr>
        <w:pStyle w:val="a3"/>
        <w:spacing w:before="0" w:line="360" w:lineRule="auto"/>
        <w:ind w:left="0" w:firstLineChars="200" w:firstLine="472"/>
        <w:jc w:val="both"/>
        <w:rPr>
          <w:rFonts w:asciiTheme="minorEastAsia" w:eastAsiaTheme="minorEastAsia" w:hAnsiTheme="minorEastAsia"/>
          <w:spacing w:val="-4"/>
          <w:szCs w:val="22"/>
        </w:rPr>
      </w:pPr>
      <w:r w:rsidRPr="000E7409">
        <w:rPr>
          <w:rFonts w:asciiTheme="minorEastAsia" w:eastAsiaTheme="minorEastAsia" w:hAnsiTheme="minorEastAsia" w:hint="eastAsia"/>
          <w:spacing w:val="-4"/>
          <w:szCs w:val="22"/>
        </w:rPr>
        <w:t>转入份额=</w:t>
      </w:r>
      <w:r w:rsidR="00305E23" w:rsidRPr="000E7409">
        <w:rPr>
          <w:rFonts w:asciiTheme="minorEastAsia" w:eastAsiaTheme="minorEastAsia" w:hAnsiTheme="minorEastAsia" w:hint="eastAsia"/>
          <w:spacing w:val="-4"/>
          <w:szCs w:val="22"/>
        </w:rPr>
        <w:t>（转换金额－转换费－补差费）/</w:t>
      </w:r>
      <w:r w:rsidRPr="000E7409">
        <w:rPr>
          <w:rFonts w:asciiTheme="minorEastAsia" w:eastAsiaTheme="minorEastAsia" w:hAnsiTheme="minorEastAsia" w:hint="eastAsia"/>
          <w:spacing w:val="-4"/>
          <w:szCs w:val="22"/>
        </w:rPr>
        <w:t>转入基金份额类别当日基金份额净值</w:t>
      </w:r>
    </w:p>
    <w:p w:rsidR="008C7DAF" w:rsidRPr="00FE7832" w:rsidRDefault="00597DA4" w:rsidP="000E7409">
      <w:pPr>
        <w:pStyle w:val="a5"/>
        <w:numPr>
          <w:ilvl w:val="0"/>
          <w:numId w:val="2"/>
        </w:numPr>
        <w:tabs>
          <w:tab w:val="left" w:pos="936"/>
        </w:tabs>
        <w:spacing w:before="0" w:line="360" w:lineRule="auto"/>
        <w:ind w:left="0" w:right="0" w:firstLineChars="200" w:firstLine="476"/>
        <w:rPr>
          <w:rFonts w:asciiTheme="minorEastAsia" w:eastAsiaTheme="minorEastAsia" w:hAnsiTheme="minorEastAsia"/>
          <w:sz w:val="24"/>
        </w:rPr>
      </w:pPr>
      <w:r w:rsidRPr="003A4804">
        <w:rPr>
          <w:rFonts w:asciiTheme="minorEastAsia" w:eastAsiaTheme="minorEastAsia" w:hAnsiTheme="minorEastAsia"/>
          <w:spacing w:val="-2"/>
          <w:sz w:val="24"/>
        </w:rPr>
        <w:t>转换涉及的具体份额以注册登记机构的记录为准，转入份额的计算结果</w:t>
      </w:r>
      <w:r w:rsidRPr="003A4804">
        <w:rPr>
          <w:rFonts w:asciiTheme="minorEastAsia" w:eastAsiaTheme="minorEastAsia" w:hAnsiTheme="minorEastAsia"/>
          <w:spacing w:val="-4"/>
          <w:sz w:val="24"/>
        </w:rPr>
        <w:t>保留位数依照</w:t>
      </w:r>
      <w:r w:rsidR="006D11C2">
        <w:rPr>
          <w:rFonts w:asciiTheme="minorEastAsia" w:eastAsiaTheme="minorEastAsia" w:hAnsiTheme="minorEastAsia" w:hint="eastAsia"/>
          <w:spacing w:val="-4"/>
          <w:sz w:val="24"/>
        </w:rPr>
        <w:t>本</w:t>
      </w:r>
      <w:r w:rsidRPr="003A4804">
        <w:rPr>
          <w:rFonts w:asciiTheme="minorEastAsia" w:eastAsiaTheme="minorEastAsia" w:hAnsiTheme="minorEastAsia"/>
          <w:spacing w:val="-4"/>
          <w:sz w:val="24"/>
        </w:rPr>
        <w:t>基金的《招募说明书》（含更新）的规定，由此误差产生的损失</w:t>
      </w:r>
      <w:r w:rsidRPr="003A4804">
        <w:rPr>
          <w:rFonts w:asciiTheme="minorEastAsia" w:eastAsiaTheme="minorEastAsia" w:hAnsiTheme="minorEastAsia"/>
          <w:spacing w:val="-2"/>
          <w:sz w:val="24"/>
        </w:rPr>
        <w:t>由基金财产承担，产生的收益归基金财产所有。</w:t>
      </w:r>
    </w:p>
    <w:p w:rsidR="00223114" w:rsidRPr="003A4804" w:rsidRDefault="00223114" w:rsidP="000E7409">
      <w:pPr>
        <w:pStyle w:val="a5"/>
        <w:numPr>
          <w:ilvl w:val="0"/>
          <w:numId w:val="2"/>
        </w:numPr>
        <w:tabs>
          <w:tab w:val="left" w:pos="936"/>
        </w:tabs>
        <w:spacing w:before="0" w:line="360" w:lineRule="auto"/>
        <w:ind w:left="0" w:right="0" w:firstLineChars="200" w:firstLine="480"/>
        <w:rPr>
          <w:rFonts w:asciiTheme="minorEastAsia" w:eastAsiaTheme="minorEastAsia" w:hAnsiTheme="minorEastAsia"/>
          <w:sz w:val="24"/>
        </w:rPr>
      </w:pPr>
      <w:r>
        <w:rPr>
          <w:rFonts w:asciiTheme="minorEastAsia" w:eastAsiaTheme="minorEastAsia" w:hAnsiTheme="minorEastAsia" w:hint="eastAsia"/>
          <w:sz w:val="24"/>
        </w:rPr>
        <w:t>目前参与本</w:t>
      </w:r>
      <w:r w:rsidRPr="00223114">
        <w:rPr>
          <w:rFonts w:asciiTheme="minorEastAsia" w:eastAsiaTheme="minorEastAsia" w:hAnsiTheme="minorEastAsia" w:hint="eastAsia"/>
          <w:sz w:val="24"/>
        </w:rPr>
        <w:t>业务的</w:t>
      </w:r>
      <w:r w:rsidR="00905C65">
        <w:rPr>
          <w:rFonts w:asciiTheme="minorEastAsia" w:eastAsiaTheme="minorEastAsia" w:hAnsiTheme="minorEastAsia" w:hint="eastAsia"/>
          <w:sz w:val="24"/>
        </w:rPr>
        <w:t>本</w:t>
      </w:r>
      <w:r w:rsidRPr="00223114">
        <w:rPr>
          <w:rFonts w:asciiTheme="minorEastAsia" w:eastAsiaTheme="minorEastAsia" w:hAnsiTheme="minorEastAsia" w:hint="eastAsia"/>
          <w:sz w:val="24"/>
        </w:rPr>
        <w:t>基金的费率详见最新招募说明书或公告的约定</w:t>
      </w:r>
      <w:r>
        <w:rPr>
          <w:rFonts w:asciiTheme="minorEastAsia" w:eastAsiaTheme="minorEastAsia" w:hAnsiTheme="minorEastAsia" w:cs="Microsoft JhengHei" w:hint="eastAsia"/>
          <w:b/>
          <w:bCs/>
          <w:spacing w:val="-2"/>
          <w:sz w:val="24"/>
          <w:szCs w:val="24"/>
        </w:rPr>
        <w:t>。</w:t>
      </w:r>
    </w:p>
    <w:p w:rsidR="008C7DAF" w:rsidRPr="003A4804" w:rsidRDefault="00597DA4" w:rsidP="000E7409">
      <w:pPr>
        <w:pStyle w:val="1"/>
        <w:spacing w:before="0" w:line="360" w:lineRule="auto"/>
        <w:ind w:left="0" w:firstLineChars="200" w:firstLine="478"/>
        <w:rPr>
          <w:rFonts w:asciiTheme="minorEastAsia" w:eastAsiaTheme="minorEastAsia" w:hAnsiTheme="minorEastAsia"/>
        </w:rPr>
      </w:pPr>
      <w:r w:rsidRPr="003A4804">
        <w:rPr>
          <w:rFonts w:asciiTheme="minorEastAsia" w:eastAsiaTheme="minorEastAsia" w:hAnsiTheme="minorEastAsia"/>
          <w:spacing w:val="-2"/>
        </w:rPr>
        <w:t>四、业务办理时间</w:t>
      </w:r>
    </w:p>
    <w:p w:rsidR="008C7DAF" w:rsidRPr="003A4804" w:rsidRDefault="00597DA4" w:rsidP="000E7409">
      <w:pPr>
        <w:pStyle w:val="a3"/>
        <w:spacing w:before="0" w:line="360" w:lineRule="auto"/>
        <w:ind w:left="0" w:firstLineChars="200" w:firstLine="468"/>
        <w:jc w:val="both"/>
        <w:rPr>
          <w:rFonts w:asciiTheme="minorEastAsia" w:eastAsiaTheme="minorEastAsia" w:hAnsiTheme="minorEastAsia"/>
        </w:rPr>
      </w:pPr>
      <w:r w:rsidRPr="003A4804">
        <w:rPr>
          <w:rFonts w:asciiTheme="minorEastAsia" w:eastAsiaTheme="minorEastAsia" w:hAnsiTheme="minorEastAsia"/>
          <w:spacing w:val="-6"/>
        </w:rPr>
        <w:t>投资者在开放日办理</w:t>
      </w:r>
      <w:r w:rsidR="00223114">
        <w:rPr>
          <w:rFonts w:asciiTheme="minorEastAsia" w:eastAsiaTheme="minorEastAsia" w:hAnsiTheme="minorEastAsia" w:hint="eastAsia"/>
          <w:spacing w:val="-6"/>
        </w:rPr>
        <w:t>本</w:t>
      </w:r>
      <w:r w:rsidRPr="003A4804">
        <w:rPr>
          <w:rFonts w:asciiTheme="minorEastAsia" w:eastAsiaTheme="minorEastAsia" w:hAnsiTheme="minorEastAsia"/>
          <w:spacing w:val="-6"/>
        </w:rPr>
        <w:t>业务，具体办理时</w:t>
      </w:r>
      <w:r w:rsidRPr="003A4804">
        <w:rPr>
          <w:rFonts w:asciiTheme="minorEastAsia" w:eastAsiaTheme="minorEastAsia" w:hAnsiTheme="minorEastAsia"/>
          <w:spacing w:val="-5"/>
        </w:rPr>
        <w:t>间遵守</w:t>
      </w:r>
      <w:r w:rsidR="00CB5311">
        <w:rPr>
          <w:rFonts w:asciiTheme="minorEastAsia" w:eastAsiaTheme="minorEastAsia" w:hAnsiTheme="minorEastAsia" w:hint="eastAsia"/>
          <w:spacing w:val="-5"/>
        </w:rPr>
        <w:t>本</w:t>
      </w:r>
      <w:r w:rsidRPr="003A4804">
        <w:rPr>
          <w:rFonts w:asciiTheme="minorEastAsia" w:eastAsiaTheme="minorEastAsia" w:hAnsiTheme="minorEastAsia"/>
          <w:spacing w:val="-5"/>
        </w:rPr>
        <w:t>基金的基金合同或招募说明书中关于开放日及开放时间的相关规定，但</w:t>
      </w:r>
      <w:r w:rsidRPr="003A4804">
        <w:rPr>
          <w:rFonts w:asciiTheme="minorEastAsia" w:eastAsiaTheme="minorEastAsia" w:hAnsiTheme="minorEastAsia"/>
          <w:spacing w:val="-10"/>
        </w:rPr>
        <w:t>基金管理人根据法律法规、中国证监会的要求或基金合同的规定公告暂停基金转</w:t>
      </w:r>
      <w:r w:rsidRPr="003A4804">
        <w:rPr>
          <w:rFonts w:asciiTheme="minorEastAsia" w:eastAsiaTheme="minorEastAsia" w:hAnsiTheme="minorEastAsia"/>
          <w:spacing w:val="-2"/>
        </w:rPr>
        <w:t>换时除外。</w:t>
      </w:r>
    </w:p>
    <w:p w:rsidR="008C7DAF" w:rsidRPr="003A4804" w:rsidRDefault="00597DA4" w:rsidP="000E7409">
      <w:pPr>
        <w:pStyle w:val="a3"/>
        <w:spacing w:before="0" w:line="360" w:lineRule="auto"/>
        <w:ind w:left="0" w:firstLineChars="200" w:firstLine="476"/>
        <w:rPr>
          <w:rFonts w:asciiTheme="minorEastAsia" w:eastAsiaTheme="minorEastAsia" w:hAnsiTheme="minorEastAsia"/>
        </w:rPr>
      </w:pPr>
      <w:r w:rsidRPr="003A4804">
        <w:rPr>
          <w:rFonts w:asciiTheme="minorEastAsia" w:eastAsiaTheme="minorEastAsia" w:hAnsiTheme="minorEastAsia"/>
          <w:spacing w:val="-2"/>
        </w:rPr>
        <w:t>敬请投资者在办理本业务前详细了解业务规则、费率及持有期计算等事宜，本公司可以根据市场情况在不违反有关法律法规和基金合同规定的前提下调整业务规则及有关限制。</w:t>
      </w:r>
    </w:p>
    <w:p w:rsidR="008C7DAF" w:rsidRPr="003A4804" w:rsidRDefault="00597DA4" w:rsidP="000E7409">
      <w:pPr>
        <w:pStyle w:val="1"/>
        <w:spacing w:before="0" w:line="360" w:lineRule="auto"/>
        <w:ind w:left="0" w:firstLineChars="200" w:firstLine="478"/>
        <w:rPr>
          <w:rFonts w:asciiTheme="minorEastAsia" w:eastAsiaTheme="minorEastAsia" w:hAnsiTheme="minorEastAsia"/>
        </w:rPr>
      </w:pPr>
      <w:r w:rsidRPr="003A4804">
        <w:rPr>
          <w:rFonts w:asciiTheme="minorEastAsia" w:eastAsiaTheme="minorEastAsia" w:hAnsiTheme="minorEastAsia"/>
          <w:spacing w:val="-2"/>
        </w:rPr>
        <w:t>五、重要提示</w:t>
      </w:r>
    </w:p>
    <w:p w:rsidR="008C7DAF" w:rsidRPr="003A4804" w:rsidRDefault="00597DA4" w:rsidP="000E7409">
      <w:pPr>
        <w:pStyle w:val="a5"/>
        <w:numPr>
          <w:ilvl w:val="0"/>
          <w:numId w:val="1"/>
        </w:numPr>
        <w:tabs>
          <w:tab w:val="left" w:pos="936"/>
        </w:tabs>
        <w:spacing w:before="0" w:line="360" w:lineRule="auto"/>
        <w:ind w:left="0" w:right="0" w:firstLineChars="200" w:firstLine="476"/>
        <w:rPr>
          <w:rFonts w:asciiTheme="minorEastAsia" w:eastAsiaTheme="minorEastAsia" w:hAnsiTheme="minorEastAsia"/>
          <w:sz w:val="24"/>
        </w:rPr>
      </w:pPr>
      <w:r w:rsidRPr="003A4804">
        <w:rPr>
          <w:rFonts w:asciiTheme="minorEastAsia" w:eastAsiaTheme="minorEastAsia" w:hAnsiTheme="minorEastAsia"/>
          <w:spacing w:val="-2"/>
          <w:sz w:val="24"/>
        </w:rPr>
        <w:t>本公告仅对</w:t>
      </w:r>
      <w:r w:rsidR="00905C65">
        <w:rPr>
          <w:rFonts w:asciiTheme="minorEastAsia" w:eastAsiaTheme="minorEastAsia" w:hAnsiTheme="minorEastAsia" w:hint="eastAsia"/>
          <w:spacing w:val="-2"/>
          <w:sz w:val="24"/>
        </w:rPr>
        <w:t>本</w:t>
      </w:r>
      <w:r w:rsidRPr="003A4804">
        <w:rPr>
          <w:rFonts w:asciiTheme="minorEastAsia" w:eastAsiaTheme="minorEastAsia" w:hAnsiTheme="minorEastAsia"/>
          <w:spacing w:val="-2"/>
          <w:sz w:val="24"/>
        </w:rPr>
        <w:t>基金开通</w:t>
      </w:r>
      <w:r w:rsidR="00223114">
        <w:rPr>
          <w:rFonts w:asciiTheme="minorEastAsia" w:eastAsiaTheme="minorEastAsia" w:hAnsiTheme="minorEastAsia" w:hint="eastAsia"/>
          <w:spacing w:val="-2"/>
          <w:sz w:val="24"/>
        </w:rPr>
        <w:t>本</w:t>
      </w:r>
      <w:r w:rsidRPr="003A4804">
        <w:rPr>
          <w:rFonts w:asciiTheme="minorEastAsia" w:eastAsiaTheme="minorEastAsia" w:hAnsiTheme="minorEastAsia"/>
          <w:spacing w:val="-2"/>
          <w:sz w:val="24"/>
        </w:rPr>
        <w:t>业务的有关事项予以说明。除另有公告外，</w:t>
      </w:r>
      <w:r w:rsidR="00905C65">
        <w:rPr>
          <w:rFonts w:asciiTheme="minorEastAsia" w:eastAsiaTheme="minorEastAsia" w:hAnsiTheme="minorEastAsia" w:hint="eastAsia"/>
          <w:spacing w:val="-2"/>
          <w:sz w:val="24"/>
        </w:rPr>
        <w:t>本</w:t>
      </w:r>
      <w:r w:rsidRPr="003A4804">
        <w:rPr>
          <w:rFonts w:asciiTheme="minorEastAsia" w:eastAsiaTheme="minorEastAsia" w:hAnsiTheme="minorEastAsia"/>
          <w:spacing w:val="-2"/>
          <w:sz w:val="24"/>
        </w:rPr>
        <w:t>基金关于本业务的其他注册登记事宜与已经开通的不同基金之间相互转换业务按相同的原则确认。投资者欲了解</w:t>
      </w:r>
      <w:r w:rsidR="00905C65">
        <w:rPr>
          <w:rFonts w:asciiTheme="minorEastAsia" w:eastAsiaTheme="minorEastAsia" w:hAnsiTheme="minorEastAsia" w:hint="eastAsia"/>
          <w:spacing w:val="-2"/>
          <w:sz w:val="24"/>
        </w:rPr>
        <w:t>本</w:t>
      </w:r>
      <w:r w:rsidRPr="003A4804">
        <w:rPr>
          <w:rFonts w:asciiTheme="minorEastAsia" w:eastAsiaTheme="minorEastAsia" w:hAnsiTheme="minorEastAsia"/>
          <w:spacing w:val="-2"/>
          <w:sz w:val="24"/>
        </w:rPr>
        <w:t>基金的详细情况，请阅读基金法律文件及相关公告。</w:t>
      </w:r>
    </w:p>
    <w:p w:rsidR="001B7BE8" w:rsidRPr="000E7409" w:rsidRDefault="00597DA4">
      <w:pPr>
        <w:pStyle w:val="a5"/>
        <w:numPr>
          <w:ilvl w:val="0"/>
          <w:numId w:val="1"/>
        </w:numPr>
        <w:tabs>
          <w:tab w:val="left" w:pos="936"/>
        </w:tabs>
        <w:spacing w:before="0" w:line="360" w:lineRule="auto"/>
        <w:ind w:left="0" w:right="0" w:firstLineChars="200" w:firstLine="476"/>
        <w:rPr>
          <w:rFonts w:asciiTheme="minorEastAsia" w:eastAsiaTheme="minorEastAsia" w:hAnsiTheme="minorEastAsia"/>
          <w:sz w:val="24"/>
        </w:rPr>
      </w:pPr>
      <w:r w:rsidRPr="003A4804">
        <w:rPr>
          <w:rFonts w:asciiTheme="minorEastAsia" w:eastAsiaTheme="minorEastAsia" w:hAnsiTheme="minorEastAsia"/>
          <w:spacing w:val="-2"/>
          <w:sz w:val="24"/>
        </w:rPr>
        <w:t>本公司若暂停办理本业务，将另行发布公告。</w:t>
      </w:r>
    </w:p>
    <w:p w:rsidR="008C7DAF" w:rsidRPr="003A4804" w:rsidRDefault="00597DA4" w:rsidP="000E7409">
      <w:pPr>
        <w:pStyle w:val="a5"/>
        <w:numPr>
          <w:ilvl w:val="0"/>
          <w:numId w:val="1"/>
        </w:numPr>
        <w:tabs>
          <w:tab w:val="left" w:pos="936"/>
        </w:tabs>
        <w:spacing w:before="0" w:line="360" w:lineRule="auto"/>
        <w:ind w:left="0" w:right="0" w:firstLineChars="200" w:firstLine="476"/>
        <w:rPr>
          <w:rFonts w:asciiTheme="minorEastAsia" w:eastAsiaTheme="minorEastAsia" w:hAnsiTheme="minorEastAsia"/>
          <w:sz w:val="24"/>
        </w:rPr>
      </w:pPr>
      <w:r w:rsidRPr="003A4804">
        <w:rPr>
          <w:rFonts w:asciiTheme="minorEastAsia" w:eastAsiaTheme="minorEastAsia" w:hAnsiTheme="minorEastAsia"/>
          <w:spacing w:val="-2"/>
          <w:sz w:val="24"/>
        </w:rPr>
        <w:t>投资者可通过以下途径咨询有关详情：</w:t>
      </w:r>
    </w:p>
    <w:p w:rsidR="0082212A" w:rsidRDefault="0082212A" w:rsidP="000E7409">
      <w:pPr>
        <w:pStyle w:val="a3"/>
        <w:spacing w:before="0" w:line="360" w:lineRule="auto"/>
        <w:ind w:left="0" w:firstLineChars="200" w:firstLine="478"/>
        <w:jc w:val="both"/>
        <w:rPr>
          <w:rFonts w:asciiTheme="minorEastAsia" w:eastAsiaTheme="minorEastAsia" w:hAnsiTheme="minorEastAsia"/>
          <w:spacing w:val="-2"/>
        </w:rPr>
      </w:pPr>
      <w:r>
        <w:rPr>
          <w:rFonts w:asciiTheme="minorEastAsia" w:eastAsiaTheme="minorEastAsia" w:hAnsiTheme="minorEastAsia" w:hint="eastAsia"/>
          <w:spacing w:val="-1"/>
        </w:rPr>
        <w:t>（1）</w:t>
      </w:r>
      <w:r w:rsidRPr="00422293">
        <w:rPr>
          <w:rFonts w:asciiTheme="minorEastAsia" w:eastAsiaTheme="minorEastAsia" w:hAnsiTheme="minorEastAsia" w:hint="eastAsia"/>
          <w:spacing w:val="-2"/>
        </w:rPr>
        <w:t>中国人寿保险股份有限公司</w:t>
      </w:r>
    </w:p>
    <w:p w:rsidR="0082212A" w:rsidRPr="00422293" w:rsidRDefault="0082212A" w:rsidP="000E7409">
      <w:pPr>
        <w:pStyle w:val="a3"/>
        <w:spacing w:before="0" w:line="360" w:lineRule="auto"/>
        <w:ind w:left="0" w:firstLineChars="200" w:firstLine="480"/>
        <w:jc w:val="both"/>
        <w:rPr>
          <w:rFonts w:asciiTheme="minorEastAsia" w:eastAsiaTheme="minorEastAsia" w:hAnsiTheme="minorEastAsia"/>
        </w:rPr>
      </w:pPr>
      <w:r w:rsidRPr="00422293">
        <w:rPr>
          <w:rFonts w:asciiTheme="minorEastAsia" w:eastAsiaTheme="minorEastAsia" w:hAnsiTheme="minorEastAsia" w:hint="eastAsia"/>
        </w:rPr>
        <w:t>注册地址：北京市西城区金融大街</w:t>
      </w:r>
      <w:r w:rsidRPr="00422293">
        <w:rPr>
          <w:rFonts w:asciiTheme="minorEastAsia" w:eastAsiaTheme="minorEastAsia" w:hAnsiTheme="minorEastAsia"/>
        </w:rPr>
        <w:t xml:space="preserve">16号 </w:t>
      </w:r>
    </w:p>
    <w:p w:rsidR="0082212A" w:rsidRPr="00422293" w:rsidRDefault="0082212A" w:rsidP="000E7409">
      <w:pPr>
        <w:pStyle w:val="a3"/>
        <w:spacing w:before="0" w:line="360" w:lineRule="auto"/>
        <w:ind w:left="0" w:firstLineChars="200" w:firstLine="480"/>
        <w:jc w:val="both"/>
        <w:rPr>
          <w:rFonts w:asciiTheme="minorEastAsia" w:eastAsiaTheme="minorEastAsia" w:hAnsiTheme="minorEastAsia"/>
        </w:rPr>
      </w:pPr>
      <w:r w:rsidRPr="00422293">
        <w:rPr>
          <w:rFonts w:asciiTheme="minorEastAsia" w:eastAsiaTheme="minorEastAsia" w:hAnsiTheme="minorEastAsia" w:hint="eastAsia"/>
        </w:rPr>
        <w:t>客户服务电话：</w:t>
      </w:r>
      <w:r w:rsidRPr="00422293">
        <w:rPr>
          <w:rFonts w:asciiTheme="minorEastAsia" w:eastAsiaTheme="minorEastAsia" w:hAnsiTheme="minorEastAsia"/>
        </w:rPr>
        <w:t xml:space="preserve">95519 </w:t>
      </w:r>
    </w:p>
    <w:p w:rsidR="0082212A" w:rsidRDefault="0082212A" w:rsidP="000E7409">
      <w:pPr>
        <w:pStyle w:val="a3"/>
        <w:spacing w:before="0" w:line="360" w:lineRule="auto"/>
        <w:ind w:left="0" w:firstLineChars="200" w:firstLine="480"/>
        <w:jc w:val="both"/>
        <w:rPr>
          <w:rFonts w:asciiTheme="minorEastAsia" w:eastAsiaTheme="minorEastAsia" w:hAnsiTheme="minorEastAsia"/>
        </w:rPr>
      </w:pPr>
      <w:r w:rsidRPr="00422293">
        <w:rPr>
          <w:rFonts w:asciiTheme="minorEastAsia" w:eastAsiaTheme="minorEastAsia" w:hAnsiTheme="minorEastAsia" w:hint="eastAsia"/>
        </w:rPr>
        <w:t>公司网址：</w:t>
      </w:r>
      <w:hyperlink r:id="rId8" w:history="1">
        <w:r w:rsidRPr="005F2F96">
          <w:rPr>
            <w:rStyle w:val="a8"/>
            <w:rFonts w:asciiTheme="minorEastAsia" w:eastAsiaTheme="minorEastAsia" w:hAnsiTheme="minorEastAsia"/>
          </w:rPr>
          <w:t>www.e-chinalife.com</w:t>
        </w:r>
      </w:hyperlink>
    </w:p>
    <w:p w:rsidR="0082212A" w:rsidRPr="003A4804" w:rsidRDefault="0082212A" w:rsidP="000E7409">
      <w:pPr>
        <w:pStyle w:val="a3"/>
        <w:spacing w:before="0" w:line="360" w:lineRule="auto"/>
        <w:ind w:left="0" w:firstLineChars="200" w:firstLine="476"/>
        <w:jc w:val="both"/>
        <w:rPr>
          <w:rFonts w:asciiTheme="minorEastAsia" w:eastAsiaTheme="minorEastAsia" w:hAnsiTheme="minorEastAsia"/>
        </w:rPr>
      </w:pPr>
      <w:r>
        <w:rPr>
          <w:rFonts w:asciiTheme="minorEastAsia" w:eastAsiaTheme="minorEastAsia" w:hAnsiTheme="minorEastAsia" w:hint="eastAsia"/>
          <w:spacing w:val="-2"/>
        </w:rPr>
        <w:t>（2）</w:t>
      </w:r>
      <w:r>
        <w:rPr>
          <w:rFonts w:asciiTheme="minorEastAsia" w:eastAsiaTheme="minorEastAsia" w:hAnsiTheme="minorEastAsia" w:hint="eastAsia"/>
          <w:spacing w:val="-1"/>
        </w:rPr>
        <w:t>融通</w:t>
      </w:r>
      <w:r w:rsidRPr="003A4804">
        <w:rPr>
          <w:rFonts w:asciiTheme="minorEastAsia" w:eastAsiaTheme="minorEastAsia" w:hAnsiTheme="minorEastAsia"/>
          <w:spacing w:val="-1"/>
        </w:rPr>
        <w:t>基金管理有限公司</w:t>
      </w:r>
    </w:p>
    <w:p w:rsidR="0082212A" w:rsidRDefault="0082212A" w:rsidP="000E7409">
      <w:pPr>
        <w:pStyle w:val="a3"/>
        <w:spacing w:before="0" w:line="360" w:lineRule="auto"/>
        <w:ind w:left="0" w:firstLineChars="200" w:firstLine="476"/>
        <w:jc w:val="both"/>
        <w:rPr>
          <w:rFonts w:asciiTheme="minorEastAsia" w:eastAsiaTheme="minorEastAsia" w:hAnsiTheme="minorEastAsia"/>
          <w:spacing w:val="-2"/>
        </w:rPr>
      </w:pPr>
      <w:r w:rsidRPr="003A4804">
        <w:rPr>
          <w:rFonts w:asciiTheme="minorEastAsia" w:eastAsiaTheme="minorEastAsia" w:hAnsiTheme="minorEastAsia"/>
          <w:spacing w:val="-2"/>
        </w:rPr>
        <w:t>客户服务电话：400-88</w:t>
      </w:r>
      <w:r>
        <w:rPr>
          <w:rFonts w:asciiTheme="minorEastAsia" w:eastAsiaTheme="minorEastAsia" w:hAnsiTheme="minorEastAsia"/>
          <w:spacing w:val="-2"/>
        </w:rPr>
        <w:t>3</w:t>
      </w:r>
      <w:r w:rsidRPr="003A4804">
        <w:rPr>
          <w:rFonts w:asciiTheme="minorEastAsia" w:eastAsiaTheme="minorEastAsia" w:hAnsiTheme="minorEastAsia"/>
          <w:spacing w:val="-2"/>
        </w:rPr>
        <w:t>-8088网址：</w:t>
      </w:r>
      <w:r w:rsidRPr="006C4617">
        <w:t>www.rtfund.com</w:t>
      </w:r>
    </w:p>
    <w:p w:rsidR="008C7DAF" w:rsidRPr="003A4804" w:rsidRDefault="00597DA4" w:rsidP="000E7409">
      <w:pPr>
        <w:pStyle w:val="a5"/>
        <w:numPr>
          <w:ilvl w:val="0"/>
          <w:numId w:val="1"/>
        </w:numPr>
        <w:tabs>
          <w:tab w:val="left" w:pos="936"/>
        </w:tabs>
        <w:spacing w:before="0" w:line="360" w:lineRule="auto"/>
        <w:ind w:left="0" w:right="0" w:firstLineChars="200" w:firstLine="476"/>
        <w:rPr>
          <w:rFonts w:asciiTheme="minorEastAsia" w:eastAsiaTheme="minorEastAsia" w:hAnsiTheme="minorEastAsia"/>
          <w:sz w:val="24"/>
        </w:rPr>
      </w:pPr>
      <w:r w:rsidRPr="003A4804">
        <w:rPr>
          <w:rFonts w:asciiTheme="minorEastAsia" w:eastAsiaTheme="minorEastAsia" w:hAnsiTheme="minorEastAsia"/>
          <w:spacing w:val="-2"/>
          <w:sz w:val="24"/>
        </w:rPr>
        <w:t>本业务涉及的招募说明书相关内容，将在更新招募说明书时一并予以调</w:t>
      </w:r>
      <w:r w:rsidRPr="003A4804">
        <w:rPr>
          <w:rFonts w:asciiTheme="minorEastAsia" w:eastAsiaTheme="minorEastAsia" w:hAnsiTheme="minorEastAsia"/>
          <w:spacing w:val="-6"/>
          <w:sz w:val="24"/>
        </w:rPr>
        <w:t>整。</w:t>
      </w:r>
    </w:p>
    <w:p w:rsidR="008C7DAF" w:rsidRPr="000E7409" w:rsidRDefault="00597DA4" w:rsidP="000E7409">
      <w:pPr>
        <w:pStyle w:val="a5"/>
        <w:numPr>
          <w:ilvl w:val="0"/>
          <w:numId w:val="1"/>
        </w:numPr>
        <w:tabs>
          <w:tab w:val="left" w:pos="936"/>
        </w:tabs>
        <w:spacing w:before="0" w:line="360" w:lineRule="auto"/>
        <w:ind w:left="0" w:right="0" w:firstLineChars="200" w:firstLine="476"/>
        <w:rPr>
          <w:rFonts w:asciiTheme="minorEastAsia" w:eastAsiaTheme="minorEastAsia" w:hAnsiTheme="minorEastAsia"/>
          <w:spacing w:val="-2"/>
          <w:sz w:val="24"/>
        </w:rPr>
      </w:pPr>
      <w:r w:rsidRPr="003A4804">
        <w:rPr>
          <w:rFonts w:asciiTheme="minorEastAsia" w:eastAsiaTheme="minorEastAsia" w:hAnsiTheme="minorEastAsia"/>
          <w:spacing w:val="-2"/>
          <w:sz w:val="24"/>
        </w:rPr>
        <w:t>风险提示：基金管理人承诺以诚实信用、勤勉尽责的原则管理和运用基金资产，但不保证基金一定盈利，也不保证最低收益。销售机构根据法规要求</w:t>
      </w:r>
      <w:r w:rsidRPr="000E7409">
        <w:rPr>
          <w:rFonts w:asciiTheme="minorEastAsia" w:eastAsiaTheme="minorEastAsia" w:hAnsiTheme="minorEastAsia" w:hint="eastAsia"/>
          <w:spacing w:val="-2"/>
          <w:sz w:val="24"/>
        </w:rPr>
        <w:t>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8C7DAF" w:rsidRPr="003A4804" w:rsidRDefault="00597DA4" w:rsidP="000E7409">
      <w:pPr>
        <w:pStyle w:val="a3"/>
        <w:spacing w:before="0" w:line="360" w:lineRule="auto"/>
        <w:ind w:left="0" w:firstLineChars="200" w:firstLine="476"/>
        <w:rPr>
          <w:rFonts w:asciiTheme="minorEastAsia" w:eastAsiaTheme="minorEastAsia" w:hAnsiTheme="minorEastAsia"/>
        </w:rPr>
      </w:pPr>
      <w:r w:rsidRPr="003A4804">
        <w:rPr>
          <w:rFonts w:asciiTheme="minorEastAsia" w:eastAsiaTheme="minorEastAsia" w:hAnsiTheme="minorEastAsia"/>
          <w:spacing w:val="-2"/>
        </w:rPr>
        <w:t>特此公告。</w:t>
      </w:r>
    </w:p>
    <w:p w:rsidR="008C7DAF" w:rsidRPr="003A4804" w:rsidRDefault="008C7DAF" w:rsidP="000E7409">
      <w:pPr>
        <w:pStyle w:val="a3"/>
        <w:spacing w:before="0" w:line="360" w:lineRule="auto"/>
        <w:ind w:left="0" w:firstLineChars="200" w:firstLine="480"/>
        <w:rPr>
          <w:rFonts w:asciiTheme="minorEastAsia" w:eastAsiaTheme="minorEastAsia" w:hAnsiTheme="minorEastAsia"/>
        </w:rPr>
      </w:pPr>
    </w:p>
    <w:p w:rsidR="008C7DAF" w:rsidRPr="003A4804" w:rsidRDefault="008C7DAF" w:rsidP="000E7409">
      <w:pPr>
        <w:pStyle w:val="a3"/>
        <w:spacing w:before="0" w:line="360" w:lineRule="auto"/>
        <w:ind w:left="0" w:firstLineChars="200" w:firstLine="480"/>
        <w:rPr>
          <w:rFonts w:asciiTheme="minorEastAsia" w:eastAsiaTheme="minorEastAsia" w:hAnsiTheme="minorEastAsia"/>
        </w:rPr>
      </w:pPr>
    </w:p>
    <w:p w:rsidR="008C7DAF" w:rsidRPr="003A4804" w:rsidRDefault="003A4804" w:rsidP="000E7409">
      <w:pPr>
        <w:pStyle w:val="a3"/>
        <w:spacing w:before="0" w:line="360" w:lineRule="auto"/>
        <w:ind w:left="0" w:firstLineChars="200" w:firstLine="478"/>
        <w:jc w:val="right"/>
        <w:rPr>
          <w:rFonts w:asciiTheme="minorEastAsia" w:eastAsiaTheme="minorEastAsia" w:hAnsiTheme="minorEastAsia"/>
        </w:rPr>
      </w:pPr>
      <w:r>
        <w:rPr>
          <w:rFonts w:asciiTheme="minorEastAsia" w:eastAsiaTheme="minorEastAsia" w:hAnsiTheme="minorEastAsia" w:hint="eastAsia"/>
          <w:spacing w:val="-1"/>
        </w:rPr>
        <w:t>融通</w:t>
      </w:r>
      <w:r w:rsidR="00597DA4" w:rsidRPr="003A4804">
        <w:rPr>
          <w:rFonts w:asciiTheme="minorEastAsia" w:eastAsiaTheme="minorEastAsia" w:hAnsiTheme="minorEastAsia"/>
          <w:spacing w:val="-1"/>
        </w:rPr>
        <w:t>基金管理有限公司</w:t>
      </w:r>
    </w:p>
    <w:p w:rsidR="008C7DAF" w:rsidRPr="003A4804" w:rsidRDefault="00597DA4" w:rsidP="000E7409">
      <w:pPr>
        <w:pStyle w:val="a3"/>
        <w:spacing w:before="0" w:line="360" w:lineRule="auto"/>
        <w:ind w:left="0" w:firstLineChars="200" w:firstLine="480"/>
        <w:jc w:val="right"/>
        <w:rPr>
          <w:rFonts w:asciiTheme="minorEastAsia" w:eastAsiaTheme="minorEastAsia" w:hAnsiTheme="minorEastAsia"/>
        </w:rPr>
      </w:pPr>
      <w:r w:rsidRPr="003A4804">
        <w:rPr>
          <w:rFonts w:asciiTheme="minorEastAsia" w:eastAsiaTheme="minorEastAsia" w:hAnsiTheme="minorEastAsia"/>
        </w:rPr>
        <w:t>202</w:t>
      </w:r>
      <w:r w:rsidR="0082212A">
        <w:rPr>
          <w:rFonts w:asciiTheme="minorEastAsia" w:eastAsiaTheme="minorEastAsia" w:hAnsiTheme="minorEastAsia" w:hint="eastAsia"/>
          <w:spacing w:val="-40"/>
        </w:rPr>
        <w:t xml:space="preserve">6 </w:t>
      </w:r>
      <w:r w:rsidRPr="003A4804">
        <w:rPr>
          <w:rFonts w:asciiTheme="minorEastAsia" w:eastAsiaTheme="minorEastAsia" w:hAnsiTheme="minorEastAsia"/>
          <w:spacing w:val="-40"/>
        </w:rPr>
        <w:t xml:space="preserve">年 </w:t>
      </w:r>
      <w:r w:rsidR="0082212A">
        <w:rPr>
          <w:rFonts w:asciiTheme="minorEastAsia" w:eastAsiaTheme="minorEastAsia" w:hAnsiTheme="minorEastAsia" w:hint="eastAsia"/>
        </w:rPr>
        <w:t>3</w:t>
      </w:r>
      <w:r w:rsidRPr="003A4804">
        <w:rPr>
          <w:rFonts w:asciiTheme="minorEastAsia" w:eastAsiaTheme="minorEastAsia" w:hAnsiTheme="minorEastAsia"/>
          <w:spacing w:val="-40"/>
        </w:rPr>
        <w:t xml:space="preserve">月 </w:t>
      </w:r>
      <w:r w:rsidR="001074BA">
        <w:rPr>
          <w:rFonts w:asciiTheme="minorEastAsia" w:eastAsiaTheme="minorEastAsia" w:hAnsiTheme="minorEastAsia" w:hint="eastAsia"/>
        </w:rPr>
        <w:t>20</w:t>
      </w:r>
      <w:r w:rsidRPr="003A4804">
        <w:rPr>
          <w:rFonts w:asciiTheme="minorEastAsia" w:eastAsiaTheme="minorEastAsia" w:hAnsiTheme="minorEastAsia"/>
          <w:spacing w:val="-35"/>
        </w:rPr>
        <w:t>日</w:t>
      </w:r>
    </w:p>
    <w:sectPr w:rsidR="008C7DAF" w:rsidRPr="003A4804" w:rsidSect="00B872F0">
      <w:headerReference w:type="default" r:id="rId9"/>
      <w:footerReference w:type="default" r:id="rId10"/>
      <w:pgSz w:w="11910" w:h="16840"/>
      <w:pgMar w:top="1460" w:right="1417" w:bottom="1160" w:left="1700" w:header="1125" w:footer="9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667" w:rsidRDefault="00230667">
      <w:r>
        <w:separator/>
      </w:r>
    </w:p>
  </w:endnote>
  <w:endnote w:type="continuationSeparator" w:id="0">
    <w:p w:rsidR="00230667" w:rsidRDefault="0023066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JhengHei">
    <w:charset w:val="88"/>
    <w:family w:val="swiss"/>
    <w:pitch w:val="variable"/>
    <w:sig w:usb0="000002A7" w:usb1="28CF44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DAF" w:rsidRDefault="00B872F0">
    <w:pPr>
      <w:pStyle w:val="a3"/>
      <w:spacing w:before="0" w:line="14" w:lineRule="auto"/>
      <w:ind w:left="0"/>
      <w:rPr>
        <w:sz w:val="20"/>
      </w:rPr>
    </w:pPr>
    <w:r>
      <w:rPr>
        <w:noProof/>
        <w:sz w:val="20"/>
      </w:rPr>
      <w:pict>
        <v:shapetype id="_x0000_t202" coordsize="21600,21600" o:spt="202" path="m,l,21600r21600,l21600,xe">
          <v:stroke joinstyle="miter"/>
          <v:path gradientshapeok="t" o:connecttype="rect"/>
        </v:shapetype>
        <v:shape id="Textbox 3" o:spid="_x0000_s1027" type="#_x0000_t202" style="position:absolute;margin-left:292.35pt;margin-top:782.15pt;width:11.6pt;height:11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" filled="f" stroked="f">
          <v:textbox inset="0,0,0,0">
            <w:txbxContent>
              <w:p w:rsidR="008C7DAF" w:rsidRDefault="00B872F0">
                <w:pPr>
                  <w:spacing w:line="203" w:lineRule="exact"/>
                  <w:ind w:left="60"/>
                  <w:rPr>
                    <w:rFonts w:ascii="Calibri"/>
                    <w:sz w:val="18"/>
                  </w:rPr>
                </w:pPr>
                <w:r>
                  <w:rPr>
                    <w:rFonts w:ascii="Calibri"/>
                    <w:spacing w:val="-10"/>
                    <w:sz w:val="18"/>
                  </w:rPr>
                  <w:fldChar w:fldCharType="begin"/>
                </w:r>
                <w:r w:rsidR="00597DA4">
                  <w:rPr>
                    <w:rFonts w:ascii="Calibri"/>
                    <w:spacing w:val="-10"/>
                    <w:sz w:val="18"/>
                  </w:rPr>
                  <w:instrText xml:space="preserve"> PAGE </w:instrText>
                </w:r>
                <w:r>
                  <w:rPr>
                    <w:rFonts w:ascii="Calibri"/>
                    <w:spacing w:val="-10"/>
                    <w:sz w:val="18"/>
                  </w:rPr>
                  <w:fldChar w:fldCharType="separate"/>
                </w:r>
                <w:r w:rsidR="00735681">
                  <w:rPr>
                    <w:rFonts w:ascii="Calibri"/>
                    <w:noProof/>
                    <w:spacing w:val="-10"/>
                    <w:sz w:val="18"/>
                  </w:rPr>
                  <w:t>1</w:t>
                </w:r>
                <w:r>
                  <w:rPr>
                    <w:rFonts w:ascii="Calibri"/>
                    <w:spacing w:val="-10"/>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667" w:rsidRDefault="00230667">
      <w:r>
        <w:separator/>
      </w:r>
    </w:p>
  </w:footnote>
  <w:footnote w:type="continuationSeparator" w:id="0">
    <w:p w:rsidR="00230667" w:rsidRDefault="00230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DAF" w:rsidRDefault="00B872F0">
    <w:pPr>
      <w:pStyle w:val="a3"/>
      <w:spacing w:before="0" w:line="14" w:lineRule="auto"/>
      <w:ind w:left="0"/>
      <w:rPr>
        <w:sz w:val="20"/>
      </w:rPr>
    </w:pPr>
    <w:r>
      <w:rPr>
        <w:noProof/>
        <w:sz w:val="20"/>
      </w:rPr>
      <w:pict>
        <v:shape id="Graphic 2" o:spid="_x0000_s1026" style="position:absolute;margin-left:88.4pt;margin-top:65.9pt;width:418.5pt;height:.1pt;z-index:-251657728;visibility:visible;mso-wrap-style:square;mso-wrap-distance-left:0;mso-wrap-distance-top:0;mso-wrap-distance-right:0;mso-wrap-distance-bottom:0;mso-position-horizontal:absolute;mso-position-horizontal-relative:page;mso-position-vertical:absolute;mso-position-vertical-relative:page;v-text-anchor:top" coordsize="531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" path="m,l5314949,e" filled="f">
          <v:path arrowok="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536D8"/>
    <w:multiLevelType w:val="hybridMultilevel"/>
    <w:tmpl w:val="71321DFC"/>
    <w:lvl w:ilvl="0" w:tplc="ACBE725A">
      <w:start w:val="1"/>
      <w:numFmt w:val="decimal"/>
      <w:lvlText w:val="%1."/>
      <w:lvlJc w:val="left"/>
      <w:pPr>
        <w:ind w:left="97" w:hanging="361"/>
      </w:pPr>
      <w:rPr>
        <w:rFonts w:ascii="宋体" w:eastAsia="宋体" w:hAnsi="宋体" w:cs="宋体" w:hint="default"/>
        <w:b w:val="0"/>
        <w:bCs w:val="0"/>
        <w:i w:val="0"/>
        <w:iCs w:val="0"/>
        <w:spacing w:val="0"/>
        <w:w w:val="100"/>
        <w:sz w:val="22"/>
        <w:szCs w:val="22"/>
        <w:lang w:val="en-US" w:eastAsia="zh-CN" w:bidi="ar-SA"/>
      </w:rPr>
    </w:lvl>
    <w:lvl w:ilvl="1" w:tplc="5DD62DA6">
      <w:numFmt w:val="bullet"/>
      <w:lvlText w:val="•"/>
      <w:lvlJc w:val="left"/>
      <w:pPr>
        <w:ind w:left="968" w:hanging="361"/>
      </w:pPr>
      <w:rPr>
        <w:rFonts w:hint="default"/>
        <w:lang w:val="en-US" w:eastAsia="zh-CN" w:bidi="ar-SA"/>
      </w:rPr>
    </w:lvl>
    <w:lvl w:ilvl="2" w:tplc="86B687B8">
      <w:numFmt w:val="bullet"/>
      <w:lvlText w:val="•"/>
      <w:lvlJc w:val="left"/>
      <w:pPr>
        <w:ind w:left="1837" w:hanging="361"/>
      </w:pPr>
      <w:rPr>
        <w:rFonts w:hint="default"/>
        <w:lang w:val="en-US" w:eastAsia="zh-CN" w:bidi="ar-SA"/>
      </w:rPr>
    </w:lvl>
    <w:lvl w:ilvl="3" w:tplc="1656668A">
      <w:numFmt w:val="bullet"/>
      <w:lvlText w:val="•"/>
      <w:lvlJc w:val="left"/>
      <w:pPr>
        <w:ind w:left="2706" w:hanging="361"/>
      </w:pPr>
      <w:rPr>
        <w:rFonts w:hint="default"/>
        <w:lang w:val="en-US" w:eastAsia="zh-CN" w:bidi="ar-SA"/>
      </w:rPr>
    </w:lvl>
    <w:lvl w:ilvl="4" w:tplc="448E6908">
      <w:numFmt w:val="bullet"/>
      <w:lvlText w:val="•"/>
      <w:lvlJc w:val="left"/>
      <w:pPr>
        <w:ind w:left="3575" w:hanging="361"/>
      </w:pPr>
      <w:rPr>
        <w:rFonts w:hint="default"/>
        <w:lang w:val="en-US" w:eastAsia="zh-CN" w:bidi="ar-SA"/>
      </w:rPr>
    </w:lvl>
    <w:lvl w:ilvl="5" w:tplc="DEF4B6DA">
      <w:numFmt w:val="bullet"/>
      <w:lvlText w:val="•"/>
      <w:lvlJc w:val="left"/>
      <w:pPr>
        <w:ind w:left="4444" w:hanging="361"/>
      </w:pPr>
      <w:rPr>
        <w:rFonts w:hint="default"/>
        <w:lang w:val="en-US" w:eastAsia="zh-CN" w:bidi="ar-SA"/>
      </w:rPr>
    </w:lvl>
    <w:lvl w:ilvl="6" w:tplc="5826156A">
      <w:numFmt w:val="bullet"/>
      <w:lvlText w:val="•"/>
      <w:lvlJc w:val="left"/>
      <w:pPr>
        <w:ind w:left="5313" w:hanging="361"/>
      </w:pPr>
      <w:rPr>
        <w:rFonts w:hint="default"/>
        <w:lang w:val="en-US" w:eastAsia="zh-CN" w:bidi="ar-SA"/>
      </w:rPr>
    </w:lvl>
    <w:lvl w:ilvl="7" w:tplc="EC92595A">
      <w:numFmt w:val="bullet"/>
      <w:lvlText w:val="•"/>
      <w:lvlJc w:val="left"/>
      <w:pPr>
        <w:ind w:left="6182" w:hanging="361"/>
      </w:pPr>
      <w:rPr>
        <w:rFonts w:hint="default"/>
        <w:lang w:val="en-US" w:eastAsia="zh-CN" w:bidi="ar-SA"/>
      </w:rPr>
    </w:lvl>
    <w:lvl w:ilvl="8" w:tplc="3BACB442">
      <w:numFmt w:val="bullet"/>
      <w:lvlText w:val="•"/>
      <w:lvlJc w:val="left"/>
      <w:pPr>
        <w:ind w:left="7051" w:hanging="361"/>
      </w:pPr>
      <w:rPr>
        <w:rFonts w:hint="default"/>
        <w:lang w:val="en-US" w:eastAsia="zh-CN" w:bidi="ar-SA"/>
      </w:rPr>
    </w:lvl>
  </w:abstractNum>
  <w:abstractNum w:abstractNumId="1">
    <w:nsid w:val="34932981"/>
    <w:multiLevelType w:val="hybridMultilevel"/>
    <w:tmpl w:val="072C81E6"/>
    <w:lvl w:ilvl="0" w:tplc="D7929E28">
      <w:start w:val="1"/>
      <w:numFmt w:val="decimal"/>
      <w:lvlText w:val="%1."/>
      <w:lvlJc w:val="left"/>
      <w:pPr>
        <w:ind w:left="97" w:hanging="362"/>
      </w:pPr>
      <w:rPr>
        <w:rFonts w:hint="default"/>
        <w:spacing w:val="0"/>
        <w:w w:val="88"/>
        <w:lang w:val="en-US" w:eastAsia="zh-CN" w:bidi="ar-SA"/>
      </w:rPr>
    </w:lvl>
    <w:lvl w:ilvl="1" w:tplc="E80A54D4">
      <w:numFmt w:val="bullet"/>
      <w:lvlText w:val="•"/>
      <w:lvlJc w:val="left"/>
      <w:pPr>
        <w:ind w:left="968" w:hanging="362"/>
      </w:pPr>
      <w:rPr>
        <w:rFonts w:hint="default"/>
        <w:lang w:val="en-US" w:eastAsia="zh-CN" w:bidi="ar-SA"/>
      </w:rPr>
    </w:lvl>
    <w:lvl w:ilvl="2" w:tplc="A4DC0E40">
      <w:numFmt w:val="bullet"/>
      <w:lvlText w:val="•"/>
      <w:lvlJc w:val="left"/>
      <w:pPr>
        <w:ind w:left="1837" w:hanging="362"/>
      </w:pPr>
      <w:rPr>
        <w:rFonts w:hint="default"/>
        <w:lang w:val="en-US" w:eastAsia="zh-CN" w:bidi="ar-SA"/>
      </w:rPr>
    </w:lvl>
    <w:lvl w:ilvl="3" w:tplc="EC26F0E4">
      <w:numFmt w:val="bullet"/>
      <w:lvlText w:val="•"/>
      <w:lvlJc w:val="left"/>
      <w:pPr>
        <w:ind w:left="2706" w:hanging="362"/>
      </w:pPr>
      <w:rPr>
        <w:rFonts w:hint="default"/>
        <w:lang w:val="en-US" w:eastAsia="zh-CN" w:bidi="ar-SA"/>
      </w:rPr>
    </w:lvl>
    <w:lvl w:ilvl="4" w:tplc="104C9CB4">
      <w:numFmt w:val="bullet"/>
      <w:lvlText w:val="•"/>
      <w:lvlJc w:val="left"/>
      <w:pPr>
        <w:ind w:left="3575" w:hanging="362"/>
      </w:pPr>
      <w:rPr>
        <w:rFonts w:hint="default"/>
        <w:lang w:val="en-US" w:eastAsia="zh-CN" w:bidi="ar-SA"/>
      </w:rPr>
    </w:lvl>
    <w:lvl w:ilvl="5" w:tplc="5380CC2C">
      <w:numFmt w:val="bullet"/>
      <w:lvlText w:val="•"/>
      <w:lvlJc w:val="left"/>
      <w:pPr>
        <w:ind w:left="4444" w:hanging="362"/>
      </w:pPr>
      <w:rPr>
        <w:rFonts w:hint="default"/>
        <w:lang w:val="en-US" w:eastAsia="zh-CN" w:bidi="ar-SA"/>
      </w:rPr>
    </w:lvl>
    <w:lvl w:ilvl="6" w:tplc="4B9CEE24">
      <w:numFmt w:val="bullet"/>
      <w:lvlText w:val="•"/>
      <w:lvlJc w:val="left"/>
      <w:pPr>
        <w:ind w:left="5313" w:hanging="362"/>
      </w:pPr>
      <w:rPr>
        <w:rFonts w:hint="default"/>
        <w:lang w:val="en-US" w:eastAsia="zh-CN" w:bidi="ar-SA"/>
      </w:rPr>
    </w:lvl>
    <w:lvl w:ilvl="7" w:tplc="77FC7B48">
      <w:numFmt w:val="bullet"/>
      <w:lvlText w:val="•"/>
      <w:lvlJc w:val="left"/>
      <w:pPr>
        <w:ind w:left="6182" w:hanging="362"/>
      </w:pPr>
      <w:rPr>
        <w:rFonts w:hint="default"/>
        <w:lang w:val="en-US" w:eastAsia="zh-CN" w:bidi="ar-SA"/>
      </w:rPr>
    </w:lvl>
    <w:lvl w:ilvl="8" w:tplc="113C6F1A">
      <w:numFmt w:val="bullet"/>
      <w:lvlText w:val="•"/>
      <w:lvlJc w:val="left"/>
      <w:pPr>
        <w:ind w:left="7051" w:hanging="362"/>
      </w:pPr>
      <w:rPr>
        <w:rFonts w:hint="default"/>
        <w:lang w:val="en-US" w:eastAsia="zh-CN" w:bidi="ar-SA"/>
      </w:rPr>
    </w:lvl>
  </w:abstractNum>
  <w:abstractNum w:abstractNumId="2">
    <w:nsid w:val="6060056B"/>
    <w:multiLevelType w:val="hybridMultilevel"/>
    <w:tmpl w:val="0BC040D8"/>
    <w:lvl w:ilvl="0" w:tplc="320EC182">
      <w:start w:val="1"/>
      <w:numFmt w:val="decimal"/>
      <w:lvlText w:val="%1."/>
      <w:lvlJc w:val="left"/>
      <w:pPr>
        <w:ind w:left="97" w:hanging="361"/>
      </w:pPr>
      <w:rPr>
        <w:rFonts w:ascii="宋体" w:eastAsia="宋体" w:hAnsi="宋体" w:cs="宋体" w:hint="default"/>
        <w:b w:val="0"/>
        <w:bCs w:val="0"/>
        <w:i w:val="0"/>
        <w:iCs w:val="0"/>
        <w:spacing w:val="0"/>
        <w:w w:val="100"/>
        <w:sz w:val="24"/>
        <w:szCs w:val="24"/>
        <w:lang w:val="en-US" w:eastAsia="zh-CN" w:bidi="ar-SA"/>
      </w:rPr>
    </w:lvl>
    <w:lvl w:ilvl="1" w:tplc="3F8EA5E4">
      <w:numFmt w:val="bullet"/>
      <w:lvlText w:val="•"/>
      <w:lvlJc w:val="left"/>
      <w:pPr>
        <w:ind w:left="968" w:hanging="361"/>
      </w:pPr>
      <w:rPr>
        <w:rFonts w:hint="default"/>
        <w:lang w:val="en-US" w:eastAsia="zh-CN" w:bidi="ar-SA"/>
      </w:rPr>
    </w:lvl>
    <w:lvl w:ilvl="2" w:tplc="88161C32">
      <w:numFmt w:val="bullet"/>
      <w:lvlText w:val="•"/>
      <w:lvlJc w:val="left"/>
      <w:pPr>
        <w:ind w:left="1837" w:hanging="361"/>
      </w:pPr>
      <w:rPr>
        <w:rFonts w:hint="default"/>
        <w:lang w:val="en-US" w:eastAsia="zh-CN" w:bidi="ar-SA"/>
      </w:rPr>
    </w:lvl>
    <w:lvl w:ilvl="3" w:tplc="EAB6ED0E">
      <w:numFmt w:val="bullet"/>
      <w:lvlText w:val="•"/>
      <w:lvlJc w:val="left"/>
      <w:pPr>
        <w:ind w:left="2706" w:hanging="361"/>
      </w:pPr>
      <w:rPr>
        <w:rFonts w:hint="default"/>
        <w:lang w:val="en-US" w:eastAsia="zh-CN" w:bidi="ar-SA"/>
      </w:rPr>
    </w:lvl>
    <w:lvl w:ilvl="4" w:tplc="D87A446E">
      <w:numFmt w:val="bullet"/>
      <w:lvlText w:val="•"/>
      <w:lvlJc w:val="left"/>
      <w:pPr>
        <w:ind w:left="3575" w:hanging="361"/>
      </w:pPr>
      <w:rPr>
        <w:rFonts w:hint="default"/>
        <w:lang w:val="en-US" w:eastAsia="zh-CN" w:bidi="ar-SA"/>
      </w:rPr>
    </w:lvl>
    <w:lvl w:ilvl="5" w:tplc="9634EF86">
      <w:numFmt w:val="bullet"/>
      <w:lvlText w:val="•"/>
      <w:lvlJc w:val="left"/>
      <w:pPr>
        <w:ind w:left="4444" w:hanging="361"/>
      </w:pPr>
      <w:rPr>
        <w:rFonts w:hint="default"/>
        <w:lang w:val="en-US" w:eastAsia="zh-CN" w:bidi="ar-SA"/>
      </w:rPr>
    </w:lvl>
    <w:lvl w:ilvl="6" w:tplc="6A5CBD40">
      <w:numFmt w:val="bullet"/>
      <w:lvlText w:val="•"/>
      <w:lvlJc w:val="left"/>
      <w:pPr>
        <w:ind w:left="5313" w:hanging="361"/>
      </w:pPr>
      <w:rPr>
        <w:rFonts w:hint="default"/>
        <w:lang w:val="en-US" w:eastAsia="zh-CN" w:bidi="ar-SA"/>
      </w:rPr>
    </w:lvl>
    <w:lvl w:ilvl="7" w:tplc="DB1C3968">
      <w:numFmt w:val="bullet"/>
      <w:lvlText w:val="•"/>
      <w:lvlJc w:val="left"/>
      <w:pPr>
        <w:ind w:left="6182" w:hanging="361"/>
      </w:pPr>
      <w:rPr>
        <w:rFonts w:hint="default"/>
        <w:lang w:val="en-US" w:eastAsia="zh-CN" w:bidi="ar-SA"/>
      </w:rPr>
    </w:lvl>
    <w:lvl w:ilvl="8" w:tplc="9ADA1E5E">
      <w:numFmt w:val="bullet"/>
      <w:lvlText w:val="•"/>
      <w:lvlJc w:val="left"/>
      <w:pPr>
        <w:ind w:left="7051" w:hanging="361"/>
      </w:pPr>
      <w:rPr>
        <w:rFonts w:hint="default"/>
        <w:lang w:val="en-US" w:eastAsia="zh-CN" w:bidi="ar-SA"/>
      </w:rPr>
    </w:lvl>
  </w:abstractNum>
  <w:abstractNum w:abstractNumId="3">
    <w:nsid w:val="6793433C"/>
    <w:multiLevelType w:val="hybridMultilevel"/>
    <w:tmpl w:val="C14C01D6"/>
    <w:lvl w:ilvl="0" w:tplc="4386DA56">
      <w:start w:val="1"/>
      <w:numFmt w:val="japaneseCounting"/>
      <w:lvlText w:val="%1、"/>
      <w:lvlJc w:val="left"/>
      <w:pPr>
        <w:ind w:left="1296" w:hanging="720"/>
      </w:pPr>
      <w:rPr>
        <w:rFonts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
  <w:rsids>
    <w:rsidRoot w:val="008C7DAF"/>
    <w:rsid w:val="0008590F"/>
    <w:rsid w:val="000B4AE2"/>
    <w:rsid w:val="000E7409"/>
    <w:rsid w:val="001074BA"/>
    <w:rsid w:val="0017737B"/>
    <w:rsid w:val="001B7BE8"/>
    <w:rsid w:val="00220BE3"/>
    <w:rsid w:val="00223114"/>
    <w:rsid w:val="00230667"/>
    <w:rsid w:val="002935C6"/>
    <w:rsid w:val="002F763A"/>
    <w:rsid w:val="00305E23"/>
    <w:rsid w:val="003A4804"/>
    <w:rsid w:val="003E5190"/>
    <w:rsid w:val="0044138F"/>
    <w:rsid w:val="00484FB5"/>
    <w:rsid w:val="004A7C1A"/>
    <w:rsid w:val="00553C55"/>
    <w:rsid w:val="00597DA4"/>
    <w:rsid w:val="005A4A0D"/>
    <w:rsid w:val="005B34A0"/>
    <w:rsid w:val="005C438E"/>
    <w:rsid w:val="005F4FC0"/>
    <w:rsid w:val="006023DA"/>
    <w:rsid w:val="00645B21"/>
    <w:rsid w:val="006D11C2"/>
    <w:rsid w:val="00735681"/>
    <w:rsid w:val="007429F0"/>
    <w:rsid w:val="0075128E"/>
    <w:rsid w:val="007C4EB1"/>
    <w:rsid w:val="0082212A"/>
    <w:rsid w:val="0082226B"/>
    <w:rsid w:val="008B0B87"/>
    <w:rsid w:val="008C7DAF"/>
    <w:rsid w:val="00905C65"/>
    <w:rsid w:val="009922C5"/>
    <w:rsid w:val="009A6550"/>
    <w:rsid w:val="009C1A4E"/>
    <w:rsid w:val="00A80592"/>
    <w:rsid w:val="00B60B2A"/>
    <w:rsid w:val="00B872F0"/>
    <w:rsid w:val="00BD0BF7"/>
    <w:rsid w:val="00C979BA"/>
    <w:rsid w:val="00CB5311"/>
    <w:rsid w:val="00CD080B"/>
    <w:rsid w:val="00D77BAF"/>
    <w:rsid w:val="00E30AD3"/>
    <w:rsid w:val="00E711A3"/>
    <w:rsid w:val="00EB3687"/>
    <w:rsid w:val="00FE78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872F0"/>
    <w:rPr>
      <w:rFonts w:ascii="宋体" w:eastAsia="宋体" w:hAnsi="宋体" w:cs="宋体"/>
      <w:lang w:eastAsia="zh-CN"/>
    </w:rPr>
  </w:style>
  <w:style w:type="paragraph" w:styleId="1">
    <w:name w:val="heading 1"/>
    <w:basedOn w:val="a"/>
    <w:uiPriority w:val="1"/>
    <w:qFormat/>
    <w:rsid w:val="00B872F0"/>
    <w:pPr>
      <w:spacing w:before="1"/>
      <w:ind w:left="576"/>
      <w:outlineLvl w:val="0"/>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872F0"/>
    <w:tblPr>
      <w:tblInd w:w="0" w:type="dxa"/>
      <w:tblCellMar>
        <w:top w:w="0" w:type="dxa"/>
        <w:left w:w="0" w:type="dxa"/>
        <w:bottom w:w="0" w:type="dxa"/>
        <w:right w:w="0" w:type="dxa"/>
      </w:tblCellMar>
    </w:tblPr>
  </w:style>
  <w:style w:type="paragraph" w:styleId="a3">
    <w:name w:val="Body Text"/>
    <w:basedOn w:val="a"/>
    <w:link w:val="Char"/>
    <w:uiPriority w:val="1"/>
    <w:qFormat/>
    <w:rsid w:val="00B872F0"/>
    <w:pPr>
      <w:spacing w:before="1"/>
      <w:ind w:left="96"/>
    </w:pPr>
    <w:rPr>
      <w:sz w:val="24"/>
      <w:szCs w:val="24"/>
    </w:rPr>
  </w:style>
  <w:style w:type="paragraph" w:styleId="a4">
    <w:name w:val="Title"/>
    <w:basedOn w:val="a"/>
    <w:uiPriority w:val="1"/>
    <w:qFormat/>
    <w:rsid w:val="00B872F0"/>
    <w:pPr>
      <w:ind w:right="282"/>
      <w:jc w:val="center"/>
    </w:pPr>
    <w:rPr>
      <w:rFonts w:ascii="Microsoft JhengHei" w:eastAsia="Microsoft JhengHei" w:hAnsi="Microsoft JhengHei" w:cs="Microsoft JhengHei"/>
      <w:b/>
      <w:bCs/>
      <w:sz w:val="30"/>
      <w:szCs w:val="30"/>
    </w:rPr>
  </w:style>
  <w:style w:type="paragraph" w:styleId="a5">
    <w:name w:val="List Paragraph"/>
    <w:basedOn w:val="a"/>
    <w:uiPriority w:val="1"/>
    <w:qFormat/>
    <w:rsid w:val="00B872F0"/>
    <w:pPr>
      <w:spacing w:before="1"/>
      <w:ind w:left="96" w:right="378" w:firstLine="480"/>
      <w:jc w:val="both"/>
    </w:pPr>
  </w:style>
  <w:style w:type="paragraph" w:customStyle="1" w:styleId="TableParagraph">
    <w:name w:val="Table Paragraph"/>
    <w:basedOn w:val="a"/>
    <w:uiPriority w:val="1"/>
    <w:qFormat/>
    <w:rsid w:val="00B872F0"/>
    <w:pPr>
      <w:spacing w:before="82"/>
      <w:ind w:left="108"/>
    </w:pPr>
  </w:style>
  <w:style w:type="paragraph" w:styleId="a6">
    <w:name w:val="header"/>
    <w:basedOn w:val="a"/>
    <w:link w:val="Char0"/>
    <w:uiPriority w:val="99"/>
    <w:unhideWhenUsed/>
    <w:rsid w:val="003A48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A4804"/>
    <w:rPr>
      <w:rFonts w:ascii="宋体" w:eastAsia="宋体" w:hAnsi="宋体" w:cs="宋体"/>
      <w:sz w:val="18"/>
      <w:szCs w:val="18"/>
      <w:lang w:eastAsia="zh-CN"/>
    </w:rPr>
  </w:style>
  <w:style w:type="paragraph" w:styleId="a7">
    <w:name w:val="footer"/>
    <w:basedOn w:val="a"/>
    <w:link w:val="Char1"/>
    <w:uiPriority w:val="99"/>
    <w:unhideWhenUsed/>
    <w:rsid w:val="003A4804"/>
    <w:pPr>
      <w:tabs>
        <w:tab w:val="center" w:pos="4153"/>
        <w:tab w:val="right" w:pos="8306"/>
      </w:tabs>
      <w:snapToGrid w:val="0"/>
    </w:pPr>
    <w:rPr>
      <w:sz w:val="18"/>
      <w:szCs w:val="18"/>
    </w:rPr>
  </w:style>
  <w:style w:type="character" w:customStyle="1" w:styleId="Char1">
    <w:name w:val="页脚 Char"/>
    <w:basedOn w:val="a0"/>
    <w:link w:val="a7"/>
    <w:uiPriority w:val="99"/>
    <w:rsid w:val="003A4804"/>
    <w:rPr>
      <w:rFonts w:ascii="宋体" w:eastAsia="宋体" w:hAnsi="宋体" w:cs="宋体"/>
      <w:sz w:val="18"/>
      <w:szCs w:val="18"/>
      <w:lang w:eastAsia="zh-CN"/>
    </w:rPr>
  </w:style>
  <w:style w:type="character" w:styleId="a8">
    <w:name w:val="Hyperlink"/>
    <w:basedOn w:val="a0"/>
    <w:uiPriority w:val="99"/>
    <w:unhideWhenUsed/>
    <w:rsid w:val="003A4804"/>
    <w:rPr>
      <w:color w:val="0000FF" w:themeColor="hyperlink"/>
      <w:u w:val="single"/>
    </w:rPr>
  </w:style>
  <w:style w:type="paragraph" w:styleId="a9">
    <w:name w:val="Balloon Text"/>
    <w:basedOn w:val="a"/>
    <w:link w:val="Char2"/>
    <w:uiPriority w:val="99"/>
    <w:semiHidden/>
    <w:unhideWhenUsed/>
    <w:rsid w:val="00CD080B"/>
    <w:rPr>
      <w:sz w:val="18"/>
      <w:szCs w:val="18"/>
    </w:rPr>
  </w:style>
  <w:style w:type="character" w:customStyle="1" w:styleId="Char2">
    <w:name w:val="批注框文本 Char"/>
    <w:basedOn w:val="a0"/>
    <w:link w:val="a9"/>
    <w:uiPriority w:val="99"/>
    <w:semiHidden/>
    <w:rsid w:val="00CD080B"/>
    <w:rPr>
      <w:rFonts w:ascii="宋体" w:eastAsia="宋体" w:hAnsi="宋体" w:cs="宋体"/>
      <w:sz w:val="18"/>
      <w:szCs w:val="18"/>
      <w:lang w:eastAsia="zh-CN"/>
    </w:rPr>
  </w:style>
  <w:style w:type="paragraph" w:styleId="aa">
    <w:name w:val="Revision"/>
    <w:hidden/>
    <w:uiPriority w:val="99"/>
    <w:semiHidden/>
    <w:rsid w:val="0082226B"/>
    <w:pPr>
      <w:widowControl/>
      <w:autoSpaceDE/>
      <w:autoSpaceDN/>
    </w:pPr>
    <w:rPr>
      <w:rFonts w:ascii="宋体" w:eastAsia="宋体" w:hAnsi="宋体" w:cs="宋体"/>
      <w:lang w:eastAsia="zh-CN"/>
    </w:rPr>
  </w:style>
  <w:style w:type="character" w:styleId="ab">
    <w:name w:val="annotation reference"/>
    <w:basedOn w:val="a0"/>
    <w:uiPriority w:val="99"/>
    <w:semiHidden/>
    <w:unhideWhenUsed/>
    <w:rsid w:val="0075128E"/>
    <w:rPr>
      <w:sz w:val="21"/>
      <w:szCs w:val="21"/>
    </w:rPr>
  </w:style>
  <w:style w:type="paragraph" w:styleId="ac">
    <w:name w:val="annotation text"/>
    <w:basedOn w:val="a"/>
    <w:link w:val="Char3"/>
    <w:uiPriority w:val="99"/>
    <w:semiHidden/>
    <w:unhideWhenUsed/>
    <w:rsid w:val="0075128E"/>
  </w:style>
  <w:style w:type="character" w:customStyle="1" w:styleId="Char3">
    <w:name w:val="批注文字 Char"/>
    <w:basedOn w:val="a0"/>
    <w:link w:val="ac"/>
    <w:uiPriority w:val="99"/>
    <w:semiHidden/>
    <w:rsid w:val="0075128E"/>
    <w:rPr>
      <w:rFonts w:ascii="宋体" w:eastAsia="宋体" w:hAnsi="宋体" w:cs="宋体"/>
      <w:lang w:eastAsia="zh-CN"/>
    </w:rPr>
  </w:style>
  <w:style w:type="paragraph" w:styleId="ad">
    <w:name w:val="annotation subject"/>
    <w:basedOn w:val="ac"/>
    <w:next w:val="ac"/>
    <w:link w:val="Char4"/>
    <w:uiPriority w:val="99"/>
    <w:semiHidden/>
    <w:unhideWhenUsed/>
    <w:rsid w:val="0075128E"/>
    <w:rPr>
      <w:b/>
      <w:bCs/>
    </w:rPr>
  </w:style>
  <w:style w:type="character" w:customStyle="1" w:styleId="Char4">
    <w:name w:val="批注主题 Char"/>
    <w:basedOn w:val="Char3"/>
    <w:link w:val="ad"/>
    <w:uiPriority w:val="99"/>
    <w:semiHidden/>
    <w:rsid w:val="0075128E"/>
    <w:rPr>
      <w:rFonts w:ascii="宋体" w:eastAsia="宋体" w:hAnsi="宋体" w:cs="宋体"/>
      <w:b/>
      <w:bCs/>
      <w:lang w:eastAsia="zh-CN"/>
    </w:rPr>
  </w:style>
  <w:style w:type="character" w:customStyle="1" w:styleId="Char">
    <w:name w:val="正文文本 Char"/>
    <w:basedOn w:val="a0"/>
    <w:link w:val="a3"/>
    <w:uiPriority w:val="1"/>
    <w:rsid w:val="0082212A"/>
    <w:rPr>
      <w:rFonts w:ascii="宋体" w:eastAsia="宋体" w:hAnsi="宋体" w:cs="宋体"/>
      <w:sz w:val="24"/>
      <w:szCs w:val="24"/>
      <w:lang w:eastAsia="zh-CN"/>
    </w:rPr>
  </w:style>
</w:styles>
</file>

<file path=word/webSettings.xml><?xml version="1.0" encoding="utf-8"?>
<w:webSettings xmlns:r="http://schemas.openxmlformats.org/officeDocument/2006/relationships" xmlns:w="http://schemas.openxmlformats.org/wordprocessingml/2006/main">
  <w:divs>
    <w:div w:id="362561223">
      <w:bodyDiv w:val="1"/>
      <w:marLeft w:val="0"/>
      <w:marRight w:val="0"/>
      <w:marTop w:val="0"/>
      <w:marBottom w:val="0"/>
      <w:divBdr>
        <w:top w:val="none" w:sz="0" w:space="0" w:color="auto"/>
        <w:left w:val="none" w:sz="0" w:space="0" w:color="auto"/>
        <w:bottom w:val="none" w:sz="0" w:space="0" w:color="auto"/>
        <w:right w:val="none" w:sz="0" w:space="0" w:color="auto"/>
      </w:divBdr>
    </w:div>
    <w:div w:id="1496066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inalif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3E2C0-D228-4890-AEE2-C94E4ED9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2136</Characters>
  <Application>Microsoft Office Word</Application>
  <DocSecurity>4</DocSecurity>
  <Lines>17</Lines>
  <Paragraphs>5</Paragraphs>
  <ScaleCrop>false</ScaleCrop>
  <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陈思辰</dc:creator>
  <cp:lastModifiedBy>ZHONGM</cp:lastModifiedBy>
  <cp:revision>2</cp:revision>
  <dcterms:created xsi:type="dcterms:W3CDTF">2026-03-19T16:02:00Z</dcterms:created>
  <dcterms:modified xsi:type="dcterms:W3CDTF">2026-03-19T16:02:00Z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Aspose Ltd.</vt:lpwstr>
  </property>
  <property fmtid="{D5CDD505-2E9C-101B-9397-08002B2CF9AE}" pid="4" name="Producer">
    <vt:lpwstr>Aspose.PDF for Java 19.8</vt:lpwstr>
  </property>
  <property fmtid="{D5CDD505-2E9C-101B-9397-08002B2CF9AE}" pid="5" name="LastSaved">
    <vt:filetime>2025-07-25T00:00:00Z</vt:filetime>
  </property>
</Properties>
</file>