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DA9" w:rsidRDefault="00984431">
      <w:pPr>
        <w:widowControl/>
        <w:shd w:val="clear" w:color="auto" w:fill="FFFFFF"/>
        <w:spacing w:line="500" w:lineRule="exact"/>
        <w:jc w:val="center"/>
        <w:rPr>
          <w:rFonts w:ascii="黑体" w:eastAsia="黑体" w:hAnsi="黑体" w:cs="宋体"/>
          <w:bCs/>
          <w:color w:val="333333"/>
          <w:kern w:val="0"/>
          <w:sz w:val="30"/>
          <w:szCs w:val="30"/>
        </w:rPr>
      </w:pPr>
      <w:r>
        <w:rPr>
          <w:rFonts w:ascii="黑体" w:eastAsia="黑体" w:hAnsi="黑体" w:cs="宋体" w:hint="eastAsia"/>
          <w:color w:val="333333"/>
          <w:kern w:val="0"/>
          <w:sz w:val="30"/>
          <w:szCs w:val="30"/>
        </w:rPr>
        <w:t>申万菱信基金管理有限公司</w:t>
      </w:r>
    </w:p>
    <w:p w:rsidR="005D0DA9" w:rsidRDefault="00984431">
      <w:pPr>
        <w:widowControl/>
        <w:shd w:val="clear" w:color="auto" w:fill="FFFFFF"/>
        <w:spacing w:line="500" w:lineRule="exact"/>
        <w:jc w:val="center"/>
        <w:rPr>
          <w:rFonts w:ascii="黑体" w:eastAsia="黑体" w:hAnsi="黑体" w:cs="宋体"/>
          <w:bCs/>
          <w:color w:val="333333"/>
          <w:kern w:val="0"/>
          <w:sz w:val="30"/>
          <w:szCs w:val="30"/>
        </w:rPr>
      </w:pPr>
      <w:r>
        <w:rPr>
          <w:rFonts w:ascii="黑体" w:eastAsia="黑体" w:hAnsi="黑体" w:cs="宋体" w:hint="eastAsia"/>
          <w:bCs/>
          <w:color w:val="333333"/>
          <w:kern w:val="0"/>
          <w:sz w:val="30"/>
          <w:szCs w:val="30"/>
        </w:rPr>
        <w:t>关于旗下部分基金开通同一基金不同份额类别相互转换业务的公告</w:t>
      </w:r>
    </w:p>
    <w:p w:rsidR="005D0DA9" w:rsidRDefault="005D0DA9">
      <w:pPr>
        <w:widowControl/>
        <w:shd w:val="clear" w:color="auto" w:fill="FFFFFF"/>
        <w:spacing w:line="500" w:lineRule="exact"/>
        <w:ind w:firstLineChars="200" w:firstLine="480"/>
        <w:jc w:val="left"/>
        <w:rPr>
          <w:rFonts w:ascii="仿宋" w:eastAsia="仿宋" w:hAnsi="仿宋" w:cs="仿宋"/>
          <w:color w:val="333333"/>
          <w:kern w:val="0"/>
          <w:sz w:val="24"/>
          <w:szCs w:val="28"/>
        </w:rPr>
      </w:pPr>
    </w:p>
    <w:p w:rsidR="005D0DA9" w:rsidRDefault="00984431">
      <w:pPr>
        <w:widowControl/>
        <w:shd w:val="clear" w:color="auto" w:fill="FFFFFF"/>
        <w:spacing w:line="500" w:lineRule="exact"/>
        <w:ind w:firstLineChars="200" w:firstLine="480"/>
        <w:jc w:val="left"/>
        <w:rPr>
          <w:rFonts w:ascii="仿宋" w:eastAsia="仿宋" w:hAnsi="仿宋" w:cs="宋体"/>
          <w:color w:val="333333"/>
          <w:kern w:val="0"/>
          <w:sz w:val="24"/>
          <w:szCs w:val="28"/>
        </w:rPr>
      </w:pPr>
      <w:r>
        <w:rPr>
          <w:rFonts w:ascii="仿宋" w:eastAsia="仿宋" w:hAnsi="仿宋" w:cs="仿宋" w:hint="eastAsia"/>
          <w:color w:val="333333"/>
          <w:kern w:val="0"/>
          <w:sz w:val="24"/>
          <w:szCs w:val="28"/>
        </w:rPr>
        <w:t>为更好地满足广大投资者的理财需求，申万菱信基金管理有限公司（以下简称“本公司”）决定自202</w:t>
      </w:r>
      <w:r>
        <w:rPr>
          <w:rFonts w:ascii="仿宋" w:eastAsia="仿宋" w:hAnsi="仿宋" w:cs="仿宋"/>
          <w:color w:val="333333"/>
          <w:kern w:val="0"/>
          <w:sz w:val="24"/>
          <w:szCs w:val="28"/>
        </w:rPr>
        <w:t>6</w:t>
      </w:r>
      <w:r>
        <w:rPr>
          <w:rFonts w:ascii="仿宋" w:eastAsia="仿宋" w:hAnsi="仿宋" w:cs="仿宋" w:hint="eastAsia"/>
          <w:color w:val="333333"/>
          <w:kern w:val="0"/>
          <w:sz w:val="24"/>
          <w:szCs w:val="28"/>
        </w:rPr>
        <w:t>年</w:t>
      </w:r>
      <w:r w:rsidR="00E5311B">
        <w:rPr>
          <w:rFonts w:ascii="仿宋" w:eastAsia="仿宋" w:hAnsi="仿宋" w:cs="仿宋"/>
          <w:color w:val="333333"/>
          <w:kern w:val="0"/>
          <w:sz w:val="24"/>
          <w:szCs w:val="28"/>
        </w:rPr>
        <w:t>3</w:t>
      </w:r>
      <w:r>
        <w:rPr>
          <w:rFonts w:ascii="仿宋" w:eastAsia="仿宋" w:hAnsi="仿宋" w:cs="仿宋" w:hint="eastAsia"/>
          <w:color w:val="333333"/>
          <w:kern w:val="0"/>
          <w:sz w:val="24"/>
          <w:szCs w:val="28"/>
        </w:rPr>
        <w:t>月</w:t>
      </w:r>
      <w:r w:rsidR="00E5311B">
        <w:rPr>
          <w:rFonts w:ascii="仿宋" w:eastAsia="仿宋" w:hAnsi="仿宋" w:cs="仿宋" w:hint="eastAsia"/>
          <w:color w:val="333333"/>
          <w:kern w:val="0"/>
          <w:sz w:val="24"/>
          <w:szCs w:val="28"/>
        </w:rPr>
        <w:t>2</w:t>
      </w:r>
      <w:r w:rsidR="00E5311B">
        <w:rPr>
          <w:rFonts w:ascii="仿宋" w:eastAsia="仿宋" w:hAnsi="仿宋" w:cs="仿宋"/>
          <w:color w:val="333333"/>
          <w:kern w:val="0"/>
          <w:sz w:val="24"/>
          <w:szCs w:val="28"/>
        </w:rPr>
        <w:t>0</w:t>
      </w:r>
      <w:r>
        <w:rPr>
          <w:rFonts w:ascii="仿宋" w:eastAsia="仿宋" w:hAnsi="仿宋" w:cs="仿宋" w:hint="eastAsia"/>
          <w:color w:val="333333"/>
          <w:kern w:val="0"/>
          <w:sz w:val="24"/>
          <w:szCs w:val="28"/>
        </w:rPr>
        <w:t>日起，</w:t>
      </w:r>
      <w:r>
        <w:rPr>
          <w:rFonts w:ascii="仿宋" w:eastAsia="仿宋" w:hAnsi="仿宋" w:cs="宋体" w:hint="eastAsia"/>
          <w:color w:val="333333"/>
          <w:kern w:val="0"/>
          <w:sz w:val="24"/>
          <w:szCs w:val="28"/>
        </w:rPr>
        <w:t>对本公司旗下部分基金开通同一基金不同类别基金份额之间的转换业务。现将相关事项公告如下：</w:t>
      </w:r>
    </w:p>
    <w:p w:rsidR="005D0DA9" w:rsidRDefault="00984431">
      <w:pPr>
        <w:pStyle w:val="a7"/>
        <w:widowControl/>
        <w:numPr>
          <w:ilvl w:val="0"/>
          <w:numId w:val="1"/>
        </w:numPr>
        <w:shd w:val="clear" w:color="auto" w:fill="FFFFFF"/>
        <w:spacing w:line="500" w:lineRule="exact"/>
        <w:ind w:firstLineChars="0"/>
        <w:jc w:val="left"/>
        <w:rPr>
          <w:rFonts w:ascii="仿宋" w:eastAsia="仿宋" w:hAnsi="仿宋" w:cs="宋体"/>
          <w:b/>
          <w:color w:val="333333"/>
          <w:kern w:val="0"/>
          <w:sz w:val="24"/>
          <w:szCs w:val="28"/>
        </w:rPr>
      </w:pPr>
      <w:r>
        <w:rPr>
          <w:rFonts w:ascii="仿宋" w:eastAsia="仿宋" w:hAnsi="仿宋" w:cs="宋体" w:hint="eastAsia"/>
          <w:b/>
          <w:color w:val="333333"/>
          <w:kern w:val="0"/>
          <w:sz w:val="24"/>
          <w:szCs w:val="28"/>
        </w:rPr>
        <w:t>适用基金</w:t>
      </w:r>
    </w:p>
    <w:tbl>
      <w:tblPr>
        <w:tblStyle w:val="a6"/>
        <w:tblW w:w="4998" w:type="pct"/>
        <w:tblLook w:val="04A0"/>
      </w:tblPr>
      <w:tblGrid>
        <w:gridCol w:w="4643"/>
        <w:gridCol w:w="1975"/>
        <w:gridCol w:w="1901"/>
      </w:tblGrid>
      <w:tr w:rsidR="005D0DA9" w:rsidTr="00E5311B">
        <w:tc>
          <w:tcPr>
            <w:tcW w:w="2725"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基金名称</w:t>
            </w:r>
          </w:p>
        </w:tc>
        <w:tc>
          <w:tcPr>
            <w:tcW w:w="1159"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A类份额代码</w:t>
            </w:r>
          </w:p>
        </w:tc>
        <w:tc>
          <w:tcPr>
            <w:tcW w:w="1116" w:type="pct"/>
          </w:tcPr>
          <w:p w:rsidR="005D0DA9" w:rsidRDefault="00984431">
            <w:pPr>
              <w:pStyle w:val="a7"/>
              <w:widowControl/>
              <w:spacing w:line="500" w:lineRule="exact"/>
              <w:ind w:firstLineChars="0" w:firstLine="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C类份额代码</w:t>
            </w:r>
          </w:p>
        </w:tc>
      </w:tr>
      <w:tr w:rsidR="005D0DA9" w:rsidTr="00E5311B">
        <w:tc>
          <w:tcPr>
            <w:tcW w:w="2725" w:type="pct"/>
          </w:tcPr>
          <w:p w:rsidR="005D0DA9" w:rsidRDefault="00E5311B">
            <w:pPr>
              <w:pStyle w:val="a7"/>
              <w:widowControl/>
              <w:spacing w:line="500" w:lineRule="exact"/>
              <w:ind w:firstLineChars="0" w:firstLine="0"/>
              <w:jc w:val="left"/>
              <w:rPr>
                <w:rFonts w:ascii="仿宋" w:eastAsia="仿宋" w:hAnsi="仿宋" w:cs="仿宋"/>
                <w:color w:val="333333"/>
                <w:kern w:val="0"/>
                <w:sz w:val="24"/>
                <w:szCs w:val="28"/>
              </w:rPr>
            </w:pPr>
            <w:r w:rsidRPr="00E5311B">
              <w:rPr>
                <w:rFonts w:ascii="仿宋" w:eastAsia="仿宋" w:hAnsi="仿宋" w:cs="仿宋" w:hint="eastAsia"/>
                <w:color w:val="333333"/>
                <w:kern w:val="0"/>
                <w:sz w:val="24"/>
                <w:szCs w:val="28"/>
              </w:rPr>
              <w:t>申万菱信中证</w:t>
            </w:r>
            <w:r w:rsidRPr="00E5311B">
              <w:rPr>
                <w:rFonts w:ascii="仿宋" w:eastAsia="仿宋" w:hAnsi="仿宋" w:cs="仿宋"/>
                <w:color w:val="333333"/>
                <w:kern w:val="0"/>
                <w:sz w:val="24"/>
                <w:szCs w:val="28"/>
              </w:rPr>
              <w:t>500指数优选增强型证券投资基金</w:t>
            </w:r>
          </w:p>
        </w:tc>
        <w:tc>
          <w:tcPr>
            <w:tcW w:w="1159" w:type="pct"/>
          </w:tcPr>
          <w:p w:rsidR="005D0DA9" w:rsidRDefault="00E5311B">
            <w:pPr>
              <w:pStyle w:val="a7"/>
              <w:widowControl/>
              <w:spacing w:line="500" w:lineRule="exact"/>
              <w:ind w:firstLineChars="0" w:firstLine="0"/>
              <w:jc w:val="left"/>
              <w:rPr>
                <w:rFonts w:ascii="仿宋" w:eastAsia="仿宋" w:hAnsi="仿宋" w:cs="仿宋"/>
                <w:color w:val="333333"/>
                <w:kern w:val="0"/>
                <w:sz w:val="24"/>
                <w:szCs w:val="28"/>
              </w:rPr>
            </w:pPr>
            <w:r w:rsidRPr="00E5311B">
              <w:rPr>
                <w:rFonts w:ascii="仿宋" w:eastAsia="仿宋" w:hAnsi="仿宋" w:cs="仿宋"/>
                <w:color w:val="333333"/>
                <w:kern w:val="0"/>
                <w:sz w:val="24"/>
                <w:szCs w:val="28"/>
              </w:rPr>
              <w:t>003986</w:t>
            </w:r>
          </w:p>
        </w:tc>
        <w:tc>
          <w:tcPr>
            <w:tcW w:w="1116" w:type="pct"/>
          </w:tcPr>
          <w:p w:rsidR="005D0DA9" w:rsidRDefault="00E5311B">
            <w:pPr>
              <w:pStyle w:val="a7"/>
              <w:widowControl/>
              <w:spacing w:line="500" w:lineRule="exact"/>
              <w:ind w:firstLineChars="0" w:firstLine="0"/>
              <w:jc w:val="left"/>
              <w:rPr>
                <w:rFonts w:ascii="仿宋" w:eastAsia="仿宋" w:hAnsi="仿宋" w:cs="仿宋"/>
                <w:color w:val="333333"/>
                <w:kern w:val="0"/>
                <w:sz w:val="24"/>
                <w:szCs w:val="28"/>
              </w:rPr>
            </w:pPr>
            <w:r w:rsidRPr="00E5311B">
              <w:rPr>
                <w:rFonts w:ascii="仿宋" w:eastAsia="仿宋" w:hAnsi="仿宋" w:cs="仿宋"/>
                <w:color w:val="333333"/>
                <w:kern w:val="0"/>
                <w:sz w:val="24"/>
                <w:szCs w:val="28"/>
              </w:rPr>
              <w:t>007794</w:t>
            </w:r>
          </w:p>
        </w:tc>
      </w:tr>
      <w:tr w:rsidR="005D0DA9" w:rsidTr="00E5311B">
        <w:tc>
          <w:tcPr>
            <w:tcW w:w="2725" w:type="pct"/>
          </w:tcPr>
          <w:p w:rsidR="005D0DA9" w:rsidRDefault="00E5311B">
            <w:pPr>
              <w:pStyle w:val="a7"/>
              <w:widowControl/>
              <w:spacing w:line="500" w:lineRule="exact"/>
              <w:ind w:firstLineChars="0" w:firstLine="0"/>
              <w:jc w:val="left"/>
              <w:rPr>
                <w:rFonts w:ascii="仿宋" w:eastAsia="仿宋" w:hAnsi="仿宋" w:cs="仿宋"/>
                <w:color w:val="333333"/>
                <w:kern w:val="0"/>
                <w:sz w:val="24"/>
                <w:szCs w:val="28"/>
              </w:rPr>
            </w:pPr>
            <w:r w:rsidRPr="00E5311B">
              <w:rPr>
                <w:rFonts w:ascii="仿宋" w:eastAsia="仿宋" w:hAnsi="仿宋" w:cs="仿宋" w:hint="eastAsia"/>
                <w:color w:val="333333"/>
                <w:kern w:val="0"/>
                <w:sz w:val="24"/>
                <w:szCs w:val="28"/>
              </w:rPr>
              <w:t>申万菱信乐享混合型证券投资基金</w:t>
            </w:r>
          </w:p>
        </w:tc>
        <w:tc>
          <w:tcPr>
            <w:tcW w:w="1159" w:type="pct"/>
          </w:tcPr>
          <w:p w:rsidR="005D0DA9" w:rsidRDefault="00E5311B">
            <w:pPr>
              <w:pStyle w:val="a7"/>
              <w:widowControl/>
              <w:spacing w:line="500" w:lineRule="exact"/>
              <w:ind w:firstLineChars="0" w:firstLine="0"/>
              <w:jc w:val="left"/>
              <w:rPr>
                <w:rFonts w:ascii="仿宋" w:eastAsia="仿宋" w:hAnsi="仿宋" w:cs="仿宋"/>
                <w:color w:val="333333"/>
                <w:kern w:val="0"/>
                <w:sz w:val="24"/>
                <w:szCs w:val="28"/>
              </w:rPr>
            </w:pPr>
            <w:r w:rsidRPr="00E5311B">
              <w:rPr>
                <w:rFonts w:ascii="仿宋" w:eastAsia="仿宋" w:hAnsi="仿宋" w:cs="仿宋"/>
                <w:color w:val="333333"/>
                <w:kern w:val="0"/>
                <w:sz w:val="24"/>
                <w:szCs w:val="28"/>
              </w:rPr>
              <w:t>011488</w:t>
            </w:r>
          </w:p>
        </w:tc>
        <w:tc>
          <w:tcPr>
            <w:tcW w:w="1116" w:type="pct"/>
          </w:tcPr>
          <w:p w:rsidR="005D0DA9" w:rsidRDefault="00E5311B">
            <w:pPr>
              <w:pStyle w:val="a7"/>
              <w:widowControl/>
              <w:spacing w:line="500" w:lineRule="exact"/>
              <w:ind w:firstLineChars="0" w:firstLine="0"/>
              <w:jc w:val="left"/>
              <w:rPr>
                <w:rFonts w:ascii="仿宋" w:eastAsia="仿宋" w:hAnsi="仿宋" w:cs="仿宋"/>
                <w:color w:val="333333"/>
                <w:kern w:val="0"/>
                <w:sz w:val="24"/>
                <w:szCs w:val="28"/>
              </w:rPr>
            </w:pPr>
            <w:r w:rsidRPr="00E5311B">
              <w:rPr>
                <w:rFonts w:ascii="仿宋" w:eastAsia="仿宋" w:hAnsi="仿宋" w:cs="仿宋"/>
                <w:color w:val="333333"/>
                <w:kern w:val="0"/>
                <w:sz w:val="24"/>
                <w:szCs w:val="28"/>
              </w:rPr>
              <w:t>022740</w:t>
            </w:r>
          </w:p>
        </w:tc>
      </w:tr>
      <w:tr w:rsidR="005D0DA9" w:rsidTr="00E5311B">
        <w:tc>
          <w:tcPr>
            <w:tcW w:w="2725" w:type="pct"/>
          </w:tcPr>
          <w:p w:rsidR="005D0DA9" w:rsidRDefault="00E5311B">
            <w:pPr>
              <w:pStyle w:val="a7"/>
              <w:widowControl/>
              <w:spacing w:line="500" w:lineRule="exact"/>
              <w:ind w:firstLineChars="0" w:firstLine="0"/>
              <w:jc w:val="left"/>
              <w:rPr>
                <w:rFonts w:ascii="仿宋" w:eastAsia="仿宋" w:hAnsi="仿宋" w:cs="仿宋"/>
                <w:color w:val="333333"/>
                <w:kern w:val="0"/>
                <w:sz w:val="24"/>
                <w:szCs w:val="28"/>
              </w:rPr>
            </w:pPr>
            <w:r w:rsidRPr="00E5311B">
              <w:rPr>
                <w:rFonts w:ascii="仿宋" w:eastAsia="仿宋" w:hAnsi="仿宋" w:cs="仿宋" w:hint="eastAsia"/>
                <w:color w:val="333333"/>
                <w:kern w:val="0"/>
                <w:sz w:val="24"/>
                <w:szCs w:val="28"/>
              </w:rPr>
              <w:t>申万菱信新动力混合型证券投资基金</w:t>
            </w:r>
          </w:p>
        </w:tc>
        <w:tc>
          <w:tcPr>
            <w:tcW w:w="1159" w:type="pct"/>
          </w:tcPr>
          <w:p w:rsidR="005D0DA9" w:rsidRDefault="00E5311B">
            <w:pPr>
              <w:pStyle w:val="a7"/>
              <w:widowControl/>
              <w:spacing w:line="500" w:lineRule="exact"/>
              <w:ind w:firstLineChars="0" w:firstLine="0"/>
              <w:jc w:val="left"/>
              <w:rPr>
                <w:rFonts w:ascii="仿宋" w:eastAsia="仿宋" w:hAnsi="仿宋" w:cs="仿宋"/>
                <w:color w:val="333333"/>
                <w:kern w:val="0"/>
                <w:sz w:val="24"/>
                <w:szCs w:val="28"/>
              </w:rPr>
            </w:pPr>
            <w:r w:rsidRPr="00E5311B">
              <w:rPr>
                <w:rFonts w:ascii="仿宋" w:eastAsia="仿宋" w:hAnsi="仿宋" w:cs="仿宋"/>
                <w:color w:val="333333"/>
                <w:kern w:val="0"/>
                <w:sz w:val="24"/>
                <w:szCs w:val="28"/>
              </w:rPr>
              <w:t>310328</w:t>
            </w:r>
          </w:p>
        </w:tc>
        <w:tc>
          <w:tcPr>
            <w:tcW w:w="1116" w:type="pct"/>
          </w:tcPr>
          <w:p w:rsidR="005D0DA9" w:rsidRDefault="00E5311B">
            <w:pPr>
              <w:pStyle w:val="a7"/>
              <w:widowControl/>
              <w:spacing w:line="500" w:lineRule="exact"/>
              <w:ind w:firstLineChars="0" w:firstLine="0"/>
              <w:jc w:val="left"/>
              <w:rPr>
                <w:rFonts w:ascii="仿宋" w:eastAsia="仿宋" w:hAnsi="仿宋" w:cs="仿宋"/>
                <w:color w:val="333333"/>
                <w:kern w:val="0"/>
                <w:sz w:val="24"/>
                <w:szCs w:val="28"/>
              </w:rPr>
            </w:pPr>
            <w:r w:rsidRPr="00E5311B">
              <w:rPr>
                <w:rFonts w:ascii="仿宋" w:eastAsia="仿宋" w:hAnsi="仿宋" w:cs="仿宋"/>
                <w:color w:val="333333"/>
                <w:kern w:val="0"/>
                <w:sz w:val="24"/>
                <w:szCs w:val="28"/>
              </w:rPr>
              <w:t>022734</w:t>
            </w:r>
          </w:p>
        </w:tc>
      </w:tr>
    </w:tbl>
    <w:p w:rsidR="005D0DA9" w:rsidRPr="00E5311B" w:rsidRDefault="00E5311B">
      <w:pPr>
        <w:pStyle w:val="a7"/>
        <w:widowControl/>
        <w:shd w:val="clear" w:color="auto" w:fill="FFFFFF"/>
        <w:spacing w:line="500" w:lineRule="exact"/>
        <w:ind w:firstLineChars="0" w:firstLine="0"/>
        <w:jc w:val="left"/>
        <w:rPr>
          <w:rFonts w:ascii="仿宋" w:eastAsia="仿宋" w:hAnsi="仿宋" w:cs="仿宋"/>
          <w:color w:val="333333"/>
          <w:kern w:val="0"/>
          <w:szCs w:val="21"/>
        </w:rPr>
      </w:pPr>
      <w:r w:rsidRPr="00E5311B">
        <w:rPr>
          <w:rFonts w:ascii="仿宋" w:eastAsia="仿宋" w:hAnsi="仿宋" w:cs="仿宋" w:hint="eastAsia"/>
          <w:color w:val="333333"/>
          <w:kern w:val="0"/>
          <w:szCs w:val="21"/>
        </w:rPr>
        <w:t>注：申万菱信中证</w:t>
      </w:r>
      <w:r w:rsidRPr="00E5311B">
        <w:rPr>
          <w:rFonts w:ascii="仿宋" w:eastAsia="仿宋" w:hAnsi="仿宋" w:cs="仿宋"/>
          <w:color w:val="333333"/>
          <w:kern w:val="0"/>
          <w:szCs w:val="21"/>
        </w:rPr>
        <w:t>500指数优选增强型证券投资基金Y</w:t>
      </w:r>
      <w:r w:rsidRPr="00E5311B">
        <w:rPr>
          <w:rFonts w:ascii="仿宋" w:eastAsia="仿宋" w:hAnsi="仿宋" w:cs="仿宋" w:hint="eastAsia"/>
          <w:color w:val="333333"/>
          <w:kern w:val="0"/>
          <w:szCs w:val="21"/>
        </w:rPr>
        <w:t>份额暂不开通与本基金不同份额之间的转换业务。</w:t>
      </w:r>
    </w:p>
    <w:p w:rsidR="005D0DA9" w:rsidRDefault="00984431" w:rsidP="001A71E0">
      <w:pPr>
        <w:widowControl/>
        <w:shd w:val="clear" w:color="auto" w:fill="FFFFFF"/>
        <w:spacing w:line="500" w:lineRule="exact"/>
        <w:ind w:firstLineChars="200" w:firstLine="480"/>
        <w:jc w:val="left"/>
        <w:outlineLvl w:val="4"/>
        <w:rPr>
          <w:rFonts w:ascii="仿宋" w:eastAsia="仿宋" w:hAnsi="仿宋" w:cs="仿宋"/>
          <w:b/>
          <w:bCs/>
          <w:color w:val="333333"/>
          <w:kern w:val="0"/>
          <w:sz w:val="24"/>
          <w:szCs w:val="28"/>
        </w:rPr>
      </w:pPr>
      <w:r>
        <w:rPr>
          <w:rFonts w:ascii="仿宋" w:eastAsia="仿宋" w:hAnsi="仿宋" w:cs="仿宋" w:hint="eastAsia"/>
          <w:b/>
          <w:bCs/>
          <w:color w:val="333333"/>
          <w:kern w:val="0"/>
          <w:sz w:val="24"/>
          <w:szCs w:val="28"/>
        </w:rPr>
        <w:t>二、业务规则</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1、 同一基金不同类别基金份额间的转换业务（以下简称“本业务”）是指：若投资者持有的某只基金产品具有多种类别基金份额（各类基金份额分设不同的基金代码），投资者可以将其持有的某一类基金份额转换成同只基金的其他类基金份额。如某只基金产品具有A类份额、C类份额和E类份额，投资者可以将其持有的A类份额转换成同只基金的C类份额或E类份额，或将其持有的C类份额转换成同只基金的A类份额或E类份额，或将其持有的E类份额转换成同只基金的A类份额或C类份额。</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 xml:space="preserve"> 2、 同一基金不同类别基金份额间转换转出的最低申请基金份额适用该基金最低赎回份额的规定。若投资者转换转出的基金份额小于最低申请基金份额，必须转换转出全部该类基金份额。</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lastRenderedPageBreak/>
        <w:t>3、 同一基金不同类别基金份额间相互转换，原持有期限不延续计算。即转入份额在赎回或转出时，按持有时段适用的赎回费档次计算赎回费的，该持有时段为该部分份额转入确认日起至该部分份额赎回或转出确认日止的持有期限。若转换申请当日同时有赎回申请，则遵循先赎回后转换的处理原则。</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4、 不同份额类别转换时，以申请当日基金份额净值为基础计算。投资者采用“份额转换、未知价”的原则提交申请，不同份额类别转换遵循“先进先出”的业务规则。</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5、 投资者办理本业务时，转出份额必须处于可赎回状态，转入份额必须处于可申购状态。</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6、 本业务与公司已经开通的不同基金之间相互转换业务不产生冲突。</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7、本公司旗下管理的其他开放式基金将根据具体情况确定是否适用不同份额类别之间的转换业务，请投资者以相关公告为准。</w:t>
      </w:r>
    </w:p>
    <w:p w:rsidR="005D0DA9" w:rsidRDefault="00984431" w:rsidP="001A71E0">
      <w:pPr>
        <w:widowControl/>
        <w:shd w:val="clear" w:color="auto" w:fill="FFFFFF"/>
        <w:spacing w:line="500" w:lineRule="exact"/>
        <w:ind w:firstLineChars="200" w:firstLine="480"/>
        <w:jc w:val="left"/>
        <w:outlineLvl w:val="4"/>
        <w:rPr>
          <w:rFonts w:ascii="仿宋" w:eastAsia="仿宋" w:hAnsi="仿宋" w:cs="仿宋"/>
          <w:b/>
          <w:bCs/>
          <w:color w:val="333333"/>
          <w:kern w:val="0"/>
          <w:sz w:val="24"/>
          <w:szCs w:val="28"/>
        </w:rPr>
      </w:pPr>
      <w:r>
        <w:rPr>
          <w:rFonts w:ascii="仿宋" w:eastAsia="仿宋" w:hAnsi="仿宋" w:cs="仿宋" w:hint="eastAsia"/>
          <w:b/>
          <w:bCs/>
          <w:color w:val="333333"/>
          <w:kern w:val="0"/>
          <w:sz w:val="24"/>
          <w:szCs w:val="28"/>
        </w:rPr>
        <w:t>二、同一基金不同类别基金份额间相互转换业务的费率计算</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同一基金不同类别基金份额转换费用由三部分组成：转出基金赎回费、转换费和申购补差费。其中，转出基金赎回费根据不同类别基金份额相应的赎回费率进行计算和收取；转换费根据本基金管理人设定的转换费率进行计算和收取，目前，本基金管理人将转换费率全部设为0；申购补差费为转入基金申购费与转出基金申购费之间的差额，申购费率按申购金额的不同分段收取，申购金额按基金份额申请转换时的转入金额计算，申购补差费按转入份额类别和转出类别基金各自对应的申购费率分别计算，由申购费率高的基金份额向申购费率低的基金份额进行转换时不收取申购补差费。具体申购费率标准请见各基金的招募说明书等相关公告。</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基金转换的计算公式：</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转出金额＝转出份额×转出基金当日之基金份额净值</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转出基金赎回费＝转出金额×转出基金赎回费率</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转出基金转换费＝转出金额×转出基金转换费率</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转入金额＝转出金额－转出基金赎回费－转出基金转换费</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基金转换申购补差费＝转入基金的申购费－转出基金的申购费</w:t>
      </w:r>
    </w:p>
    <w:p w:rsidR="005D0DA9" w:rsidRDefault="00984431">
      <w:pPr>
        <w:pStyle w:val="a5"/>
        <w:shd w:val="clear" w:color="auto" w:fill="FFFFFF"/>
        <w:spacing w:before="0" w:beforeAutospacing="0" w:after="0" w:afterAutospacing="0" w:line="500" w:lineRule="exact"/>
        <w:ind w:firstLineChars="200" w:firstLine="480"/>
        <w:rPr>
          <w:rFonts w:ascii="仿宋" w:eastAsia="仿宋" w:hAnsi="仿宋" w:cs="仿宋"/>
          <w:color w:val="333333"/>
          <w:szCs w:val="28"/>
        </w:rPr>
      </w:pPr>
      <w:r>
        <w:rPr>
          <w:rFonts w:ascii="仿宋" w:eastAsia="仿宋" w:hAnsi="仿宋" w:cs="仿宋" w:hint="eastAsia"/>
          <w:color w:val="333333"/>
          <w:szCs w:val="28"/>
        </w:rPr>
        <w:t>其中：</w:t>
      </w:r>
    </w:p>
    <w:p w:rsidR="005D0DA9" w:rsidRDefault="00984431">
      <w:pPr>
        <w:pStyle w:val="a5"/>
        <w:shd w:val="clear" w:color="auto" w:fill="FFFFFF"/>
        <w:spacing w:before="0" w:beforeAutospacing="0" w:after="0" w:afterAutospacing="0" w:line="500" w:lineRule="exact"/>
        <w:ind w:firstLineChars="200" w:firstLine="480"/>
        <w:rPr>
          <w:rFonts w:ascii="仿宋" w:eastAsia="仿宋" w:hAnsi="仿宋" w:cs="仿宋"/>
          <w:color w:val="333333"/>
          <w:szCs w:val="28"/>
        </w:rPr>
      </w:pPr>
      <w:r>
        <w:rPr>
          <w:rFonts w:ascii="仿宋" w:eastAsia="仿宋" w:hAnsi="仿宋" w:cs="仿宋" w:hint="eastAsia"/>
          <w:color w:val="333333"/>
          <w:szCs w:val="28"/>
        </w:rPr>
        <w:t>1、转入基金的申购费＝[转入金额－转入金额÷（1＋转入基金的申购费率）]，或，转入基金固定申购费金额</w:t>
      </w:r>
    </w:p>
    <w:p w:rsidR="005D0DA9" w:rsidRDefault="00984431">
      <w:pPr>
        <w:pStyle w:val="a5"/>
        <w:shd w:val="clear" w:color="auto" w:fill="FFFFFF"/>
        <w:spacing w:before="0" w:beforeAutospacing="0" w:after="0" w:afterAutospacing="0" w:line="500" w:lineRule="exact"/>
        <w:ind w:firstLineChars="200" w:firstLine="480"/>
        <w:rPr>
          <w:rFonts w:ascii="仿宋" w:eastAsia="仿宋" w:hAnsi="仿宋" w:cs="仿宋"/>
          <w:color w:val="333333"/>
          <w:szCs w:val="28"/>
        </w:rPr>
      </w:pPr>
      <w:r>
        <w:rPr>
          <w:rFonts w:ascii="仿宋" w:eastAsia="仿宋" w:hAnsi="仿宋" w:cs="仿宋" w:hint="eastAsia"/>
          <w:color w:val="333333"/>
          <w:szCs w:val="28"/>
        </w:rPr>
        <w:t>2、转出基金的申购费＝[转入金额－转入金额÷（1＋转出基金的申购费率）] ，或，转出基金固定申购费金额</w:t>
      </w:r>
    </w:p>
    <w:p w:rsidR="005D0DA9" w:rsidRDefault="00984431">
      <w:pPr>
        <w:pStyle w:val="a5"/>
        <w:shd w:val="clear" w:color="auto" w:fill="FFFFFF"/>
        <w:spacing w:before="0" w:beforeAutospacing="0" w:after="0" w:afterAutospacing="0" w:line="500" w:lineRule="exact"/>
        <w:ind w:firstLineChars="200" w:firstLine="480"/>
        <w:rPr>
          <w:rFonts w:ascii="仿宋" w:eastAsia="仿宋" w:hAnsi="仿宋" w:cs="仿宋"/>
          <w:color w:val="333333"/>
          <w:szCs w:val="28"/>
        </w:rPr>
      </w:pPr>
      <w:r>
        <w:rPr>
          <w:rFonts w:ascii="仿宋" w:eastAsia="仿宋" w:hAnsi="仿宋" w:cs="仿宋" w:hint="eastAsia"/>
          <w:color w:val="333333"/>
          <w:szCs w:val="28"/>
        </w:rPr>
        <w:t>3、如计算所得基金转换申购补差费用小于0，则基金转换申购补差费用为0</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净转入金额＝转入金额-基金转换申购补差费</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转入份额＝净转入金额÷转入基金当日之基金份额净值</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转出金额、转出基金赎回费与转换费的计算保留小数点后两位，第三位四舍五入，由此产生的误差在转出基金资产中列支；净转入金额、转入份额的计算保留小数点后两位，第三位四舍五入，由此产生的误差在转入基金资产中列支。</w:t>
      </w:r>
    </w:p>
    <w:p w:rsidR="005D0DA9" w:rsidRDefault="00984431" w:rsidP="001A71E0">
      <w:pPr>
        <w:widowControl/>
        <w:shd w:val="clear" w:color="auto" w:fill="FFFFFF"/>
        <w:spacing w:line="500" w:lineRule="exact"/>
        <w:ind w:firstLineChars="200" w:firstLine="480"/>
        <w:jc w:val="left"/>
        <w:outlineLvl w:val="4"/>
        <w:rPr>
          <w:rFonts w:ascii="仿宋" w:eastAsia="仿宋" w:hAnsi="仿宋" w:cs="仿宋"/>
          <w:b/>
          <w:bCs/>
          <w:color w:val="333333"/>
          <w:kern w:val="0"/>
          <w:sz w:val="24"/>
          <w:szCs w:val="28"/>
        </w:rPr>
      </w:pPr>
      <w:r>
        <w:rPr>
          <w:rFonts w:ascii="仿宋" w:eastAsia="仿宋" w:hAnsi="仿宋" w:cs="仿宋" w:hint="eastAsia"/>
          <w:b/>
          <w:bCs/>
          <w:color w:val="333333"/>
          <w:kern w:val="0"/>
          <w:sz w:val="24"/>
          <w:szCs w:val="28"/>
        </w:rPr>
        <w:t>三、业务办理时间</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本业务的办理时间为上海证券交易所和深圳证券交易所交易日（本公司公告暂停申购或转换时除外）。投资者可以在上述基金的开放期内，到上述基金的销售机构咨询和办理本业务。</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投资者可以登录申万菱信基金管理有限公司网站（www.swsmu.com）</w:t>
      </w:r>
      <w:hyperlink r:id="rId8" w:history="1">
        <w:r>
          <w:rPr>
            <w:rFonts w:ascii="仿宋" w:eastAsia="仿宋" w:hAnsi="仿宋" w:cs="仿宋" w:hint="eastAsia"/>
            <w:color w:val="333333"/>
            <w:sz w:val="24"/>
            <w:szCs w:val="28"/>
          </w:rPr>
          <w:t>或拨打公司客户服务热线（400-880-8588或021-962299）</w:t>
        </w:r>
      </w:hyperlink>
      <w:r>
        <w:rPr>
          <w:rFonts w:ascii="仿宋" w:eastAsia="仿宋" w:hAnsi="仿宋" w:cs="仿宋" w:hint="eastAsia"/>
          <w:color w:val="333333"/>
          <w:kern w:val="0"/>
          <w:sz w:val="24"/>
          <w:szCs w:val="28"/>
        </w:rPr>
        <w:t>进行相关咨询。</w:t>
      </w:r>
    </w:p>
    <w:p w:rsidR="005D0DA9" w:rsidRDefault="005D0DA9">
      <w:pPr>
        <w:widowControl/>
        <w:shd w:val="clear" w:color="auto" w:fill="FFFFFF"/>
        <w:spacing w:line="500" w:lineRule="exact"/>
        <w:ind w:firstLineChars="200" w:firstLine="480"/>
        <w:jc w:val="left"/>
        <w:rPr>
          <w:rFonts w:ascii="仿宋" w:eastAsia="仿宋" w:hAnsi="仿宋" w:cs="仿宋"/>
          <w:color w:val="333333"/>
          <w:kern w:val="0"/>
          <w:sz w:val="24"/>
          <w:szCs w:val="28"/>
        </w:rPr>
      </w:pP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风险提示：本公司承诺以诚实信用、勤勉尽责的原则管理和运用基金资产，但不保证基金一定盈利，也不保证最低收益。敬请投资者注意投资风险。投资者投资于上述基金前应认真阅读基金的基金合同、更新的招募说明书及相关公告。</w:t>
      </w:r>
    </w:p>
    <w:p w:rsidR="005D0DA9" w:rsidRDefault="00984431">
      <w:pPr>
        <w:widowControl/>
        <w:shd w:val="clear" w:color="auto" w:fill="FFFFFF"/>
        <w:spacing w:line="500" w:lineRule="exact"/>
        <w:ind w:firstLineChars="200" w:firstLine="480"/>
        <w:jc w:val="left"/>
        <w:rPr>
          <w:rFonts w:ascii="仿宋" w:eastAsia="仿宋" w:hAnsi="仿宋" w:cs="仿宋"/>
          <w:color w:val="333333"/>
          <w:kern w:val="0"/>
          <w:sz w:val="24"/>
          <w:szCs w:val="28"/>
        </w:rPr>
      </w:pPr>
      <w:r>
        <w:rPr>
          <w:rFonts w:ascii="仿宋" w:eastAsia="仿宋" w:hAnsi="仿宋" w:cs="仿宋" w:hint="eastAsia"/>
          <w:color w:val="333333"/>
          <w:kern w:val="0"/>
          <w:sz w:val="24"/>
          <w:szCs w:val="28"/>
        </w:rPr>
        <w:t>特此公告。</w:t>
      </w:r>
    </w:p>
    <w:p w:rsidR="00984431" w:rsidRDefault="00984431">
      <w:pPr>
        <w:widowControl/>
        <w:shd w:val="clear" w:color="auto" w:fill="FFFFFF"/>
        <w:spacing w:line="500" w:lineRule="exact"/>
        <w:ind w:firstLineChars="200" w:firstLine="480"/>
        <w:jc w:val="right"/>
        <w:rPr>
          <w:rFonts w:ascii="仿宋" w:eastAsia="仿宋" w:hAnsi="仿宋" w:cs="仿宋"/>
          <w:color w:val="333333"/>
          <w:kern w:val="0"/>
          <w:sz w:val="24"/>
          <w:szCs w:val="28"/>
        </w:rPr>
      </w:pPr>
    </w:p>
    <w:p w:rsidR="005D0DA9" w:rsidRDefault="00984431">
      <w:pPr>
        <w:widowControl/>
        <w:shd w:val="clear" w:color="auto" w:fill="FFFFFF"/>
        <w:spacing w:line="500" w:lineRule="exact"/>
        <w:ind w:firstLineChars="200" w:firstLine="480"/>
        <w:jc w:val="right"/>
        <w:rPr>
          <w:rFonts w:ascii="仿宋" w:eastAsia="仿宋" w:hAnsi="仿宋" w:cs="仿宋"/>
          <w:color w:val="333333"/>
          <w:kern w:val="0"/>
          <w:sz w:val="24"/>
          <w:szCs w:val="28"/>
        </w:rPr>
      </w:pPr>
      <w:r>
        <w:rPr>
          <w:rFonts w:ascii="仿宋" w:eastAsia="仿宋" w:hAnsi="仿宋" w:cs="仿宋" w:hint="eastAsia"/>
          <w:color w:val="333333"/>
          <w:kern w:val="0"/>
          <w:sz w:val="24"/>
          <w:szCs w:val="28"/>
        </w:rPr>
        <w:t>申万菱信基金管理有限公司</w:t>
      </w:r>
    </w:p>
    <w:p w:rsidR="005D0DA9" w:rsidRDefault="00984431">
      <w:pPr>
        <w:widowControl/>
        <w:shd w:val="clear" w:color="auto" w:fill="FFFFFF"/>
        <w:spacing w:line="500" w:lineRule="exact"/>
        <w:ind w:firstLineChars="200" w:firstLine="480"/>
        <w:jc w:val="right"/>
        <w:rPr>
          <w:rFonts w:ascii="仿宋" w:eastAsia="仿宋" w:hAnsi="仿宋" w:cs="仿宋"/>
          <w:color w:val="333333"/>
          <w:kern w:val="0"/>
          <w:sz w:val="28"/>
          <w:szCs w:val="28"/>
        </w:rPr>
      </w:pPr>
      <w:r>
        <w:rPr>
          <w:rFonts w:ascii="仿宋" w:eastAsia="仿宋" w:hAnsi="仿宋" w:cs="仿宋" w:hint="eastAsia"/>
          <w:color w:val="333333"/>
          <w:kern w:val="0"/>
          <w:sz w:val="24"/>
          <w:szCs w:val="28"/>
        </w:rPr>
        <w:t>202</w:t>
      </w:r>
      <w:r>
        <w:rPr>
          <w:rFonts w:ascii="仿宋" w:eastAsia="仿宋" w:hAnsi="仿宋" w:cs="仿宋"/>
          <w:color w:val="333333"/>
          <w:kern w:val="0"/>
          <w:sz w:val="24"/>
          <w:szCs w:val="28"/>
        </w:rPr>
        <w:t>6</w:t>
      </w:r>
      <w:r>
        <w:rPr>
          <w:rFonts w:ascii="仿宋" w:eastAsia="仿宋" w:hAnsi="仿宋" w:cs="仿宋" w:hint="eastAsia"/>
          <w:color w:val="333333"/>
          <w:kern w:val="0"/>
          <w:sz w:val="24"/>
          <w:szCs w:val="28"/>
        </w:rPr>
        <w:t>年</w:t>
      </w:r>
      <w:r w:rsidR="00E5311B">
        <w:rPr>
          <w:rFonts w:ascii="仿宋" w:eastAsia="仿宋" w:hAnsi="仿宋" w:cs="仿宋"/>
          <w:color w:val="333333"/>
          <w:kern w:val="0"/>
          <w:sz w:val="24"/>
          <w:szCs w:val="28"/>
        </w:rPr>
        <w:t>3</w:t>
      </w:r>
      <w:r>
        <w:rPr>
          <w:rFonts w:ascii="仿宋" w:eastAsia="仿宋" w:hAnsi="仿宋" w:cs="仿宋" w:hint="eastAsia"/>
          <w:color w:val="333333"/>
          <w:kern w:val="0"/>
          <w:sz w:val="24"/>
          <w:szCs w:val="28"/>
        </w:rPr>
        <w:t>月</w:t>
      </w:r>
      <w:r w:rsidR="00E5311B">
        <w:rPr>
          <w:rFonts w:ascii="仿宋" w:eastAsia="仿宋" w:hAnsi="仿宋" w:cs="仿宋"/>
          <w:color w:val="333333"/>
          <w:kern w:val="0"/>
          <w:sz w:val="24"/>
          <w:szCs w:val="28"/>
        </w:rPr>
        <w:t>19</w:t>
      </w:r>
      <w:bookmarkStart w:id="0" w:name="_GoBack"/>
      <w:bookmarkEnd w:id="0"/>
      <w:r>
        <w:rPr>
          <w:rFonts w:ascii="仿宋" w:eastAsia="仿宋" w:hAnsi="仿宋" w:cs="仿宋" w:hint="eastAsia"/>
          <w:color w:val="333333"/>
          <w:kern w:val="0"/>
          <w:sz w:val="24"/>
          <w:szCs w:val="28"/>
        </w:rPr>
        <w:t>日</w:t>
      </w:r>
    </w:p>
    <w:p w:rsidR="005D0DA9" w:rsidRDefault="005D0DA9">
      <w:pPr>
        <w:spacing w:line="500" w:lineRule="exact"/>
        <w:ind w:firstLineChars="200" w:firstLine="420"/>
        <w:rPr>
          <w:rFonts w:ascii="仿宋" w:eastAsia="仿宋" w:hAnsi="仿宋" w:cs="仿宋"/>
        </w:rPr>
      </w:pPr>
    </w:p>
    <w:p w:rsidR="005D0DA9" w:rsidRDefault="005D0DA9"/>
    <w:sectPr w:rsidR="005D0DA9" w:rsidSect="00E675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431" w:rsidRDefault="00984431" w:rsidP="00984431">
      <w:r>
        <w:separator/>
      </w:r>
    </w:p>
  </w:endnote>
  <w:endnote w:type="continuationSeparator" w:id="0">
    <w:p w:rsidR="00984431" w:rsidRDefault="00984431" w:rsidP="00984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431" w:rsidRDefault="00984431" w:rsidP="00984431">
      <w:r>
        <w:separator/>
      </w:r>
    </w:p>
  </w:footnote>
  <w:footnote w:type="continuationSeparator" w:id="0">
    <w:p w:rsidR="00984431" w:rsidRDefault="00984431" w:rsidP="009844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A053C"/>
    <w:multiLevelType w:val="multilevel"/>
    <w:tmpl w:val="4DCA053C"/>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48A8"/>
    <w:rsid w:val="000A48A8"/>
    <w:rsid w:val="001059D1"/>
    <w:rsid w:val="001A71E0"/>
    <w:rsid w:val="001F44EA"/>
    <w:rsid w:val="00492128"/>
    <w:rsid w:val="00543A85"/>
    <w:rsid w:val="005D0DA9"/>
    <w:rsid w:val="00637333"/>
    <w:rsid w:val="006378C6"/>
    <w:rsid w:val="00682014"/>
    <w:rsid w:val="006977D0"/>
    <w:rsid w:val="006F3892"/>
    <w:rsid w:val="00704BB5"/>
    <w:rsid w:val="007908B1"/>
    <w:rsid w:val="007B1E91"/>
    <w:rsid w:val="007D0113"/>
    <w:rsid w:val="008651FC"/>
    <w:rsid w:val="00984431"/>
    <w:rsid w:val="00A12C02"/>
    <w:rsid w:val="00A21836"/>
    <w:rsid w:val="00A263A0"/>
    <w:rsid w:val="00AD2D2F"/>
    <w:rsid w:val="00BA0E9C"/>
    <w:rsid w:val="00CD50F4"/>
    <w:rsid w:val="00CE21D1"/>
    <w:rsid w:val="00D93CDF"/>
    <w:rsid w:val="00DA59DB"/>
    <w:rsid w:val="00E01681"/>
    <w:rsid w:val="00E51245"/>
    <w:rsid w:val="00E5311B"/>
    <w:rsid w:val="00E67512"/>
    <w:rsid w:val="00E862D5"/>
    <w:rsid w:val="00E96251"/>
    <w:rsid w:val="00EA27CB"/>
    <w:rsid w:val="08E078C1"/>
    <w:rsid w:val="301C2B49"/>
    <w:rsid w:val="44C272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5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6751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6751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E67512"/>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qFormat/>
    <w:rsid w:val="00E675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E67512"/>
    <w:rPr>
      <w:kern w:val="2"/>
      <w:sz w:val="18"/>
      <w:szCs w:val="18"/>
    </w:rPr>
  </w:style>
  <w:style w:type="character" w:customStyle="1" w:styleId="Char">
    <w:name w:val="页脚 Char"/>
    <w:basedOn w:val="a0"/>
    <w:link w:val="a3"/>
    <w:uiPriority w:val="99"/>
    <w:qFormat/>
    <w:rsid w:val="00E67512"/>
    <w:rPr>
      <w:kern w:val="2"/>
      <w:sz w:val="18"/>
      <w:szCs w:val="18"/>
    </w:rPr>
  </w:style>
  <w:style w:type="paragraph" w:styleId="a7">
    <w:name w:val="List Paragraph"/>
    <w:basedOn w:val="a"/>
    <w:uiPriority w:val="99"/>
    <w:qFormat/>
    <w:rsid w:val="00E6751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wsmu.com&#25110;&#25320;&#25171;&#20844;&#21496;&#23458;&#25143;&#26381;&#21153;&#28909;&#32447;400-880-85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de34612f-3f9c-43ab-8c7c-30944a835820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7C189E30</paraID>
      <start>0</start>
      <end>2</end>
      <status>unmodified</status>
      <modifiedWord/>
      <trackRevisions>false</trackRevisions>
    </reviewItem>
    <reviewItem>
      <errorID>dc205d28-1f0f-4b5e-bd67-d6d3272585d9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57798176</paraID>
      <start>1</start>
      <end>3</end>
      <status>unmodified</status>
      <modifiedWord/>
      <trackRevisions>false</trackRevisions>
    </reviewItem>
    <reviewItem>
      <errorID>54bd194c-10f5-44ce-a74a-ba6325d6d161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6B68669A</paraID>
      <start>0</start>
      <end>2</end>
      <status>unmodified</status>
      <modifiedWord/>
      <trackRevisions>false</trackRevisions>
    </reviewItem>
    <reviewItem>
      <errorID>a86b1ab5-71ee-49f4-b72d-5a6af93814c2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1F3520E0</paraID>
      <start>0</start>
      <end>2</end>
      <status>unmodified</status>
      <modifiedWord/>
      <trackRevisions>false</trackRevisions>
    </reviewItem>
    <reviewItem>
      <errorID>6d903567-d80c-4d69-bc13-6f347156fbe1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543AFFD3</paraID>
      <start>0</start>
      <end>2</end>
      <status>unmodified</status>
      <modifiedWord/>
      <trackRevisions>false</trackRevisions>
    </reviewItem>
    <reviewItem>
      <errorID>78c9bf58-ccda-4d03-93c0-f3ac75637ead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7675224F</paraID>
      <start>0</start>
      <end>2</end>
      <status>unmodified</status>
      <modifiedWord/>
      <trackRevisions>false</trackRevisions>
    </reviewItem>
    <reviewItem>
      <errorID>abea362f-1443-4327-8a72-627a06217d62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6B216AE</paraID>
      <start>0</start>
      <end>2</end>
      <status>unmodified</status>
      <modifiedWord/>
      <trackRevisions>false</trackRevisions>
    </reviewItem>
    <reviewItem>
      <errorID>3f20a79b-a3bc-4a7f-b39a-a3c83db2048c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7C959246</paraID>
      <start>0</start>
      <end>2</end>
      <status>unmodified</status>
      <modifiedWord/>
      <trackRevisions>false</trackRevisions>
    </reviewItem>
    <reviewItem>
      <errorID>8001c909-fa90-40af-bf9a-c96e54b16c6e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1119889C</paraID>
      <start>0</start>
      <end>2</end>
      <status>unmodified</status>
      <modifiedWord/>
      <trackRevisions>false</trackRevisions>
    </reviewItem>
    <reviewItem>
      <errorID>71fd6c7c-20fd-4236-9490-5a724bf96d37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1B9A81D8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DA61C02-B6E6-4AA3-A551-7FC89051AA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Office Word</Application>
  <DocSecurity>4</DocSecurity>
  <Lines>14</Lines>
  <Paragraphs>4</Paragraphs>
  <ScaleCrop>false</ScaleCrop>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cp:lastPrinted>2026-01-21T09:50:00Z</cp:lastPrinted>
  <dcterms:created xsi:type="dcterms:W3CDTF">2026-03-18T16:01:00Z</dcterms:created>
  <dcterms:modified xsi:type="dcterms:W3CDTF">2026-03-18T16:01:00Z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9F5918BC852F4C979B41B8A7B9C9F9C0</vt:lpwstr>
  </property>
  <property fmtid="{D5CDD505-2E9C-101B-9397-08002B2CF9AE}" pid="4" name="KSOTemplateDocerSaveRecord">
    <vt:lpwstr>eyJoZGlkIjoiZmE2ZjQ3MzZhYWIzMWM4OWY2ODMyNTljMGY1ZTFiZWQiLCJ1c2VySWQiOiIyODA3NTU1MjIifQ==</vt:lpwstr>
  </property>
</Properties>
</file>