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9D7" w:rsidRPr="009B69D7" w:rsidRDefault="00383D73" w:rsidP="009B69D7">
      <w:pPr>
        <w:spacing w:line="360" w:lineRule="auto"/>
        <w:jc w:val="center"/>
        <w:rPr>
          <w:rFonts w:ascii="Times New Roman" w:eastAsia="宋体" w:hAnsi="Times New Roman" w:cs="Times New Roman"/>
          <w:b/>
          <w:sz w:val="32"/>
          <w:szCs w:val="32"/>
        </w:rPr>
      </w:pPr>
      <w:r>
        <w:rPr>
          <w:rFonts w:ascii="Times New Roman" w:eastAsia="宋体" w:hAnsi="Times New Roman" w:cs="Times New Roman" w:hint="eastAsia"/>
          <w:b/>
          <w:sz w:val="32"/>
          <w:szCs w:val="32"/>
        </w:rPr>
        <w:t>国泰基金管理有限公司关于旗下部分深</w:t>
      </w:r>
      <w:r w:rsidR="00D164FD" w:rsidRPr="00D164FD">
        <w:rPr>
          <w:rFonts w:ascii="Times New Roman" w:eastAsia="宋体" w:hAnsi="Times New Roman" w:cs="Times New Roman" w:hint="eastAsia"/>
          <w:b/>
          <w:sz w:val="32"/>
          <w:szCs w:val="32"/>
        </w:rPr>
        <w:t>交所</w:t>
      </w:r>
      <w:r w:rsidR="00D164FD" w:rsidRPr="00C4388F">
        <w:rPr>
          <w:rFonts w:ascii="Times New Roman" w:eastAsia="宋体" w:hAnsi="Times New Roman" w:cs="Times New Roman"/>
          <w:b/>
          <w:sz w:val="32"/>
          <w:szCs w:val="32"/>
        </w:rPr>
        <w:t>ETF</w:t>
      </w:r>
      <w:r>
        <w:rPr>
          <w:rFonts w:ascii="Times New Roman" w:eastAsia="宋体" w:hAnsi="Times New Roman" w:cs="Times New Roman"/>
          <w:b/>
          <w:sz w:val="32"/>
          <w:szCs w:val="32"/>
        </w:rPr>
        <w:t>变更</w:t>
      </w:r>
      <w:r>
        <w:rPr>
          <w:rFonts w:ascii="Times New Roman" w:eastAsia="宋体" w:hAnsi="Times New Roman" w:cs="Times New Roman" w:hint="eastAsia"/>
          <w:b/>
          <w:sz w:val="32"/>
          <w:szCs w:val="32"/>
        </w:rPr>
        <w:t>场内</w:t>
      </w:r>
      <w:r w:rsidR="00D164FD" w:rsidRPr="00D164FD">
        <w:rPr>
          <w:rFonts w:ascii="Times New Roman" w:eastAsia="宋体" w:hAnsi="Times New Roman" w:cs="Times New Roman"/>
          <w:b/>
          <w:sz w:val="32"/>
          <w:szCs w:val="32"/>
        </w:rPr>
        <w:t>简称的公告</w:t>
      </w:r>
      <w:bookmarkStart w:id="0" w:name="_GoBack"/>
      <w:bookmarkEnd w:id="0"/>
    </w:p>
    <w:p w:rsidR="009B69D7" w:rsidRPr="009B69D7" w:rsidRDefault="009B69D7" w:rsidP="009B69D7">
      <w:pPr>
        <w:spacing w:line="360" w:lineRule="auto"/>
        <w:jc w:val="center"/>
        <w:rPr>
          <w:rFonts w:ascii="Times New Roman" w:eastAsia="宋体" w:hAnsi="Times New Roman" w:cs="Times New Roman"/>
          <w:b/>
          <w:sz w:val="32"/>
          <w:szCs w:val="32"/>
        </w:rPr>
      </w:pPr>
    </w:p>
    <w:p w:rsidR="009B69D7" w:rsidRDefault="00383D73" w:rsidP="00D164FD">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经向深圳</w:t>
      </w:r>
      <w:r w:rsidR="009B69D7" w:rsidRPr="009B69D7">
        <w:rPr>
          <w:rFonts w:ascii="Times New Roman" w:eastAsia="宋体" w:hAnsi="Times New Roman" w:cs="Times New Roman" w:hint="eastAsia"/>
          <w:sz w:val="24"/>
          <w:szCs w:val="24"/>
        </w:rPr>
        <w:t>证券交易所申请，国泰基金管理有限公司（以下简称“本公司”）决定自</w:t>
      </w:r>
      <w:r w:rsidR="00D164FD" w:rsidRPr="00C4388F">
        <w:rPr>
          <w:rFonts w:ascii="Times New Roman" w:eastAsia="宋体" w:hAnsi="Times New Roman" w:cs="Times New Roman" w:hint="eastAsia"/>
          <w:sz w:val="24"/>
          <w:szCs w:val="24"/>
        </w:rPr>
        <w:t>202</w:t>
      </w:r>
      <w:r w:rsidR="00D164FD" w:rsidRPr="00C4388F">
        <w:rPr>
          <w:rFonts w:ascii="Times New Roman" w:eastAsia="宋体" w:hAnsi="Times New Roman" w:cs="Times New Roman"/>
          <w:sz w:val="24"/>
          <w:szCs w:val="24"/>
        </w:rPr>
        <w:t>6</w:t>
      </w:r>
      <w:r w:rsidR="009B69D7" w:rsidRPr="009B69D7">
        <w:rPr>
          <w:rFonts w:ascii="Times New Roman" w:eastAsia="宋体" w:hAnsi="Times New Roman" w:cs="Times New Roman" w:hint="eastAsia"/>
          <w:sz w:val="24"/>
          <w:szCs w:val="24"/>
        </w:rPr>
        <w:t>年</w:t>
      </w:r>
      <w:r w:rsidR="00C4388F" w:rsidRPr="00C4388F">
        <w:rPr>
          <w:rFonts w:ascii="Times New Roman" w:eastAsia="宋体" w:hAnsi="Times New Roman" w:cs="Times New Roman"/>
          <w:sz w:val="24"/>
          <w:szCs w:val="24"/>
        </w:rPr>
        <w:t>3</w:t>
      </w:r>
      <w:r w:rsidR="009B69D7" w:rsidRPr="009B69D7">
        <w:rPr>
          <w:rFonts w:ascii="Times New Roman" w:eastAsia="宋体" w:hAnsi="Times New Roman" w:cs="Times New Roman" w:hint="eastAsia"/>
          <w:sz w:val="24"/>
          <w:szCs w:val="24"/>
        </w:rPr>
        <w:t>月</w:t>
      </w:r>
      <w:r w:rsidR="00C4388F" w:rsidRPr="00C4388F">
        <w:rPr>
          <w:rFonts w:ascii="Times New Roman" w:eastAsia="宋体" w:hAnsi="Times New Roman" w:cs="Times New Roman"/>
          <w:sz w:val="24"/>
          <w:szCs w:val="24"/>
        </w:rPr>
        <w:t>19</w:t>
      </w:r>
      <w:r w:rsidR="009B69D7" w:rsidRPr="009B69D7">
        <w:rPr>
          <w:rFonts w:ascii="Times New Roman" w:eastAsia="宋体" w:hAnsi="Times New Roman" w:cs="Times New Roman" w:hint="eastAsia"/>
          <w:sz w:val="24"/>
          <w:szCs w:val="24"/>
        </w:rPr>
        <w:t>日起变更</w:t>
      </w:r>
      <w:r>
        <w:rPr>
          <w:rFonts w:ascii="Times New Roman" w:eastAsia="宋体" w:hAnsi="Times New Roman" w:cs="Times New Roman" w:hint="eastAsia"/>
          <w:sz w:val="24"/>
          <w:szCs w:val="24"/>
        </w:rPr>
        <w:t>旗下部分深</w:t>
      </w:r>
      <w:r w:rsidR="00D164FD">
        <w:rPr>
          <w:rFonts w:ascii="Times New Roman" w:eastAsia="宋体" w:hAnsi="Times New Roman" w:cs="Times New Roman" w:hint="eastAsia"/>
          <w:sz w:val="24"/>
          <w:szCs w:val="24"/>
        </w:rPr>
        <w:t>交所</w:t>
      </w:r>
      <w:r w:rsidR="00D164FD" w:rsidRPr="00C4388F">
        <w:rPr>
          <w:rFonts w:ascii="Times New Roman" w:eastAsia="宋体" w:hAnsi="Times New Roman" w:cs="Times New Roman" w:hint="eastAsia"/>
          <w:sz w:val="24"/>
          <w:szCs w:val="24"/>
        </w:rPr>
        <w:t>ETF</w:t>
      </w:r>
      <w:r>
        <w:rPr>
          <w:rFonts w:ascii="Times New Roman" w:eastAsia="宋体" w:hAnsi="Times New Roman" w:cs="Times New Roman" w:hint="eastAsia"/>
          <w:sz w:val="24"/>
          <w:szCs w:val="24"/>
        </w:rPr>
        <w:t>的场内</w:t>
      </w:r>
      <w:r w:rsidR="00D164FD">
        <w:rPr>
          <w:rFonts w:ascii="Times New Roman" w:eastAsia="宋体" w:hAnsi="Times New Roman" w:cs="Times New Roman" w:hint="eastAsia"/>
          <w:sz w:val="24"/>
          <w:szCs w:val="24"/>
        </w:rPr>
        <w:t>简称，各</w:t>
      </w:r>
      <w:r w:rsidR="00D164FD" w:rsidRPr="00D164FD">
        <w:rPr>
          <w:rFonts w:ascii="Times New Roman" w:eastAsia="宋体" w:hAnsi="Times New Roman" w:cs="Times New Roman" w:hint="eastAsia"/>
          <w:sz w:val="24"/>
          <w:szCs w:val="24"/>
        </w:rPr>
        <w:t>基金</w:t>
      </w:r>
      <w:r w:rsidR="00D164FD">
        <w:rPr>
          <w:rFonts w:ascii="Times New Roman" w:eastAsia="宋体" w:hAnsi="Times New Roman" w:cs="Times New Roman" w:hint="eastAsia"/>
          <w:sz w:val="24"/>
          <w:szCs w:val="24"/>
        </w:rPr>
        <w:t>的基金代码及其他</w:t>
      </w:r>
      <w:r w:rsidR="00D164FD" w:rsidRPr="00D164FD">
        <w:rPr>
          <w:rFonts w:ascii="Times New Roman" w:eastAsia="宋体" w:hAnsi="Times New Roman" w:cs="Times New Roman" w:hint="eastAsia"/>
          <w:sz w:val="24"/>
          <w:szCs w:val="24"/>
        </w:rPr>
        <w:t>名称、简称</w:t>
      </w:r>
      <w:r w:rsidR="00D164FD">
        <w:rPr>
          <w:rFonts w:ascii="Times New Roman" w:eastAsia="宋体" w:hAnsi="Times New Roman" w:cs="Times New Roman" w:hint="eastAsia"/>
          <w:sz w:val="24"/>
          <w:szCs w:val="24"/>
        </w:rPr>
        <w:t>均</w:t>
      </w:r>
      <w:r w:rsidR="00D164FD" w:rsidRPr="00D164FD">
        <w:rPr>
          <w:rFonts w:ascii="Times New Roman" w:eastAsia="宋体" w:hAnsi="Times New Roman" w:cs="Times New Roman" w:hint="eastAsia"/>
          <w:sz w:val="24"/>
          <w:szCs w:val="24"/>
        </w:rPr>
        <w:t>保持不变。</w:t>
      </w:r>
      <w:r w:rsidR="00D164FD">
        <w:rPr>
          <w:rFonts w:ascii="Times New Roman" w:eastAsia="宋体" w:hAnsi="Times New Roman" w:cs="Times New Roman" w:hint="eastAsia"/>
          <w:sz w:val="24"/>
          <w:szCs w:val="24"/>
        </w:rPr>
        <w:t>具体如下：</w:t>
      </w:r>
    </w:p>
    <w:tbl>
      <w:tblPr>
        <w:tblStyle w:val="a3"/>
        <w:tblW w:w="10261" w:type="dxa"/>
        <w:jc w:val="center"/>
        <w:tblLook w:val="04A0"/>
      </w:tblPr>
      <w:tblGrid>
        <w:gridCol w:w="1232"/>
        <w:gridCol w:w="3832"/>
        <w:gridCol w:w="2319"/>
        <w:gridCol w:w="2878"/>
      </w:tblGrid>
      <w:tr w:rsidR="00D164FD" w:rsidRPr="00AD1BA2" w:rsidTr="00C4388F">
        <w:trPr>
          <w:jc w:val="center"/>
        </w:trPr>
        <w:tc>
          <w:tcPr>
            <w:tcW w:w="1232" w:type="dxa"/>
            <w:vAlign w:val="center"/>
          </w:tcPr>
          <w:p w:rsidR="00D164FD" w:rsidRPr="00D164FD" w:rsidRDefault="00D164FD" w:rsidP="00C4388F">
            <w:pPr>
              <w:spacing w:line="360" w:lineRule="auto"/>
              <w:jc w:val="center"/>
              <w:rPr>
                <w:rFonts w:ascii="宋体" w:eastAsia="宋体" w:hAnsi="宋体"/>
                <w:sz w:val="24"/>
                <w:szCs w:val="24"/>
              </w:rPr>
            </w:pPr>
            <w:r w:rsidRPr="00D164FD">
              <w:rPr>
                <w:rFonts w:ascii="宋体" w:eastAsia="宋体" w:hAnsi="宋体" w:hint="eastAsia"/>
                <w:sz w:val="24"/>
                <w:szCs w:val="24"/>
              </w:rPr>
              <w:t>基金代码</w:t>
            </w:r>
          </w:p>
        </w:tc>
        <w:tc>
          <w:tcPr>
            <w:tcW w:w="3832" w:type="dxa"/>
            <w:vAlign w:val="center"/>
          </w:tcPr>
          <w:p w:rsidR="00D164FD" w:rsidRPr="00D164FD" w:rsidRDefault="00D164FD" w:rsidP="00C4388F">
            <w:pPr>
              <w:spacing w:line="360" w:lineRule="auto"/>
              <w:jc w:val="center"/>
              <w:rPr>
                <w:rFonts w:ascii="宋体" w:eastAsia="宋体" w:hAnsi="宋体"/>
                <w:sz w:val="24"/>
                <w:szCs w:val="24"/>
              </w:rPr>
            </w:pPr>
            <w:r w:rsidRPr="00D164FD">
              <w:rPr>
                <w:rFonts w:ascii="宋体" w:eastAsia="宋体" w:hAnsi="宋体" w:hint="eastAsia"/>
                <w:sz w:val="24"/>
                <w:szCs w:val="24"/>
              </w:rPr>
              <w:t>基金名称</w:t>
            </w:r>
          </w:p>
        </w:tc>
        <w:tc>
          <w:tcPr>
            <w:tcW w:w="2319" w:type="dxa"/>
            <w:vAlign w:val="center"/>
          </w:tcPr>
          <w:p w:rsidR="00D164FD" w:rsidRPr="00D164FD" w:rsidRDefault="00383D73" w:rsidP="00C4388F">
            <w:pPr>
              <w:spacing w:line="360" w:lineRule="auto"/>
              <w:jc w:val="center"/>
              <w:rPr>
                <w:rFonts w:ascii="宋体" w:eastAsia="宋体" w:hAnsi="宋体"/>
                <w:sz w:val="24"/>
                <w:szCs w:val="24"/>
              </w:rPr>
            </w:pPr>
            <w:r>
              <w:rPr>
                <w:rFonts w:ascii="宋体" w:eastAsia="宋体" w:hAnsi="宋体" w:hint="eastAsia"/>
                <w:sz w:val="24"/>
                <w:szCs w:val="24"/>
              </w:rPr>
              <w:t>原场内</w:t>
            </w:r>
            <w:r w:rsidR="00D164FD" w:rsidRPr="00D164FD">
              <w:rPr>
                <w:rFonts w:ascii="宋体" w:eastAsia="宋体" w:hAnsi="宋体" w:hint="eastAsia"/>
                <w:sz w:val="24"/>
                <w:szCs w:val="24"/>
              </w:rPr>
              <w:t>简称</w:t>
            </w:r>
          </w:p>
        </w:tc>
        <w:tc>
          <w:tcPr>
            <w:tcW w:w="2878" w:type="dxa"/>
            <w:vAlign w:val="center"/>
          </w:tcPr>
          <w:p w:rsidR="00D164FD" w:rsidRPr="00D164FD" w:rsidRDefault="00383D73" w:rsidP="00C4388F">
            <w:pPr>
              <w:spacing w:line="360" w:lineRule="auto"/>
              <w:jc w:val="center"/>
              <w:rPr>
                <w:rFonts w:ascii="宋体" w:eastAsia="宋体" w:hAnsi="宋体"/>
                <w:sz w:val="24"/>
                <w:szCs w:val="24"/>
              </w:rPr>
            </w:pPr>
            <w:r>
              <w:rPr>
                <w:rFonts w:ascii="宋体" w:eastAsia="宋体" w:hAnsi="宋体" w:hint="eastAsia"/>
                <w:sz w:val="24"/>
                <w:szCs w:val="24"/>
              </w:rPr>
              <w:t>变更后场内</w:t>
            </w:r>
            <w:r w:rsidR="00D164FD" w:rsidRPr="00D164FD">
              <w:rPr>
                <w:rFonts w:ascii="宋体" w:eastAsia="宋体" w:hAnsi="宋体" w:hint="eastAsia"/>
                <w:sz w:val="24"/>
                <w:szCs w:val="24"/>
              </w:rPr>
              <w:t>简称</w:t>
            </w:r>
          </w:p>
        </w:tc>
      </w:tr>
      <w:tr w:rsidR="00C4388F" w:rsidRPr="00AD1BA2" w:rsidTr="00C4388F">
        <w:trPr>
          <w:jc w:val="center"/>
        </w:trPr>
        <w:tc>
          <w:tcPr>
            <w:tcW w:w="1232" w:type="dxa"/>
            <w:shd w:val="clear" w:color="auto" w:fill="auto"/>
            <w:vAlign w:val="center"/>
          </w:tcPr>
          <w:p w:rsidR="00C4388F" w:rsidRPr="00C4388F" w:rsidRDefault="00C4388F" w:rsidP="00C4388F">
            <w:pPr>
              <w:widowControl/>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159338</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国泰中证</w:t>
            </w:r>
            <w:r w:rsidRPr="00C4388F">
              <w:rPr>
                <w:rFonts w:ascii="Times New Roman" w:eastAsia="宋体" w:hAnsi="Times New Roman" w:cs="Times New Roman"/>
                <w:color w:val="000000"/>
                <w:sz w:val="24"/>
                <w:szCs w:val="24"/>
              </w:rPr>
              <w:t>A500</w:t>
            </w:r>
            <w:r w:rsidRPr="00C4388F">
              <w:rPr>
                <w:rFonts w:ascii="宋体" w:eastAsia="宋体" w:hAnsi="宋体" w:hint="eastAsia"/>
                <w:color w:val="000000"/>
                <w:sz w:val="24"/>
                <w:szCs w:val="24"/>
              </w:rPr>
              <w:t>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中证</w:t>
            </w:r>
            <w:r w:rsidRPr="00C4388F">
              <w:rPr>
                <w:rFonts w:ascii="Times New Roman" w:eastAsia="宋体" w:hAnsi="Times New Roman" w:hint="eastAsia"/>
                <w:color w:val="000000"/>
                <w:sz w:val="24"/>
                <w:szCs w:val="24"/>
              </w:rPr>
              <w:t>A500ETF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中证</w:t>
            </w:r>
            <w:r w:rsidRPr="00C4388F">
              <w:rPr>
                <w:rFonts w:ascii="Times New Roman" w:eastAsia="宋体" w:hAnsi="Times New Roman" w:hint="eastAsia"/>
                <w:color w:val="000000"/>
                <w:sz w:val="24"/>
                <w:szCs w:val="24"/>
              </w:rPr>
              <w:t>A500ETF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159516</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国泰中证半导体材料设备主题交易型开放式指数证券投资基金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半导体设备</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半导体设备</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159865</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国泰中证畜牧养殖交易型开放式指数证券投资基金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养殖</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养殖</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159399</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国泰富时中国</w:t>
            </w:r>
            <w:r w:rsidRPr="00C4388F">
              <w:rPr>
                <w:rFonts w:ascii="Times New Roman" w:eastAsia="宋体" w:hAnsi="Times New Roman" w:hint="eastAsia"/>
                <w:color w:val="000000"/>
                <w:sz w:val="24"/>
                <w:szCs w:val="24"/>
              </w:rPr>
              <w:t>A</w:t>
            </w:r>
            <w:r w:rsidRPr="00C4388F">
              <w:rPr>
                <w:rFonts w:ascii="宋体" w:eastAsia="宋体" w:hAnsi="宋体" w:hint="eastAsia"/>
                <w:color w:val="000000"/>
                <w:sz w:val="24"/>
                <w:szCs w:val="24"/>
              </w:rPr>
              <w:t>股自由现金流聚焦交易型开放式指数证券投资基金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现金流</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现金流</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159828</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国泰中证医疗交易型开放式指数证券投资基金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医疗</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医疗</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159996</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国泰中证全指家用电器交易型开放式指数证券投资基金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家电</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家电</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159667</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国泰中证机床交易型开放式指数证券投资基金</w:t>
            </w:r>
          </w:p>
        </w:tc>
        <w:tc>
          <w:tcPr>
            <w:tcW w:w="2319" w:type="dxa"/>
            <w:vAlign w:val="center"/>
          </w:tcPr>
          <w:p w:rsidR="00C4388F" w:rsidRPr="00C4388F" w:rsidRDefault="00C4388F" w:rsidP="00C4388F">
            <w:pPr>
              <w:jc w:val="center"/>
              <w:rPr>
                <w:rFonts w:ascii="宋体" w:eastAsia="宋体" w:hAnsi="宋体"/>
                <w:bCs/>
                <w:color w:val="000000"/>
                <w:sz w:val="24"/>
                <w:szCs w:val="24"/>
              </w:rPr>
            </w:pPr>
            <w:r w:rsidRPr="00C4388F">
              <w:rPr>
                <w:rFonts w:ascii="宋体" w:eastAsia="宋体" w:hAnsi="宋体" w:hint="eastAsia"/>
                <w:bCs/>
                <w:color w:val="000000"/>
                <w:sz w:val="24"/>
                <w:szCs w:val="24"/>
              </w:rPr>
              <w:t>工业母机</w:t>
            </w:r>
            <w:r w:rsidRPr="00C4388F">
              <w:rPr>
                <w:rFonts w:ascii="Times New Roman" w:eastAsia="宋体" w:hAnsi="Times New Roman" w:hint="eastAsia"/>
                <w:bCs/>
                <w:color w:val="000000"/>
                <w:sz w:val="24"/>
                <w:szCs w:val="24"/>
              </w:rPr>
              <w:t>ETF</w:t>
            </w:r>
          </w:p>
        </w:tc>
        <w:tc>
          <w:tcPr>
            <w:tcW w:w="2878" w:type="dxa"/>
            <w:vAlign w:val="center"/>
          </w:tcPr>
          <w:p w:rsidR="00C4388F" w:rsidRPr="00C4388F" w:rsidRDefault="00C4388F" w:rsidP="00C4388F">
            <w:pPr>
              <w:jc w:val="center"/>
              <w:rPr>
                <w:rFonts w:ascii="宋体" w:eastAsia="宋体" w:hAnsi="宋体"/>
                <w:bCs/>
                <w:color w:val="000000"/>
                <w:sz w:val="24"/>
                <w:szCs w:val="24"/>
              </w:rPr>
            </w:pPr>
            <w:r w:rsidRPr="00C4388F">
              <w:rPr>
                <w:rFonts w:ascii="宋体" w:eastAsia="宋体" w:hAnsi="宋体" w:hint="eastAsia"/>
                <w:bCs/>
                <w:color w:val="000000"/>
                <w:sz w:val="24"/>
                <w:szCs w:val="24"/>
              </w:rPr>
              <w:t>工业母机</w:t>
            </w:r>
            <w:r w:rsidRPr="00C4388F">
              <w:rPr>
                <w:rFonts w:ascii="Times New Roman" w:eastAsia="宋体" w:hAnsi="Times New Roman" w:hint="eastAsia"/>
                <w:bCs/>
                <w:color w:val="000000"/>
                <w:sz w:val="24"/>
                <w:szCs w:val="24"/>
              </w:rPr>
              <w:t>ETF</w:t>
            </w:r>
            <w:r w:rsidRPr="00C4388F">
              <w:rPr>
                <w:rFonts w:ascii="宋体" w:eastAsia="宋体" w:hAnsi="宋体" w:hint="eastAsia"/>
                <w:bCs/>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159806</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国泰中证新能源汽车交易型开放式指数证券投资基金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新能源车</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新能源车</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159612</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国泰标普</w:t>
            </w:r>
            <w:r w:rsidRPr="00C4388F">
              <w:rPr>
                <w:rFonts w:ascii="Times New Roman" w:eastAsia="宋体" w:hAnsi="Times New Roman" w:hint="eastAsia"/>
                <w:color w:val="000000"/>
                <w:sz w:val="24"/>
                <w:szCs w:val="24"/>
              </w:rPr>
              <w:t>500</w:t>
            </w:r>
            <w:r w:rsidRPr="00C4388F">
              <w:rPr>
                <w:rFonts w:ascii="宋体" w:eastAsia="宋体" w:hAnsi="宋体" w:hint="eastAsia"/>
                <w:color w:val="000000"/>
                <w:sz w:val="24"/>
                <w:szCs w:val="24"/>
              </w:rPr>
              <w:t>交易型开放式指数证券投资基金(</w:t>
            </w:r>
            <w:r w:rsidRPr="00C4388F">
              <w:rPr>
                <w:rFonts w:ascii="Times New Roman" w:eastAsia="宋体" w:hAnsi="Times New Roman" w:hint="eastAsia"/>
                <w:color w:val="000000"/>
                <w:sz w:val="24"/>
                <w:szCs w:val="24"/>
              </w:rPr>
              <w:t>QDII</w:t>
            </w:r>
            <w:r w:rsidRPr="00C4388F">
              <w:rPr>
                <w:rFonts w:ascii="宋体" w:eastAsia="宋体" w:hAnsi="宋体" w:hint="eastAsia"/>
                <w:color w:val="000000"/>
                <w:sz w:val="24"/>
                <w:szCs w:val="24"/>
              </w:rPr>
              <w:t>)</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标普</w:t>
            </w:r>
            <w:r w:rsidRPr="00C4388F">
              <w:rPr>
                <w:rFonts w:ascii="Times New Roman" w:eastAsia="宋体" w:hAnsi="Times New Roman" w:hint="eastAsia"/>
                <w:color w:val="000000"/>
                <w:sz w:val="24"/>
                <w:szCs w:val="24"/>
              </w:rPr>
              <w:t>500ETF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标普</w:t>
            </w:r>
            <w:r w:rsidRPr="00C4388F">
              <w:rPr>
                <w:rFonts w:ascii="Times New Roman" w:eastAsia="宋体" w:hAnsi="Times New Roman" w:hint="eastAsia"/>
                <w:color w:val="000000"/>
                <w:sz w:val="24"/>
                <w:szCs w:val="24"/>
              </w:rPr>
              <w:t>500ETF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159745</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国泰中证全指建筑材料交易型开放式指数证券投资基金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建材</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建材</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159546</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国泰中证全指集成电路交易型开放</w:t>
            </w:r>
            <w:r w:rsidRPr="00C4388F">
              <w:rPr>
                <w:rFonts w:ascii="宋体" w:eastAsia="宋体" w:hAnsi="宋体" w:hint="eastAsia"/>
                <w:color w:val="000000"/>
                <w:sz w:val="24"/>
                <w:szCs w:val="24"/>
              </w:rPr>
              <w:lastRenderedPageBreak/>
              <w:t>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lastRenderedPageBreak/>
              <w:t>集成电路</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集成电路</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lastRenderedPageBreak/>
              <w:t>159643</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国泰国证疫苗与生物科技交易型开放式指数证券投资基金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疫苗</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疫苗</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159889</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国泰中证智能汽车主题交易型开放式指数证券投资基金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智能汽车</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智能汽车</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159619</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国泰中证基建交易型开放式指数证券投资基金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基建</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基建</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r w:rsidR="00C4388F" w:rsidRPr="00AD1BA2" w:rsidTr="00C4388F">
        <w:trPr>
          <w:jc w:val="center"/>
        </w:trPr>
        <w:tc>
          <w:tcPr>
            <w:tcW w:w="1232" w:type="dxa"/>
            <w:shd w:val="clear" w:color="auto" w:fill="auto"/>
            <w:vAlign w:val="center"/>
          </w:tcPr>
          <w:p w:rsidR="00C4388F" w:rsidRPr="00C4388F" w:rsidRDefault="00C4388F" w:rsidP="00C4388F">
            <w:pPr>
              <w:jc w:val="center"/>
              <w:rPr>
                <w:rFonts w:ascii="Times New Roman" w:eastAsia="等线" w:hAnsi="Times New Roman" w:cs="Times New Roman"/>
                <w:color w:val="000000"/>
                <w:sz w:val="22"/>
              </w:rPr>
            </w:pPr>
            <w:r w:rsidRPr="00C4388F">
              <w:rPr>
                <w:rFonts w:ascii="Times New Roman" w:eastAsia="等线" w:hAnsi="Times New Roman" w:cs="Times New Roman"/>
                <w:color w:val="000000"/>
                <w:sz w:val="22"/>
              </w:rPr>
              <w:t>159537</w:t>
            </w:r>
          </w:p>
        </w:tc>
        <w:tc>
          <w:tcPr>
            <w:tcW w:w="3832" w:type="dxa"/>
            <w:shd w:val="clear" w:color="auto" w:fill="auto"/>
            <w:vAlign w:val="center"/>
          </w:tcPr>
          <w:p w:rsidR="00C4388F" w:rsidRPr="00C4388F" w:rsidRDefault="00C4388F" w:rsidP="00C4388F">
            <w:pPr>
              <w:spacing w:line="360" w:lineRule="auto"/>
              <w:jc w:val="left"/>
              <w:rPr>
                <w:rFonts w:ascii="宋体" w:eastAsia="宋体" w:hAnsi="宋体"/>
                <w:color w:val="000000"/>
                <w:sz w:val="24"/>
                <w:szCs w:val="24"/>
              </w:rPr>
            </w:pPr>
            <w:r w:rsidRPr="00C4388F">
              <w:rPr>
                <w:rFonts w:ascii="宋体" w:eastAsia="宋体" w:hAnsi="宋体" w:hint="eastAsia"/>
                <w:color w:val="000000"/>
                <w:sz w:val="24"/>
                <w:szCs w:val="24"/>
              </w:rPr>
              <w:t>国泰国证信息技术创新主题交易型开放式指数证券投资基金</w:t>
            </w:r>
          </w:p>
        </w:tc>
        <w:tc>
          <w:tcPr>
            <w:tcW w:w="2319"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信创</w:t>
            </w:r>
            <w:r w:rsidRPr="00C4388F">
              <w:rPr>
                <w:rFonts w:ascii="Times New Roman" w:eastAsia="宋体" w:hAnsi="Times New Roman" w:hint="eastAsia"/>
                <w:color w:val="000000"/>
                <w:sz w:val="24"/>
                <w:szCs w:val="24"/>
              </w:rPr>
              <w:t>ETF</w:t>
            </w:r>
          </w:p>
        </w:tc>
        <w:tc>
          <w:tcPr>
            <w:tcW w:w="2878" w:type="dxa"/>
            <w:vAlign w:val="center"/>
          </w:tcPr>
          <w:p w:rsidR="00C4388F" w:rsidRPr="00C4388F" w:rsidRDefault="00C4388F" w:rsidP="00C4388F">
            <w:pPr>
              <w:jc w:val="center"/>
              <w:rPr>
                <w:rFonts w:ascii="宋体" w:eastAsia="宋体" w:hAnsi="宋体"/>
                <w:color w:val="000000"/>
                <w:sz w:val="24"/>
                <w:szCs w:val="24"/>
              </w:rPr>
            </w:pPr>
            <w:r w:rsidRPr="00C4388F">
              <w:rPr>
                <w:rFonts w:ascii="宋体" w:eastAsia="宋体" w:hAnsi="宋体" w:hint="eastAsia"/>
                <w:color w:val="000000"/>
                <w:sz w:val="24"/>
                <w:szCs w:val="24"/>
              </w:rPr>
              <w:t>信创</w:t>
            </w:r>
            <w:r w:rsidRPr="00C4388F">
              <w:rPr>
                <w:rFonts w:ascii="Times New Roman" w:eastAsia="宋体" w:hAnsi="Times New Roman" w:hint="eastAsia"/>
                <w:color w:val="000000"/>
                <w:sz w:val="24"/>
                <w:szCs w:val="24"/>
              </w:rPr>
              <w:t>ETF</w:t>
            </w:r>
            <w:r w:rsidRPr="00C4388F">
              <w:rPr>
                <w:rFonts w:ascii="宋体" w:eastAsia="宋体" w:hAnsi="宋体" w:hint="eastAsia"/>
                <w:color w:val="000000"/>
                <w:sz w:val="24"/>
                <w:szCs w:val="24"/>
              </w:rPr>
              <w:t>国泰</w:t>
            </w:r>
          </w:p>
        </w:tc>
      </w:tr>
    </w:tbl>
    <w:p w:rsidR="009B69D7" w:rsidRPr="009B69D7" w:rsidRDefault="00D164FD" w:rsidP="009B69D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w:t>
      </w:r>
      <w:r w:rsidR="009B69D7" w:rsidRPr="009B69D7">
        <w:rPr>
          <w:rFonts w:ascii="Times New Roman" w:eastAsia="宋体" w:hAnsi="Times New Roman" w:cs="Times New Roman" w:hint="eastAsia"/>
          <w:sz w:val="24"/>
          <w:szCs w:val="24"/>
        </w:rPr>
        <w:t>变更</w:t>
      </w:r>
      <w:r>
        <w:rPr>
          <w:rFonts w:ascii="Times New Roman" w:eastAsia="宋体" w:hAnsi="Times New Roman" w:cs="Times New Roman" w:hint="eastAsia"/>
          <w:sz w:val="24"/>
          <w:szCs w:val="24"/>
        </w:rPr>
        <w:t>上述</w:t>
      </w:r>
      <w:r w:rsidR="009B69D7" w:rsidRPr="009B69D7">
        <w:rPr>
          <w:rFonts w:ascii="Times New Roman" w:eastAsia="宋体" w:hAnsi="Times New Roman" w:cs="Times New Roman" w:hint="eastAsia"/>
          <w:sz w:val="24"/>
          <w:szCs w:val="24"/>
        </w:rPr>
        <w:t>简称对基金份额持有人利益无实质性不利影响，且不涉及基金合同当事人权利义务关系发生变化，不需要召开基金份额持有人大会。</w:t>
      </w:r>
    </w:p>
    <w:p w:rsidR="009B69D7" w:rsidRPr="009B69D7" w:rsidRDefault="009B69D7" w:rsidP="009B69D7">
      <w:pPr>
        <w:spacing w:line="360" w:lineRule="auto"/>
        <w:ind w:firstLineChars="200" w:firstLine="480"/>
        <w:rPr>
          <w:rFonts w:ascii="Times New Roman" w:eastAsia="宋体" w:hAnsi="Times New Roman" w:cs="Times New Roman"/>
          <w:sz w:val="24"/>
          <w:szCs w:val="24"/>
        </w:rPr>
      </w:pPr>
      <w:r w:rsidRPr="009B69D7">
        <w:rPr>
          <w:rFonts w:ascii="Times New Roman" w:eastAsia="宋体" w:hAnsi="Times New Roman" w:cs="Times New Roman" w:hint="eastAsia"/>
          <w:sz w:val="24"/>
          <w:szCs w:val="24"/>
        </w:rPr>
        <w:t>投资人可访问本公司网站（</w:t>
      </w:r>
      <w:r w:rsidRPr="00C4388F">
        <w:rPr>
          <w:rFonts w:ascii="Times New Roman" w:eastAsia="宋体" w:hAnsi="Times New Roman" w:cs="Times New Roman" w:hint="eastAsia"/>
          <w:sz w:val="24"/>
          <w:szCs w:val="24"/>
        </w:rPr>
        <w:t>www</w:t>
      </w:r>
      <w:r w:rsidRPr="009B69D7">
        <w:rPr>
          <w:rFonts w:ascii="Times New Roman" w:eastAsia="宋体" w:hAnsi="Times New Roman" w:cs="Times New Roman" w:hint="eastAsia"/>
          <w:sz w:val="24"/>
          <w:szCs w:val="24"/>
        </w:rPr>
        <w:t>.</w:t>
      </w:r>
      <w:r w:rsidRPr="00C4388F">
        <w:rPr>
          <w:rFonts w:ascii="Times New Roman" w:eastAsia="宋体" w:hAnsi="Times New Roman" w:cs="Times New Roman" w:hint="eastAsia"/>
          <w:sz w:val="24"/>
          <w:szCs w:val="24"/>
        </w:rPr>
        <w:t>gtfund</w:t>
      </w:r>
      <w:r w:rsidRPr="009B69D7">
        <w:rPr>
          <w:rFonts w:ascii="Times New Roman" w:eastAsia="宋体" w:hAnsi="Times New Roman" w:cs="Times New Roman" w:hint="eastAsia"/>
          <w:sz w:val="24"/>
          <w:szCs w:val="24"/>
        </w:rPr>
        <w:t>.</w:t>
      </w:r>
      <w:r w:rsidRPr="00C4388F">
        <w:rPr>
          <w:rFonts w:ascii="Times New Roman" w:eastAsia="宋体" w:hAnsi="Times New Roman" w:cs="Times New Roman" w:hint="eastAsia"/>
          <w:sz w:val="24"/>
          <w:szCs w:val="24"/>
        </w:rPr>
        <w:t>com</w:t>
      </w:r>
      <w:r w:rsidRPr="009B69D7">
        <w:rPr>
          <w:rFonts w:ascii="Times New Roman" w:eastAsia="宋体" w:hAnsi="Times New Roman" w:cs="Times New Roman" w:hint="eastAsia"/>
          <w:sz w:val="24"/>
          <w:szCs w:val="24"/>
        </w:rPr>
        <w:t>）或拨打全国免长途话费的客户服务电话（</w:t>
      </w:r>
      <w:r w:rsidRPr="00C4388F">
        <w:rPr>
          <w:rFonts w:ascii="Times New Roman" w:eastAsia="宋体" w:hAnsi="Times New Roman" w:cs="Times New Roman" w:hint="eastAsia"/>
          <w:sz w:val="24"/>
          <w:szCs w:val="24"/>
        </w:rPr>
        <w:t>400</w:t>
      </w:r>
      <w:r w:rsidRPr="009B69D7">
        <w:rPr>
          <w:rFonts w:ascii="Times New Roman" w:eastAsia="宋体" w:hAnsi="Times New Roman" w:cs="Times New Roman" w:hint="eastAsia"/>
          <w:sz w:val="24"/>
          <w:szCs w:val="24"/>
        </w:rPr>
        <w:t>-</w:t>
      </w:r>
      <w:r w:rsidRPr="00C4388F">
        <w:rPr>
          <w:rFonts w:ascii="Times New Roman" w:eastAsia="宋体" w:hAnsi="Times New Roman" w:cs="Times New Roman" w:hint="eastAsia"/>
          <w:sz w:val="24"/>
          <w:szCs w:val="24"/>
        </w:rPr>
        <w:t>888</w:t>
      </w:r>
      <w:r w:rsidRPr="009B69D7">
        <w:rPr>
          <w:rFonts w:ascii="Times New Roman" w:eastAsia="宋体" w:hAnsi="Times New Roman" w:cs="Times New Roman" w:hint="eastAsia"/>
          <w:sz w:val="24"/>
          <w:szCs w:val="24"/>
        </w:rPr>
        <w:t>-</w:t>
      </w:r>
      <w:r w:rsidRPr="00C4388F">
        <w:rPr>
          <w:rFonts w:ascii="Times New Roman" w:eastAsia="宋体" w:hAnsi="Times New Roman" w:cs="Times New Roman" w:hint="eastAsia"/>
          <w:sz w:val="24"/>
          <w:szCs w:val="24"/>
        </w:rPr>
        <w:t>8688</w:t>
      </w:r>
      <w:r w:rsidRPr="009B69D7">
        <w:rPr>
          <w:rFonts w:ascii="Times New Roman" w:eastAsia="宋体" w:hAnsi="Times New Roman" w:cs="Times New Roman" w:hint="eastAsia"/>
          <w:sz w:val="24"/>
          <w:szCs w:val="24"/>
        </w:rPr>
        <w:t>）咨询相关情况。</w:t>
      </w:r>
    </w:p>
    <w:p w:rsidR="009B69D7" w:rsidRPr="009B69D7" w:rsidRDefault="009B69D7" w:rsidP="009B69D7">
      <w:pPr>
        <w:spacing w:line="360" w:lineRule="auto"/>
        <w:ind w:firstLineChars="200" w:firstLine="480"/>
        <w:rPr>
          <w:rFonts w:ascii="Times New Roman" w:eastAsia="宋体" w:hAnsi="Times New Roman" w:cs="Times New Roman"/>
          <w:sz w:val="24"/>
          <w:szCs w:val="24"/>
        </w:rPr>
      </w:pPr>
    </w:p>
    <w:p w:rsidR="009B69D7" w:rsidRPr="009B69D7" w:rsidRDefault="009B69D7" w:rsidP="009B69D7">
      <w:pPr>
        <w:spacing w:line="360" w:lineRule="auto"/>
        <w:ind w:firstLineChars="200" w:firstLine="480"/>
        <w:rPr>
          <w:rFonts w:ascii="Times New Roman" w:eastAsia="宋体" w:hAnsi="Times New Roman" w:cs="Times New Roman"/>
          <w:sz w:val="24"/>
          <w:szCs w:val="24"/>
        </w:rPr>
      </w:pPr>
      <w:r w:rsidRPr="009B69D7">
        <w:rPr>
          <w:rFonts w:ascii="Times New Roman" w:eastAsia="宋体" w:hAnsi="Times New Roman" w:cs="Times New Roman" w:hint="eastAsia"/>
          <w:sz w:val="24"/>
          <w:szCs w:val="24"/>
        </w:rPr>
        <w:t>风险提示：基金管理人承诺以诚实信用、勤勉尽责的原则管理和运用基金资产，但不保证基金一定盈利，也不保证最低收益。投资者投资于基金管理人管理的基金时应认真阅读基金相关法律文件，了解基金产品的详细情况，选择与自己风险识别能力和风险承受能力相匹配的基金，并注意投资风险。</w:t>
      </w:r>
    </w:p>
    <w:p w:rsidR="009B69D7" w:rsidRPr="009B69D7" w:rsidRDefault="009B69D7" w:rsidP="009B69D7">
      <w:pPr>
        <w:spacing w:line="360" w:lineRule="auto"/>
        <w:ind w:firstLineChars="200" w:firstLine="480"/>
        <w:rPr>
          <w:rFonts w:ascii="Times New Roman" w:eastAsia="宋体" w:hAnsi="Times New Roman" w:cs="Times New Roman"/>
          <w:sz w:val="24"/>
          <w:szCs w:val="24"/>
        </w:rPr>
      </w:pPr>
    </w:p>
    <w:p w:rsidR="009B69D7" w:rsidRPr="009B69D7" w:rsidRDefault="009B69D7" w:rsidP="009B69D7">
      <w:pPr>
        <w:spacing w:line="360" w:lineRule="auto"/>
        <w:ind w:firstLineChars="200" w:firstLine="480"/>
        <w:rPr>
          <w:rFonts w:ascii="Times New Roman" w:eastAsia="宋体" w:hAnsi="Times New Roman" w:cs="Times New Roman"/>
          <w:sz w:val="24"/>
          <w:szCs w:val="24"/>
        </w:rPr>
      </w:pPr>
      <w:r w:rsidRPr="009B69D7">
        <w:rPr>
          <w:rFonts w:ascii="Times New Roman" w:eastAsia="宋体" w:hAnsi="Times New Roman" w:cs="Times New Roman" w:hint="eastAsia"/>
          <w:sz w:val="24"/>
          <w:szCs w:val="24"/>
        </w:rPr>
        <w:t>特此公告。</w:t>
      </w:r>
    </w:p>
    <w:p w:rsidR="009B69D7" w:rsidRPr="009B69D7" w:rsidRDefault="009B69D7" w:rsidP="009B69D7">
      <w:pPr>
        <w:spacing w:line="360" w:lineRule="auto"/>
        <w:ind w:firstLineChars="200" w:firstLine="480"/>
        <w:rPr>
          <w:rFonts w:ascii="Times New Roman" w:eastAsia="宋体" w:hAnsi="Times New Roman" w:cs="Times New Roman"/>
          <w:sz w:val="24"/>
          <w:szCs w:val="24"/>
        </w:rPr>
      </w:pPr>
    </w:p>
    <w:p w:rsidR="009B69D7" w:rsidRPr="009B69D7" w:rsidRDefault="009B69D7" w:rsidP="009B69D7">
      <w:pPr>
        <w:spacing w:line="360" w:lineRule="auto"/>
        <w:ind w:firstLineChars="200" w:firstLine="480"/>
        <w:rPr>
          <w:rFonts w:ascii="Times New Roman" w:eastAsia="宋体" w:hAnsi="Times New Roman" w:cs="Times New Roman"/>
          <w:sz w:val="24"/>
          <w:szCs w:val="24"/>
        </w:rPr>
      </w:pPr>
    </w:p>
    <w:p w:rsidR="009B69D7" w:rsidRPr="009B69D7" w:rsidRDefault="009B69D7" w:rsidP="009B69D7">
      <w:pPr>
        <w:spacing w:line="360" w:lineRule="auto"/>
        <w:ind w:firstLineChars="200" w:firstLine="480"/>
        <w:jc w:val="right"/>
        <w:rPr>
          <w:rFonts w:ascii="Times New Roman" w:eastAsia="宋体" w:hAnsi="Times New Roman" w:cs="Times New Roman"/>
          <w:sz w:val="24"/>
          <w:szCs w:val="24"/>
        </w:rPr>
      </w:pPr>
      <w:r w:rsidRPr="009B69D7">
        <w:rPr>
          <w:rFonts w:ascii="Times New Roman" w:eastAsia="宋体" w:hAnsi="Times New Roman" w:cs="Times New Roman"/>
          <w:sz w:val="24"/>
          <w:szCs w:val="24"/>
        </w:rPr>
        <w:t>国泰基金管理有限公司</w:t>
      </w:r>
    </w:p>
    <w:p w:rsidR="000C5A2C" w:rsidRDefault="009B69D7" w:rsidP="009B69D7">
      <w:pPr>
        <w:ind w:firstLineChars="2600" w:firstLine="6240"/>
      </w:pPr>
      <w:r w:rsidRPr="00C4388F">
        <w:rPr>
          <w:rFonts w:ascii="Times New Roman" w:eastAsia="宋体" w:hAnsi="Times New Roman" w:cs="Times New Roman" w:hint="eastAsia"/>
          <w:sz w:val="24"/>
          <w:szCs w:val="24"/>
        </w:rPr>
        <w:t>20</w:t>
      </w:r>
      <w:r w:rsidR="008D46CA" w:rsidRPr="00C4388F">
        <w:rPr>
          <w:rFonts w:ascii="Times New Roman" w:eastAsia="宋体" w:hAnsi="Times New Roman" w:cs="Times New Roman"/>
          <w:sz w:val="24"/>
          <w:szCs w:val="24"/>
        </w:rPr>
        <w:t>26</w:t>
      </w:r>
      <w:r w:rsidRPr="009B69D7">
        <w:rPr>
          <w:rFonts w:ascii="Times New Roman" w:eastAsia="宋体" w:hAnsi="Times New Roman" w:cs="Times New Roman" w:hint="eastAsia"/>
          <w:sz w:val="24"/>
          <w:szCs w:val="24"/>
        </w:rPr>
        <w:t>年</w:t>
      </w:r>
      <w:r w:rsidR="00C4388F" w:rsidRPr="00C4388F">
        <w:rPr>
          <w:rFonts w:ascii="Times New Roman" w:eastAsia="宋体" w:hAnsi="Times New Roman" w:cs="Times New Roman"/>
          <w:sz w:val="24"/>
          <w:szCs w:val="24"/>
        </w:rPr>
        <w:t>3</w:t>
      </w:r>
      <w:r w:rsidRPr="009B69D7">
        <w:rPr>
          <w:rFonts w:ascii="Times New Roman" w:eastAsia="宋体" w:hAnsi="Times New Roman" w:cs="Times New Roman" w:hint="eastAsia"/>
          <w:sz w:val="24"/>
          <w:szCs w:val="24"/>
        </w:rPr>
        <w:t>月</w:t>
      </w:r>
      <w:r w:rsidR="00C4388F" w:rsidRPr="00C4388F">
        <w:rPr>
          <w:rFonts w:ascii="Times New Roman" w:eastAsia="宋体" w:hAnsi="Times New Roman" w:cs="Times New Roman"/>
          <w:sz w:val="24"/>
          <w:szCs w:val="24"/>
        </w:rPr>
        <w:t>19</w:t>
      </w:r>
      <w:r w:rsidR="00132EB8">
        <w:rPr>
          <w:rFonts w:ascii="Times New Roman" w:eastAsia="宋体" w:hAnsi="Times New Roman" w:cs="Times New Roman" w:hint="eastAsia"/>
          <w:sz w:val="24"/>
          <w:szCs w:val="24"/>
        </w:rPr>
        <w:t>日</w:t>
      </w:r>
    </w:p>
    <w:sectPr w:rsidR="000C5A2C" w:rsidSect="00704E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270" w:rsidRDefault="00580270" w:rsidP="00132EB8">
      <w:r>
        <w:separator/>
      </w:r>
    </w:p>
  </w:endnote>
  <w:endnote w:type="continuationSeparator" w:id="0">
    <w:p w:rsidR="00580270" w:rsidRDefault="00580270" w:rsidP="00132EB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270" w:rsidRDefault="00580270" w:rsidP="00132EB8">
      <w:r>
        <w:separator/>
      </w:r>
    </w:p>
  </w:footnote>
  <w:footnote w:type="continuationSeparator" w:id="0">
    <w:p w:rsidR="00580270" w:rsidRDefault="00580270" w:rsidP="00132E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69D7"/>
    <w:rsid w:val="000C5A2C"/>
    <w:rsid w:val="00132EB8"/>
    <w:rsid w:val="00141621"/>
    <w:rsid w:val="001A7661"/>
    <w:rsid w:val="00202E21"/>
    <w:rsid w:val="003073EE"/>
    <w:rsid w:val="003247AD"/>
    <w:rsid w:val="00383D73"/>
    <w:rsid w:val="00580270"/>
    <w:rsid w:val="005F16E1"/>
    <w:rsid w:val="005F3380"/>
    <w:rsid w:val="00704ED6"/>
    <w:rsid w:val="00762C4F"/>
    <w:rsid w:val="007C361D"/>
    <w:rsid w:val="008265E1"/>
    <w:rsid w:val="00832C75"/>
    <w:rsid w:val="00832D25"/>
    <w:rsid w:val="008D46CA"/>
    <w:rsid w:val="00917415"/>
    <w:rsid w:val="009B69D7"/>
    <w:rsid w:val="00A12762"/>
    <w:rsid w:val="00C266B2"/>
    <w:rsid w:val="00C4388F"/>
    <w:rsid w:val="00D164FD"/>
    <w:rsid w:val="00D26C7E"/>
    <w:rsid w:val="00D941AD"/>
    <w:rsid w:val="00F8623C"/>
    <w:rsid w:val="00FF30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6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32E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32EB8"/>
    <w:rPr>
      <w:sz w:val="18"/>
      <w:szCs w:val="18"/>
    </w:rPr>
  </w:style>
  <w:style w:type="paragraph" w:styleId="a5">
    <w:name w:val="footer"/>
    <w:basedOn w:val="a"/>
    <w:link w:val="Char0"/>
    <w:uiPriority w:val="99"/>
    <w:unhideWhenUsed/>
    <w:rsid w:val="00132EB8"/>
    <w:pPr>
      <w:tabs>
        <w:tab w:val="center" w:pos="4153"/>
        <w:tab w:val="right" w:pos="8306"/>
      </w:tabs>
      <w:snapToGrid w:val="0"/>
      <w:jc w:val="left"/>
    </w:pPr>
    <w:rPr>
      <w:sz w:val="18"/>
      <w:szCs w:val="18"/>
    </w:rPr>
  </w:style>
  <w:style w:type="character" w:customStyle="1" w:styleId="Char0">
    <w:name w:val="页脚 Char"/>
    <w:basedOn w:val="a0"/>
    <w:link w:val="a5"/>
    <w:uiPriority w:val="99"/>
    <w:rsid w:val="00132EB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1009</Characters>
  <Application>Microsoft Office Word</Application>
  <DocSecurity>4</DocSecurity>
  <Lines>8</Lines>
  <Paragraphs>2</Paragraphs>
  <ScaleCrop>false</ScaleCrop>
  <Company/>
  <LinksUpToDate>false</LinksUpToDate>
  <CharactersWithSpaces>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段百川</dc:creator>
  <cp:keywords/>
  <dc:description/>
  <cp:lastModifiedBy>ZHONGM</cp:lastModifiedBy>
  <cp:revision>2</cp:revision>
  <dcterms:created xsi:type="dcterms:W3CDTF">2026-03-18T16:00:00Z</dcterms:created>
  <dcterms:modified xsi:type="dcterms:W3CDTF">2026-03-18T16:00:00Z</dcterms:modified>
</cp:coreProperties>
</file>