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4693A" w:rsidRDefault="00D4693A">
      <w:pPr>
        <w:pStyle w:val="XBRL2"/>
        <w:spacing w:before="156"/>
        <w:rPr>
          <w:lang w:eastAsia="zh-CN"/>
        </w:rPr>
      </w:pPr>
      <w:bookmarkStart w:id="0" w:name="_Toc348410291"/>
      <w:bookmarkEnd w:id="0"/>
      <w:r>
        <w:rPr>
          <w:lang w:eastAsia="zh-CN"/>
        </w:rPr>
        <w:t xml:space="preserve">　</w:t>
      </w:r>
      <w:r>
        <w:rPr>
          <w:lang w:eastAsia="zh-CN"/>
        </w:rPr>
        <w:t xml:space="preserve"> </w:t>
      </w:r>
    </w:p>
    <w:p w:rsidR="00D4693A" w:rsidRDefault="00D4693A">
      <w:pPr>
        <w:jc w:val="center"/>
      </w:pPr>
      <w:r>
        <w:rPr>
          <w:rFonts w:cs="Times New Roman" w:hint="eastAsia"/>
          <w:b/>
          <w:color w:val="000000"/>
          <w:sz w:val="48"/>
          <w:szCs w:val="48"/>
        </w:rPr>
        <w:t>华商丰利增强定期开放债券型证券投资基金第</w:t>
      </w:r>
      <w:r w:rsidR="00B00D32">
        <w:rPr>
          <w:rFonts w:cs="Times New Roman" w:hint="eastAsia"/>
          <w:b/>
          <w:color w:val="000000"/>
          <w:sz w:val="48"/>
          <w:szCs w:val="48"/>
        </w:rPr>
        <w:t>九</w:t>
      </w:r>
      <w:r>
        <w:rPr>
          <w:rFonts w:cs="Times New Roman" w:hint="eastAsia"/>
          <w:b/>
          <w:color w:val="000000"/>
          <w:sz w:val="48"/>
          <w:szCs w:val="48"/>
        </w:rPr>
        <w:t>次开放申购、赎回、转换业务公告</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rFonts w:hint="eastAsia"/>
          <w:sz w:val="24"/>
          <w:szCs w:val="30"/>
        </w:rPr>
      </w:pPr>
      <w:r>
        <w:rPr>
          <w:rFonts w:hint="eastAsia"/>
          <w:sz w:val="24"/>
          <w:szCs w:val="30"/>
        </w:rPr>
        <w:t xml:space="preserve">　 </w:t>
      </w:r>
    </w:p>
    <w:p w:rsidR="00D4693A" w:rsidRDefault="00D4693A">
      <w:pPr>
        <w:spacing w:line="360" w:lineRule="auto"/>
        <w:jc w:val="center"/>
        <w:divId w:val="302270584"/>
        <w:rPr>
          <w:sz w:val="24"/>
          <w:szCs w:val="30"/>
        </w:rPr>
      </w:pPr>
      <w:r>
        <w:rPr>
          <w:rFonts w:hint="eastAsia"/>
          <w:sz w:val="24"/>
          <w:szCs w:val="30"/>
        </w:rPr>
        <w:t xml:space="preserve">　 </w:t>
      </w: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sz w:val="24"/>
          <w:szCs w:val="30"/>
        </w:rPr>
      </w:pPr>
    </w:p>
    <w:p w:rsidR="00FF445A" w:rsidRDefault="00FF445A">
      <w:pPr>
        <w:spacing w:line="360" w:lineRule="auto"/>
        <w:jc w:val="center"/>
        <w:divId w:val="302270584"/>
        <w:rPr>
          <w:rFonts w:hint="eastAsia"/>
          <w:sz w:val="24"/>
          <w:szCs w:val="30"/>
        </w:rPr>
      </w:pPr>
    </w:p>
    <w:p w:rsidR="00D4693A" w:rsidRDefault="00D4693A">
      <w:pPr>
        <w:spacing w:line="360" w:lineRule="auto"/>
        <w:jc w:val="center"/>
        <w:rPr>
          <w:rFonts w:hint="eastAsia"/>
        </w:rPr>
      </w:pPr>
      <w:r>
        <w:rPr>
          <w:rFonts w:hint="eastAsia"/>
          <w:b/>
          <w:bCs/>
          <w:sz w:val="24"/>
          <w:szCs w:val="30"/>
        </w:rPr>
        <w:t>公告送出日期：</w:t>
      </w:r>
      <w:r w:rsidR="00B00D32">
        <w:rPr>
          <w:rFonts w:hint="eastAsia"/>
          <w:b/>
          <w:bCs/>
          <w:sz w:val="24"/>
          <w:szCs w:val="30"/>
        </w:rPr>
        <w:t>202</w:t>
      </w:r>
      <w:r w:rsidR="00B00D32">
        <w:rPr>
          <w:b/>
          <w:bCs/>
          <w:sz w:val="24"/>
          <w:szCs w:val="30"/>
        </w:rPr>
        <w:t>6</w:t>
      </w:r>
      <w:r>
        <w:rPr>
          <w:rFonts w:hint="eastAsia"/>
          <w:b/>
          <w:bCs/>
          <w:sz w:val="24"/>
          <w:szCs w:val="30"/>
        </w:rPr>
        <w:t>年</w:t>
      </w:r>
      <w:r w:rsidR="009D60DA">
        <w:rPr>
          <w:b/>
          <w:bCs/>
          <w:sz w:val="24"/>
          <w:szCs w:val="30"/>
        </w:rPr>
        <w:t>3</w:t>
      </w:r>
      <w:r>
        <w:rPr>
          <w:rFonts w:hint="eastAsia"/>
          <w:b/>
          <w:bCs/>
          <w:sz w:val="24"/>
          <w:szCs w:val="30"/>
        </w:rPr>
        <w:t>月</w:t>
      </w:r>
      <w:r w:rsidR="009D60DA">
        <w:rPr>
          <w:b/>
          <w:bCs/>
          <w:sz w:val="24"/>
          <w:szCs w:val="30"/>
        </w:rPr>
        <w:t>13</w:t>
      </w:r>
      <w:r>
        <w:rPr>
          <w:rFonts w:hint="eastAsia"/>
          <w:b/>
          <w:bCs/>
          <w:sz w:val="24"/>
          <w:szCs w:val="30"/>
        </w:rPr>
        <w:t>日</w:t>
      </w:r>
    </w:p>
    <w:p w:rsidR="00D4693A" w:rsidRDefault="00D4693A">
      <w:pPr>
        <w:pStyle w:val="XBRLTitle1"/>
        <w:spacing w:before="156" w:line="360" w:lineRule="auto"/>
        <w:rPr>
          <w:rFonts w:hint="eastAsia"/>
        </w:rPr>
      </w:pPr>
      <w:r>
        <w:rPr>
          <w:rFonts w:hint="eastAsia"/>
          <w:color w:val="404040"/>
          <w:kern w:val="0"/>
        </w:rPr>
        <w:br w:type="page"/>
      </w:r>
      <w:bookmarkStart w:id="1" w:name="_Toc34758519"/>
      <w:bookmarkStart w:id="2" w:name="_Toc513295892"/>
      <w:bookmarkStart w:id="3" w:name="_Toc513295846"/>
      <w:bookmarkStart w:id="4" w:name="_Toc490050000"/>
      <w:bookmarkStart w:id="5" w:name="_Toc438646451"/>
      <w:bookmarkStart w:id="6" w:name="_Toc481075046"/>
      <w:bookmarkStart w:id="7" w:name="_Toc512519480"/>
      <w:bookmarkStart w:id="8" w:name="_Toc17897936"/>
      <w:bookmarkStart w:id="9" w:name="_Toc17898178"/>
      <w:bookmarkStart w:id="10" w:name="_Toc34841028"/>
      <w:bookmarkStart w:id="11" w:name="m101"/>
      <w:bookmarkStart w:id="12" w:name="m01_01"/>
      <w:bookmarkStart w:id="13" w:name="_Toc194311890"/>
      <w:r>
        <w:rPr>
          <w:rFonts w:hAnsi="宋体" w:hint="eastAsia"/>
        </w:rPr>
        <w:lastRenderedPageBreak/>
        <w:t>公告基本信息</w:t>
      </w:r>
      <w:bookmarkEnd w:id="1"/>
      <w:bookmarkEnd w:id="2"/>
      <w:bookmarkEnd w:id="3"/>
      <w:bookmarkEnd w:id="4"/>
      <w:bookmarkEnd w:id="5"/>
      <w:bookmarkEnd w:id="6"/>
      <w:bookmarkEnd w:id="7"/>
      <w:bookmarkEnd w:id="8"/>
      <w:bookmarkEnd w:id="9"/>
      <w:bookmarkEnd w:id="10"/>
      <w:r>
        <w:rPr>
          <w:rFonts w:hAnsi="宋体" w:hint="eastAsia"/>
          <w:szCs w:val="44"/>
        </w:rPr>
        <w:t xml:space="preserve"> </w:t>
      </w:r>
    </w:p>
    <w:tbl>
      <w:tblPr>
        <w:tblW w:w="8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0"/>
        <w:gridCol w:w="2840"/>
        <w:gridCol w:w="2840"/>
      </w:tblGrid>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rsidP="005B75EA">
            <w:pPr>
              <w:rPr>
                <w:rFonts w:hint="eastAsia"/>
              </w:rPr>
            </w:pPr>
            <w:r w:rsidRPr="005B75EA">
              <w:rPr>
                <w:rFonts w:hint="eastAsia"/>
              </w:rPr>
              <w:t xml:space="preserve">基金名称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华商丰利增强定期开放债券型证券投资基金</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基金简称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华商丰利增强定期开放债券</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基金主代码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003092</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基金运作方式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契约型定期开放式</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基金合同生效日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2016年9月20日</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基金管理人名称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华商基金管理有限公司</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基金托管人名称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中国工商银行股份有限公司</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基金注册登记机构名称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华商基金管理有限公司</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公告依据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中华人民共和国证券投资基金法》、《公开募集证券投资基金销售机构监督管理办法》、《公开募集证券投资基金运作管理办法》、《公开募集证券投资基金信息披露管理办法》及其他有关法律法规以及本基金相关法律文件等。</w:t>
            </w:r>
          </w:p>
        </w:tc>
      </w:tr>
      <w:tr w:rsidR="00D4693A" w:rsidRPr="005B75EA" w:rsidTr="00B00D32">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hint="eastAsia"/>
              </w:rPr>
              <w:t xml:space="preserve">申购起始日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B00D32" w:rsidP="009D60DA">
            <w:pPr>
              <w:rPr>
                <w:rFonts w:hint="eastAsia"/>
              </w:rPr>
            </w:pPr>
            <w:r w:rsidRPr="005B75EA">
              <w:rPr>
                <w:rFonts w:hint="eastAsia"/>
              </w:rPr>
              <w:t>202</w:t>
            </w:r>
            <w:r>
              <w:t>6</w:t>
            </w:r>
            <w:r w:rsidR="00D4693A" w:rsidRPr="005B75EA">
              <w:rPr>
                <w:rFonts w:hint="eastAsia"/>
              </w:rPr>
              <w:t>年</w:t>
            </w:r>
            <w:r w:rsidR="009D60DA">
              <w:t>3</w:t>
            </w:r>
            <w:r w:rsidR="00D4693A" w:rsidRPr="005B75EA">
              <w:rPr>
                <w:rFonts w:hint="eastAsia"/>
              </w:rPr>
              <w:t>月</w:t>
            </w:r>
            <w:r w:rsidR="009D60DA">
              <w:t>16</w:t>
            </w:r>
            <w:r w:rsidR="00D4693A" w:rsidRPr="005B75EA">
              <w:rPr>
                <w:rFonts w:hint="eastAsia"/>
              </w:rPr>
              <w:t>日</w:t>
            </w:r>
          </w:p>
        </w:tc>
      </w:tr>
      <w:tr w:rsidR="009D60DA" w:rsidRPr="005B75EA" w:rsidTr="002B7D5B">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D60DA" w:rsidRDefault="009D60DA" w:rsidP="009D60DA">
            <w:pPr>
              <w:rPr>
                <w:rFonts w:hint="eastAsia"/>
              </w:rPr>
            </w:pPr>
            <w:r w:rsidRPr="005B75EA">
              <w:rPr>
                <w:rFonts w:hint="eastAsia"/>
              </w:rPr>
              <w:t xml:space="preserve">赎回起始日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D60DA" w:rsidRDefault="009D60DA" w:rsidP="009D60DA">
            <w:pPr>
              <w:rPr>
                <w:rFonts w:hint="eastAsia"/>
              </w:rPr>
            </w:pPr>
            <w:r w:rsidRPr="004E197F">
              <w:rPr>
                <w:rFonts w:hint="eastAsia"/>
              </w:rPr>
              <w:t>202</w:t>
            </w:r>
            <w:r w:rsidRPr="004E197F">
              <w:t>6</w:t>
            </w:r>
            <w:r w:rsidRPr="004E197F">
              <w:rPr>
                <w:rFonts w:hint="eastAsia"/>
              </w:rPr>
              <w:t>年</w:t>
            </w:r>
            <w:r w:rsidRPr="004E197F">
              <w:t>3</w:t>
            </w:r>
            <w:r w:rsidRPr="004E197F">
              <w:rPr>
                <w:rFonts w:hint="eastAsia"/>
              </w:rPr>
              <w:t>月</w:t>
            </w:r>
            <w:r w:rsidRPr="004E197F">
              <w:t>16</w:t>
            </w:r>
            <w:r w:rsidRPr="004E197F">
              <w:rPr>
                <w:rFonts w:hint="eastAsia"/>
              </w:rPr>
              <w:t>日</w:t>
            </w:r>
          </w:p>
        </w:tc>
      </w:tr>
      <w:tr w:rsidR="009D60DA" w:rsidRPr="005B75EA" w:rsidTr="002B7D5B">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D60DA" w:rsidRDefault="009D60DA" w:rsidP="009D60DA">
            <w:pPr>
              <w:rPr>
                <w:rFonts w:hint="eastAsia"/>
              </w:rPr>
            </w:pPr>
            <w:r w:rsidRPr="005B75EA">
              <w:rPr>
                <w:rFonts w:hint="eastAsia"/>
              </w:rPr>
              <w:t xml:space="preserve">转换转入起始日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D60DA" w:rsidRDefault="009D60DA" w:rsidP="009D60DA">
            <w:pPr>
              <w:rPr>
                <w:rFonts w:hint="eastAsia"/>
              </w:rPr>
            </w:pPr>
            <w:r w:rsidRPr="004E197F">
              <w:rPr>
                <w:rFonts w:hint="eastAsia"/>
              </w:rPr>
              <w:t>202</w:t>
            </w:r>
            <w:r w:rsidRPr="004E197F">
              <w:t>6</w:t>
            </w:r>
            <w:r w:rsidRPr="004E197F">
              <w:rPr>
                <w:rFonts w:hint="eastAsia"/>
              </w:rPr>
              <w:t>年</w:t>
            </w:r>
            <w:r w:rsidRPr="004E197F">
              <w:t>3</w:t>
            </w:r>
            <w:r w:rsidRPr="004E197F">
              <w:rPr>
                <w:rFonts w:hint="eastAsia"/>
              </w:rPr>
              <w:t>月</w:t>
            </w:r>
            <w:r w:rsidRPr="004E197F">
              <w:t>16</w:t>
            </w:r>
            <w:r w:rsidRPr="004E197F">
              <w:rPr>
                <w:rFonts w:hint="eastAsia"/>
              </w:rPr>
              <w:t>日</w:t>
            </w:r>
          </w:p>
        </w:tc>
      </w:tr>
      <w:tr w:rsidR="009D60DA" w:rsidRPr="005B75EA" w:rsidTr="002B7D5B">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D60DA" w:rsidRDefault="009D60DA" w:rsidP="009D60DA">
            <w:pPr>
              <w:rPr>
                <w:rFonts w:hint="eastAsia"/>
              </w:rPr>
            </w:pPr>
            <w:r w:rsidRPr="005B75EA">
              <w:rPr>
                <w:rFonts w:hint="eastAsia"/>
              </w:rPr>
              <w:t xml:space="preserve">转换转出起始日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D60DA" w:rsidRDefault="009D60DA" w:rsidP="009D60DA">
            <w:pPr>
              <w:rPr>
                <w:rFonts w:hint="eastAsia"/>
              </w:rPr>
            </w:pPr>
            <w:r w:rsidRPr="004E197F">
              <w:rPr>
                <w:rFonts w:hint="eastAsia"/>
              </w:rPr>
              <w:t>202</w:t>
            </w:r>
            <w:r w:rsidRPr="004E197F">
              <w:t>6</w:t>
            </w:r>
            <w:r w:rsidRPr="004E197F">
              <w:rPr>
                <w:rFonts w:hint="eastAsia"/>
              </w:rPr>
              <w:t>年</w:t>
            </w:r>
            <w:r w:rsidRPr="004E197F">
              <w:t>3</w:t>
            </w:r>
            <w:r w:rsidRPr="004E197F">
              <w:rPr>
                <w:rFonts w:hint="eastAsia"/>
              </w:rPr>
              <w:t>月</w:t>
            </w:r>
            <w:r w:rsidRPr="004E197F">
              <w:t>16</w:t>
            </w:r>
            <w:r w:rsidRPr="004E197F">
              <w:rPr>
                <w:rFonts w:hint="eastAsia"/>
              </w:rPr>
              <w:t>日</w:t>
            </w:r>
          </w:p>
        </w:tc>
      </w:tr>
      <w:tr w:rsidR="00D4693A" w:rsidRPr="005B75EA" w:rsidTr="00B00D32">
        <w:tc>
          <w:tcPr>
            <w:tcW w:w="2840" w:type="dxa"/>
            <w:tcBorders>
              <w:top w:val="single" w:sz="4" w:space="0" w:color="000000"/>
              <w:left w:val="single" w:sz="4" w:space="0" w:color="000000"/>
              <w:bottom w:val="single" w:sz="4" w:space="0" w:color="000000"/>
              <w:right w:val="nil"/>
            </w:tcBorders>
            <w:shd w:val="clear" w:color="auto" w:fill="auto"/>
            <w:vAlign w:val="center"/>
            <w:hideMark/>
          </w:tcPr>
          <w:p w:rsidR="00D4693A" w:rsidRDefault="00D4693A">
            <w:pPr>
              <w:rPr>
                <w:rFonts w:hint="eastAsia"/>
              </w:rPr>
            </w:pPr>
            <w:r w:rsidRPr="005B75EA">
              <w:rPr>
                <w:rFonts w:ascii="Times New Roman" w:hAnsi="Times New Roman" w:hint="eastAsia"/>
              </w:rPr>
              <w:t>下属分级基金的基金简称</w:t>
            </w:r>
            <w:r>
              <w:rPr>
                <w:rFonts w:hint="eastAsia"/>
              </w:rPr>
              <w:t xml:space="preserve"> </w:t>
            </w:r>
          </w:p>
        </w:tc>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ascii="Times New Roman" w:hAnsi="Times New Roman" w:hint="eastAsia"/>
              </w:rPr>
              <w:t>华商丰利增强定期开放债券</w:t>
            </w:r>
            <w:r w:rsidRPr="005B75EA">
              <w:rPr>
                <w:rFonts w:ascii="Times New Roman" w:hAnsi="Times New Roman" w:hint="eastAsia"/>
              </w:rPr>
              <w:t>A</w:t>
            </w:r>
            <w:r>
              <w:rPr>
                <w:rFonts w:hint="eastAsia"/>
              </w:rPr>
              <w:t xml:space="preserve"> </w:t>
            </w:r>
          </w:p>
        </w:tc>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ascii="Times New Roman" w:hAnsi="Times New Roman" w:hint="eastAsia"/>
              </w:rPr>
              <w:t>华商丰利增强定期开放债券</w:t>
            </w:r>
            <w:r w:rsidRPr="005B75EA">
              <w:rPr>
                <w:rFonts w:ascii="Times New Roman" w:hAnsi="Times New Roman" w:hint="eastAsia"/>
              </w:rPr>
              <w:t>C</w:t>
            </w:r>
            <w:r>
              <w:rPr>
                <w:rFonts w:hint="eastAsia"/>
              </w:rPr>
              <w:t xml:space="preserve"> </w:t>
            </w:r>
          </w:p>
        </w:tc>
      </w:tr>
      <w:tr w:rsidR="00D4693A" w:rsidRPr="005B75EA" w:rsidTr="00B00D32">
        <w:tc>
          <w:tcPr>
            <w:tcW w:w="2840" w:type="dxa"/>
            <w:tcBorders>
              <w:top w:val="single" w:sz="4" w:space="0" w:color="000000"/>
              <w:left w:val="single" w:sz="4" w:space="0" w:color="000000"/>
              <w:bottom w:val="single" w:sz="4" w:space="0" w:color="000000"/>
              <w:right w:val="nil"/>
            </w:tcBorders>
            <w:shd w:val="clear" w:color="auto" w:fill="auto"/>
            <w:vAlign w:val="center"/>
            <w:hideMark/>
          </w:tcPr>
          <w:p w:rsidR="00D4693A" w:rsidRDefault="00D4693A">
            <w:pPr>
              <w:rPr>
                <w:rFonts w:hint="eastAsia"/>
              </w:rPr>
            </w:pPr>
            <w:r w:rsidRPr="005B75EA">
              <w:rPr>
                <w:rFonts w:ascii="Times New Roman" w:hAnsi="Times New Roman" w:hint="eastAsia"/>
              </w:rPr>
              <w:t>下属分级基金的交易代码</w:t>
            </w:r>
            <w:r>
              <w:rPr>
                <w:rFonts w:hint="eastAsia"/>
              </w:rPr>
              <w:t xml:space="preserve"> </w:t>
            </w:r>
          </w:p>
        </w:tc>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ascii="Times New Roman" w:hAnsi="Times New Roman" w:hint="eastAsia"/>
              </w:rPr>
              <w:t>003092</w:t>
            </w:r>
            <w:r>
              <w:rPr>
                <w:rFonts w:hint="eastAsia"/>
              </w:rPr>
              <w:t xml:space="preserve"> </w:t>
            </w:r>
          </w:p>
        </w:tc>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ascii="Times New Roman" w:hAnsi="Times New Roman" w:hint="eastAsia"/>
              </w:rPr>
              <w:t>003093</w:t>
            </w:r>
            <w:r>
              <w:rPr>
                <w:rFonts w:hint="eastAsia"/>
              </w:rPr>
              <w:t xml:space="preserve"> </w:t>
            </w:r>
          </w:p>
        </w:tc>
      </w:tr>
      <w:tr w:rsidR="00D4693A" w:rsidRPr="005B75EA" w:rsidTr="00B00D32">
        <w:tc>
          <w:tcPr>
            <w:tcW w:w="2840" w:type="dxa"/>
            <w:tcBorders>
              <w:top w:val="single" w:sz="4" w:space="0" w:color="000000"/>
              <w:left w:val="single" w:sz="4" w:space="0" w:color="000000"/>
              <w:bottom w:val="single" w:sz="4" w:space="0" w:color="000000"/>
              <w:right w:val="nil"/>
            </w:tcBorders>
            <w:shd w:val="clear" w:color="auto" w:fill="auto"/>
            <w:vAlign w:val="center"/>
            <w:hideMark/>
          </w:tcPr>
          <w:p w:rsidR="00D4693A" w:rsidRDefault="00D4693A" w:rsidP="001B0A9A">
            <w:pPr>
              <w:rPr>
                <w:rFonts w:hint="eastAsia"/>
              </w:rPr>
            </w:pPr>
            <w:r w:rsidRPr="005B75EA">
              <w:rPr>
                <w:rFonts w:ascii="Times New Roman" w:hAnsi="Times New Roman" w:hint="eastAsia"/>
              </w:rPr>
              <w:t>该分级基金是否开放申购、赎回</w:t>
            </w:r>
            <w:r w:rsidR="001B0A9A">
              <w:rPr>
                <w:rFonts w:ascii="Times New Roman" w:hAnsi="Times New Roman" w:hint="eastAsia"/>
              </w:rPr>
              <w:t>、</w:t>
            </w:r>
            <w:r w:rsidRPr="005B75EA">
              <w:rPr>
                <w:rFonts w:ascii="Times New Roman" w:hAnsi="Times New Roman" w:hint="eastAsia"/>
              </w:rPr>
              <w:t>转换</w:t>
            </w:r>
            <w:r w:rsidR="001B0A9A">
              <w:rPr>
                <w:rFonts w:ascii="Times New Roman" w:hAnsi="Times New Roman" w:hint="eastAsia"/>
              </w:rPr>
              <w:t>、</w:t>
            </w:r>
            <w:r>
              <w:rPr>
                <w:rFonts w:hint="eastAsia"/>
              </w:rPr>
              <w:t xml:space="preserve"> </w:t>
            </w:r>
          </w:p>
        </w:tc>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ascii="Times New Roman" w:hAnsi="Times New Roman" w:hint="eastAsia"/>
              </w:rPr>
              <w:t>是</w:t>
            </w:r>
            <w:r>
              <w:rPr>
                <w:rFonts w:hint="eastAsia"/>
              </w:rPr>
              <w:t xml:space="preserve"> </w:t>
            </w:r>
          </w:p>
        </w:tc>
        <w:tc>
          <w:tcPr>
            <w:tcW w:w="2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4693A" w:rsidRDefault="00D4693A">
            <w:pPr>
              <w:rPr>
                <w:rFonts w:hint="eastAsia"/>
              </w:rPr>
            </w:pPr>
            <w:r w:rsidRPr="005B75EA">
              <w:rPr>
                <w:rFonts w:ascii="Times New Roman" w:hAnsi="Times New Roman" w:hint="eastAsia"/>
              </w:rPr>
              <w:t>是</w:t>
            </w:r>
            <w:r>
              <w:rPr>
                <w:rFonts w:hint="eastAsia"/>
              </w:rPr>
              <w:t xml:space="preserve"> </w:t>
            </w:r>
          </w:p>
        </w:tc>
      </w:tr>
    </w:tbl>
    <w:p w:rsidR="00D4693A" w:rsidRDefault="00D4693A">
      <w:pPr>
        <w:spacing w:line="360" w:lineRule="auto"/>
        <w:jc w:val="left"/>
        <w:rPr>
          <w:rFonts w:hint="eastAsia"/>
        </w:rPr>
      </w:pPr>
      <w:r>
        <w:rPr>
          <w:rFonts w:hint="eastAsia"/>
          <w:szCs w:val="21"/>
        </w:rPr>
        <w:t>注：本基金本次开放期为</w:t>
      </w:r>
      <w:r w:rsidR="00B00D32" w:rsidRPr="00CD4129">
        <w:rPr>
          <w:rFonts w:hint="eastAsia"/>
        </w:rPr>
        <w:t>202</w:t>
      </w:r>
      <w:r w:rsidR="00B00D32" w:rsidRPr="00CD4129">
        <w:t>6</w:t>
      </w:r>
      <w:r w:rsidR="00B00D32" w:rsidRPr="00CD4129">
        <w:rPr>
          <w:rFonts w:hint="eastAsia"/>
        </w:rPr>
        <w:t>年</w:t>
      </w:r>
      <w:r w:rsidR="009D60DA">
        <w:t>3</w:t>
      </w:r>
      <w:r w:rsidR="00B00D32" w:rsidRPr="00CD4129">
        <w:rPr>
          <w:rFonts w:hint="eastAsia"/>
        </w:rPr>
        <w:t>月</w:t>
      </w:r>
      <w:r w:rsidR="009D60DA">
        <w:t>16</w:t>
      </w:r>
      <w:r w:rsidR="00B00D32" w:rsidRPr="00CD4129">
        <w:rPr>
          <w:rFonts w:hint="eastAsia"/>
        </w:rPr>
        <w:t>日</w:t>
      </w:r>
      <w:r>
        <w:rPr>
          <w:rFonts w:hint="eastAsia"/>
          <w:szCs w:val="21"/>
        </w:rPr>
        <w:t>至</w:t>
      </w:r>
      <w:r w:rsidR="00B00D32" w:rsidRPr="00CD4129">
        <w:rPr>
          <w:rFonts w:hint="eastAsia"/>
        </w:rPr>
        <w:t>202</w:t>
      </w:r>
      <w:r w:rsidR="00B00D32" w:rsidRPr="00CD4129">
        <w:t>6</w:t>
      </w:r>
      <w:r w:rsidR="00B00D32" w:rsidRPr="00CD4129">
        <w:rPr>
          <w:rFonts w:hint="eastAsia"/>
        </w:rPr>
        <w:t>年</w:t>
      </w:r>
      <w:r w:rsidR="009D60DA">
        <w:t>3</w:t>
      </w:r>
      <w:r w:rsidR="00B00D32" w:rsidRPr="00CD4129">
        <w:rPr>
          <w:rFonts w:hint="eastAsia"/>
        </w:rPr>
        <w:t>月</w:t>
      </w:r>
      <w:r w:rsidR="009D60DA">
        <w:t>27</w:t>
      </w:r>
      <w:r w:rsidR="00B00D32" w:rsidRPr="00CD4129">
        <w:rPr>
          <w:rFonts w:hint="eastAsia"/>
        </w:rPr>
        <w:t>日</w:t>
      </w:r>
      <w:r>
        <w:rPr>
          <w:rFonts w:hint="eastAsia"/>
          <w:szCs w:val="21"/>
        </w:rPr>
        <w:t>，即以上时间段期间办理本基金的申购、赎回和转换业务。自</w:t>
      </w:r>
      <w:r w:rsidR="00B00D32" w:rsidRPr="00CD4129">
        <w:rPr>
          <w:rFonts w:hint="eastAsia"/>
        </w:rPr>
        <w:t>202</w:t>
      </w:r>
      <w:r w:rsidR="00B00D32" w:rsidRPr="00CD4129">
        <w:t>6</w:t>
      </w:r>
      <w:r w:rsidR="00B00D32" w:rsidRPr="00CD4129">
        <w:rPr>
          <w:rFonts w:hint="eastAsia"/>
        </w:rPr>
        <w:t>年</w:t>
      </w:r>
      <w:r w:rsidR="009D60DA">
        <w:t>3</w:t>
      </w:r>
      <w:r w:rsidR="00B00D32" w:rsidRPr="00CD4129">
        <w:rPr>
          <w:rFonts w:hint="eastAsia"/>
        </w:rPr>
        <w:t>月</w:t>
      </w:r>
      <w:r w:rsidR="009D60DA">
        <w:t>27</w:t>
      </w:r>
      <w:r w:rsidR="00B00D32" w:rsidRPr="00CD4129">
        <w:rPr>
          <w:rFonts w:hint="eastAsia"/>
        </w:rPr>
        <w:t>日</w:t>
      </w:r>
      <w:r>
        <w:rPr>
          <w:rFonts w:hint="eastAsia"/>
          <w:szCs w:val="21"/>
        </w:rPr>
        <w:t>15:00后，本基金将暂停申购、赎回、转换业务，进入下一个封闭运作管理期。本基金暂不开通定期定额投资业务。</w:t>
      </w:r>
    </w:p>
    <w:p w:rsidR="00D4693A" w:rsidRDefault="00D4693A">
      <w:pPr>
        <w:pStyle w:val="XBRLTitle1"/>
        <w:spacing w:before="156" w:line="360" w:lineRule="auto"/>
        <w:divId w:val="2073772069"/>
        <w:rPr>
          <w:rFonts w:hint="eastAsia"/>
        </w:rPr>
      </w:pPr>
      <w:bookmarkStart w:id="14" w:name="_Toc34758520"/>
      <w:bookmarkStart w:id="15" w:name="_Toc34841029"/>
      <w:bookmarkStart w:id="16" w:name="_Toc513295893"/>
      <w:bookmarkStart w:id="17" w:name="_Toc513295847"/>
      <w:bookmarkStart w:id="18" w:name="_Toc490050001"/>
      <w:bookmarkStart w:id="19" w:name="_Toc438646452"/>
      <w:bookmarkStart w:id="20" w:name="_Toc481075047"/>
      <w:bookmarkStart w:id="21" w:name="_Toc512519481"/>
      <w:bookmarkStart w:id="22" w:name="_Toc17897937"/>
      <w:bookmarkStart w:id="23" w:name="_Toc17898179"/>
      <w:r>
        <w:rPr>
          <w:rFonts w:hAnsi="宋体" w:hint="eastAsia"/>
        </w:rPr>
        <w:t>日常申购、赎回</w:t>
      </w:r>
      <w:r w:rsidR="00C94CF9">
        <w:rPr>
          <w:rFonts w:hAnsi="宋体" w:hint="eastAsia"/>
          <w:lang w:eastAsia="zh-CN"/>
        </w:rPr>
        <w:t>、</w:t>
      </w:r>
      <w:r>
        <w:rPr>
          <w:rFonts w:hAnsi="宋体" w:hint="eastAsia"/>
        </w:rPr>
        <w:t>转换业务的办理时间</w:t>
      </w:r>
      <w:bookmarkEnd w:id="14"/>
      <w:bookmarkEnd w:id="15"/>
      <w:r>
        <w:rPr>
          <w:rFonts w:hAnsi="宋体" w:hint="eastAsia"/>
        </w:rPr>
        <w:t xml:space="preserve"> </w:t>
      </w:r>
    </w:p>
    <w:p w:rsidR="005A4298" w:rsidRDefault="00D4693A" w:rsidP="001A6FD2">
      <w:pPr>
        <w:spacing w:line="360" w:lineRule="auto"/>
        <w:ind w:firstLineChars="200" w:firstLine="420"/>
        <w:divId w:val="2073772069"/>
        <w:rPr>
          <w:lang/>
        </w:rPr>
      </w:pPr>
      <w:bookmarkStart w:id="24" w:name="m07_04_07_09"/>
      <w:bookmarkStart w:id="25" w:name="m07_04_07_09_tab"/>
      <w:bookmarkStart w:id="26" w:name="m201"/>
      <w:bookmarkStart w:id="27" w:name="m07_04_13_00"/>
      <w:bookmarkStart w:id="28" w:name="m201_01"/>
      <w:r>
        <w:rPr>
          <w:rFonts w:hint="eastAsia"/>
          <w:lang/>
        </w:rPr>
        <w:t>本基金申购、赎回、转换业务的开放日为开放期的工作日，</w:t>
      </w:r>
      <w:r w:rsidR="00BC39A2">
        <w:rPr>
          <w:rFonts w:hint="eastAsia"/>
          <w:lang/>
        </w:rPr>
        <w:t>投资者</w:t>
      </w:r>
      <w:r w:rsidR="001A6FD2">
        <w:rPr>
          <w:rFonts w:hint="eastAsia"/>
          <w:lang/>
        </w:rPr>
        <w:t>在开放日办理基金份额的申购</w:t>
      </w:r>
      <w:r w:rsidR="001A6FD2">
        <w:rPr>
          <w:rFonts w:hint="eastAsia"/>
        </w:rPr>
        <w:t>、</w:t>
      </w:r>
      <w:r w:rsidR="001A6FD2">
        <w:rPr>
          <w:rFonts w:hint="eastAsia"/>
          <w:lang/>
        </w:rPr>
        <w:t>赎回、转换，</w:t>
      </w:r>
      <w:r>
        <w:rPr>
          <w:rFonts w:hint="eastAsia"/>
          <w:lang/>
        </w:rPr>
        <w:t>具体办理时间为上海证券交易所、深圳证券交易所的正常交易日的交易时间，但基金管理人根据法律法规、中国证监会的要求或本基金基金合同的规定公告暂停申购、赎回时除外。</w:t>
      </w:r>
    </w:p>
    <w:p w:rsidR="00D4693A" w:rsidRDefault="00D4693A" w:rsidP="001A6FD2">
      <w:pPr>
        <w:spacing w:line="360" w:lineRule="auto"/>
        <w:ind w:firstLineChars="200" w:firstLine="420"/>
        <w:divId w:val="2073772069"/>
        <w:rPr>
          <w:rFonts w:hint="eastAsia"/>
          <w:lang/>
        </w:rPr>
      </w:pPr>
      <w:r>
        <w:rPr>
          <w:rFonts w:hint="eastAsia"/>
          <w:lang/>
        </w:rPr>
        <w:t>按照基金合同的规定，本基金本次开放期为</w:t>
      </w:r>
      <w:r w:rsidR="009D60DA" w:rsidRPr="00CD4129">
        <w:rPr>
          <w:rFonts w:hint="eastAsia"/>
        </w:rPr>
        <w:t>202</w:t>
      </w:r>
      <w:r w:rsidR="009D60DA" w:rsidRPr="00CD4129">
        <w:t>6</w:t>
      </w:r>
      <w:r w:rsidR="009D60DA" w:rsidRPr="00CD4129">
        <w:rPr>
          <w:rFonts w:hint="eastAsia"/>
        </w:rPr>
        <w:t>年</w:t>
      </w:r>
      <w:r w:rsidR="009D60DA">
        <w:t>3</w:t>
      </w:r>
      <w:r w:rsidR="009D60DA" w:rsidRPr="00CD4129">
        <w:rPr>
          <w:rFonts w:hint="eastAsia"/>
        </w:rPr>
        <w:t>月</w:t>
      </w:r>
      <w:r w:rsidR="009D60DA">
        <w:t>16</w:t>
      </w:r>
      <w:r w:rsidR="009D60DA" w:rsidRPr="00CD4129">
        <w:rPr>
          <w:rFonts w:hint="eastAsia"/>
        </w:rPr>
        <w:t>日</w:t>
      </w:r>
      <w:r w:rsidR="009D60DA">
        <w:rPr>
          <w:rFonts w:hint="eastAsia"/>
          <w:szCs w:val="21"/>
        </w:rPr>
        <w:t>至</w:t>
      </w:r>
      <w:r w:rsidR="009D60DA" w:rsidRPr="00CD4129">
        <w:rPr>
          <w:rFonts w:hint="eastAsia"/>
        </w:rPr>
        <w:t>202</w:t>
      </w:r>
      <w:r w:rsidR="009D60DA" w:rsidRPr="00CD4129">
        <w:t>6</w:t>
      </w:r>
      <w:r w:rsidR="009D60DA" w:rsidRPr="00CD4129">
        <w:rPr>
          <w:rFonts w:hint="eastAsia"/>
        </w:rPr>
        <w:t>年</w:t>
      </w:r>
      <w:r w:rsidR="009D60DA">
        <w:t>3</w:t>
      </w:r>
      <w:r w:rsidR="009D60DA" w:rsidRPr="00CD4129">
        <w:rPr>
          <w:rFonts w:hint="eastAsia"/>
        </w:rPr>
        <w:t>月</w:t>
      </w:r>
      <w:r w:rsidR="009D60DA">
        <w:t>27</w:t>
      </w:r>
      <w:r w:rsidR="009D60DA" w:rsidRPr="00CD4129">
        <w:rPr>
          <w:rFonts w:hint="eastAsia"/>
        </w:rPr>
        <w:t>日</w:t>
      </w:r>
      <w:r>
        <w:rPr>
          <w:rFonts w:hint="eastAsia"/>
          <w:lang/>
        </w:rPr>
        <w:t>，即以上时间段期间办理本基金的申购、赎回或转换业务。如开放期内，因不可抗力或其他情形致使本基金无法按时开放申购、赎回和转换业务，或依据基金合同需暂停申购、赎回和转换业务的，开放期时间中止计算，在不可抗力或其他情形影响因素消除之日的下一个工作日起，继续计算该开放期时间，直至满足开放期的时间要求。前述开放期的具体时间以基金管理人届时公告为准。</w:t>
      </w:r>
      <w:r>
        <w:rPr>
          <w:rFonts w:hint="eastAsia"/>
          <w:lang/>
        </w:rPr>
        <w:br/>
        <w:t xml:space="preserve">　　基金合同生效后，若出现新的证券交易市场、证券交易所交易时间变更或其他特殊情况，基金管理人将视情况对前述开放日及开放时间进行相应的调整，但应在实施日前依照《公开募集证券投资基金信息披露管理办法》的有关规定在</w:t>
      </w:r>
      <w:r>
        <w:rPr>
          <w:rFonts w:hint="eastAsia"/>
        </w:rPr>
        <w:t>规</w:t>
      </w:r>
      <w:r>
        <w:rPr>
          <w:rFonts w:hint="eastAsia"/>
          <w:lang/>
        </w:rPr>
        <w:t>定媒介上公告。</w:t>
      </w:r>
    </w:p>
    <w:p w:rsidR="00D4693A" w:rsidRDefault="00D4693A">
      <w:pPr>
        <w:pStyle w:val="XBRLTitle1"/>
        <w:spacing w:before="156" w:line="360" w:lineRule="auto"/>
        <w:divId w:val="499081321"/>
        <w:rPr>
          <w:rFonts w:hint="eastAsia"/>
        </w:rPr>
      </w:pPr>
      <w:bookmarkStart w:id="29" w:name="_Toc34758521"/>
      <w:bookmarkStart w:id="30" w:name="_Toc34841030"/>
      <w:bookmarkStart w:id="31" w:name="_Toc513295894"/>
      <w:bookmarkStart w:id="32" w:name="_Toc513295848"/>
      <w:bookmarkStart w:id="33" w:name="_Toc490050003"/>
      <w:bookmarkStart w:id="34" w:name="_Toc438646455"/>
      <w:bookmarkStart w:id="35" w:name="_Toc481075049"/>
      <w:bookmarkStart w:id="36" w:name="_Toc512519482"/>
      <w:bookmarkStart w:id="37" w:name="_Toc17897938"/>
      <w:bookmarkStart w:id="38" w:name="_Toc17898180"/>
      <w:bookmarkStart w:id="39" w:name="m401"/>
      <w:bookmarkStart w:id="40" w:name="m401_tab"/>
      <w:r>
        <w:rPr>
          <w:rFonts w:hAnsi="宋体" w:hint="eastAsia"/>
        </w:rPr>
        <w:t>日常申购业务</w:t>
      </w:r>
      <w:bookmarkEnd w:id="29"/>
      <w:bookmarkEnd w:id="30"/>
      <w:r>
        <w:rPr>
          <w:rFonts w:hAnsi="宋体" w:hint="eastAsia"/>
        </w:rPr>
        <w:t xml:space="preserve"> </w:t>
      </w:r>
    </w:p>
    <w:p w:rsidR="00D4693A" w:rsidRDefault="00D4693A">
      <w:pPr>
        <w:pStyle w:val="XBRLTitle2"/>
        <w:spacing w:before="156" w:line="360" w:lineRule="auto"/>
        <w:divId w:val="1910312450"/>
        <w:rPr>
          <w:rFonts w:hint="eastAsia"/>
        </w:rPr>
      </w:pPr>
      <w:bookmarkStart w:id="41" w:name="_Toc34758522"/>
      <w:bookmarkStart w:id="42" w:name="_Toc513295895"/>
      <w:bookmarkStart w:id="43" w:name="_Toc513295849"/>
      <w:bookmarkStart w:id="44" w:name="_Toc490050004"/>
      <w:bookmarkStart w:id="45" w:name="_Toc438646456"/>
      <w:bookmarkStart w:id="46" w:name="_Toc481075050"/>
      <w:bookmarkStart w:id="47" w:name="_Toc512519483"/>
      <w:bookmarkStart w:id="48" w:name="_Toc17897939"/>
      <w:bookmarkStart w:id="49" w:name="_Toc17898181"/>
      <w:bookmarkStart w:id="50" w:name="_Toc34841031"/>
      <w:r>
        <w:rPr>
          <w:rFonts w:hAnsi="宋体" w:hint="eastAsia"/>
        </w:rPr>
        <w:t>申购金额限制</w:t>
      </w:r>
      <w:bookmarkEnd w:id="41"/>
      <w:bookmarkEnd w:id="42"/>
      <w:bookmarkEnd w:id="43"/>
      <w:bookmarkEnd w:id="44"/>
      <w:bookmarkEnd w:id="45"/>
      <w:bookmarkEnd w:id="46"/>
      <w:bookmarkEnd w:id="47"/>
      <w:bookmarkEnd w:id="48"/>
      <w:bookmarkEnd w:id="49"/>
      <w:bookmarkEnd w:id="50"/>
      <w:r>
        <w:rPr>
          <w:rFonts w:hAnsi="宋体" w:hint="eastAsia"/>
        </w:rPr>
        <w:t xml:space="preserve"> </w:t>
      </w:r>
    </w:p>
    <w:p w:rsidR="00D4693A" w:rsidRDefault="00D4693A">
      <w:pPr>
        <w:spacing w:line="360" w:lineRule="auto"/>
        <w:ind w:firstLineChars="200" w:firstLine="420"/>
        <w:divId w:val="1910312450"/>
        <w:rPr>
          <w:rFonts w:hint="eastAsia"/>
        </w:rPr>
      </w:pPr>
      <w:r>
        <w:rPr>
          <w:rFonts w:hint="eastAsia"/>
          <w:lang/>
        </w:rPr>
        <w:t>在直销机构销售网点首次申购的最低金额为人民币1.00元（A类基金份额含申购费，下同），超过部分不设最低级差限制；追加申购的最低金额为人民币1.00元，超过1.00元的部分不设最低级差限制；已在直销机构销售网点有认购基金记录的基金投资者不受首次申购最低金额的限制，但受追加申购最低金额的限制；在代销机构销售网点首次申购的最低金额为人民币1.00元，超过1.00元的部分不设最低级差限制；追加申购的最低金额为人民币1.00元，超过1.00元的部分不设最低级差限制。</w:t>
      </w:r>
      <w:r>
        <w:rPr>
          <w:rFonts w:hint="eastAsia"/>
          <w:lang/>
        </w:rPr>
        <w:br/>
        <w:t xml:space="preserve">　　基金管理人可在法律法规允许的情况下，调整上述申购金额的数量限制，</w:t>
      </w:r>
      <w:r w:rsidR="001A6FD2" w:rsidRPr="001A6FD2">
        <w:rPr>
          <w:rFonts w:hint="eastAsia"/>
          <w:lang/>
        </w:rPr>
        <w:t>基金管理人必须在调整实施前</w:t>
      </w:r>
      <w:r>
        <w:rPr>
          <w:rFonts w:hint="eastAsia"/>
          <w:lang/>
        </w:rPr>
        <w:t>依照《公开募集证券投资基金信息披露管理办法》的有关规定在</w:t>
      </w:r>
      <w:r>
        <w:rPr>
          <w:rFonts w:hint="eastAsia"/>
        </w:rPr>
        <w:t>规</w:t>
      </w:r>
      <w:r>
        <w:rPr>
          <w:rFonts w:hint="eastAsia"/>
          <w:lang/>
        </w:rPr>
        <w:t>定媒介上公告。</w:t>
      </w:r>
    </w:p>
    <w:p w:rsidR="00D4693A" w:rsidRDefault="00D4693A">
      <w:pPr>
        <w:pStyle w:val="XBRLTitle2"/>
        <w:spacing w:before="156" w:line="360" w:lineRule="auto"/>
        <w:divId w:val="2120372201"/>
        <w:rPr>
          <w:rFonts w:hint="eastAsia"/>
        </w:rPr>
      </w:pPr>
      <w:bookmarkStart w:id="51" w:name="_Toc513465658"/>
      <w:bookmarkStart w:id="52" w:name="_Toc512519484"/>
      <w:bookmarkStart w:id="53" w:name="_Toc481075051"/>
      <w:bookmarkStart w:id="54" w:name="_Toc438646457"/>
      <w:bookmarkStart w:id="55" w:name="_Toc490050005"/>
      <w:r>
        <w:rPr>
          <w:rFonts w:hAnsi="宋体" w:hint="eastAsia"/>
        </w:rPr>
        <w:t>申购费率</w:t>
      </w:r>
      <w:bookmarkEnd w:id="51"/>
      <w:r>
        <w:rPr>
          <w:rFonts w:hAnsi="宋体" w:hint="eastAsia"/>
        </w:rPr>
        <w:t xml:space="preserve"> </w:t>
      </w:r>
    </w:p>
    <w:p w:rsidR="00D4693A" w:rsidRDefault="00D4693A">
      <w:pPr>
        <w:spacing w:line="360" w:lineRule="auto"/>
        <w:ind w:firstLineChars="200" w:firstLine="420"/>
        <w:divId w:val="2120372201"/>
        <w:rPr>
          <w:rFonts w:hint="eastAsia"/>
        </w:rPr>
      </w:pPr>
      <w:r>
        <w:rPr>
          <w:rFonts w:hint="eastAsia"/>
          <w:lang/>
        </w:rPr>
        <w:t>对于A类基金份额，投资者在申购时需交纳前端申购费。</w:t>
      </w:r>
      <w:r w:rsidR="00BC39A2">
        <w:rPr>
          <w:rFonts w:hint="eastAsia"/>
          <w:lang/>
        </w:rPr>
        <w:t>投资者</w:t>
      </w:r>
      <w:r>
        <w:rPr>
          <w:rFonts w:hint="eastAsia"/>
          <w:lang/>
        </w:rPr>
        <w:t>缴纳申购费用时，按单次申购金额采用比例费率，</w:t>
      </w:r>
      <w:r w:rsidR="00BC39A2">
        <w:rPr>
          <w:rFonts w:hint="eastAsia"/>
          <w:lang/>
        </w:rPr>
        <w:t>投资者</w:t>
      </w:r>
      <w:r>
        <w:rPr>
          <w:rFonts w:hint="eastAsia"/>
          <w:lang/>
        </w:rPr>
        <w:t>在一天之内如果有多笔申购，适用费率按单笔分别计算。</w:t>
      </w:r>
      <w:r>
        <w:rPr>
          <w:rFonts w:hint="eastAsia"/>
          <w:lang/>
        </w:rPr>
        <w:br/>
        <w:t xml:space="preserve">　　本基金对通过基金管理人的直销中心申购A类基金份额的养老金客户与除此之外的其他投资者实施差别的申购费率。</w:t>
      </w:r>
      <w:r>
        <w:rPr>
          <w:rFonts w:hint="eastAsia"/>
          <w:lang/>
        </w:rPr>
        <w:br/>
        <w:t xml:space="preserve">　　养老金客户包括全国社会保障基金、基本养老保险基金、企业年金、职业年金以及养老目标基金、个人税收递延型商业养老保险、养老理财、专属商业养老保险、商业养老金等第三支柱养老保险相关产品。如将来出现经监管部门认可的新的养老金类型，基金管理人可通过招募说明书更新或发布临时公告将其纳入养老金客户范围。</w:t>
      </w:r>
      <w:r>
        <w:rPr>
          <w:rFonts w:hint="eastAsia"/>
          <w:lang/>
        </w:rPr>
        <w:br/>
        <w:t xml:space="preserve">　　A类基金份额具体申购费率如下：</w:t>
      </w:r>
    </w:p>
    <w:p w:rsidR="00D4693A" w:rsidRDefault="00D4693A">
      <w:pPr>
        <w:pStyle w:val="XBRLTitle3"/>
        <w:spacing w:before="156"/>
        <w:divId w:val="713386292"/>
        <w:rPr>
          <w:rFonts w:hint="eastAsia"/>
        </w:rPr>
      </w:pPr>
      <w:bookmarkStart w:id="56" w:name="_Toc513465659"/>
      <w:bookmarkStart w:id="57" w:name="_Toc512519485"/>
      <w:bookmarkStart w:id="58" w:name="_Toc481075052"/>
      <w:bookmarkStart w:id="59" w:name="_Toc490050006"/>
      <w:r>
        <w:rPr>
          <w:rFonts w:hint="eastAsia"/>
        </w:rPr>
        <w:t>前端收费</w:t>
      </w:r>
      <w:bookmarkEnd w:id="56"/>
      <w:r>
        <w:rPr>
          <w:rFonts w:hint="eastAsia"/>
          <w:lang w:eastAsia="zh-CN"/>
        </w:rPr>
        <w:t xml:space="preserve"> </w:t>
      </w:r>
    </w:p>
    <w:p w:rsidR="00D4693A" w:rsidRDefault="00D4693A">
      <w:pPr>
        <w:spacing w:line="360" w:lineRule="auto"/>
        <w:jc w:val="center"/>
        <w:divId w:val="1974943697"/>
        <w:rPr>
          <w:rFonts w:hint="eastAsia"/>
        </w:rPr>
      </w:pPr>
      <w:r>
        <w:rPr>
          <w:rFonts w:hint="eastAsia"/>
        </w:rPr>
        <w:t>华商丰利增强定期开放债券A</w:t>
      </w:r>
      <w:r>
        <w:rPr>
          <w:rFonts w:hint="eastAsia"/>
          <w:kern w:val="0"/>
        </w:rPr>
        <w:t xml:space="preserve"> </w:t>
      </w:r>
    </w:p>
    <w:tbl>
      <w:tblPr>
        <w:tblW w:w="5000" w:type="pct"/>
        <w:tblBorders>
          <w:top w:val="single" w:sz="4" w:space="0" w:color="000000"/>
          <w:left w:val="single" w:sz="4" w:space="0" w:color="000000"/>
          <w:bottom w:val="single" w:sz="4" w:space="0" w:color="000000"/>
          <w:right w:val="single" w:sz="4" w:space="0" w:color="000000"/>
        </w:tblBorders>
        <w:tblLayout w:type="fixed"/>
        <w:tblLook w:val="04A0"/>
      </w:tblPr>
      <w:tblGrid>
        <w:gridCol w:w="3582"/>
        <w:gridCol w:w="2712"/>
        <w:gridCol w:w="2767"/>
      </w:tblGrid>
      <w:tr w:rsidR="00D4693A" w:rsidTr="005B75EA">
        <w:trPr>
          <w:divId w:val="1974943697"/>
        </w:trPr>
        <w:tc>
          <w:tcPr>
            <w:tcW w:w="3369"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 xml:space="preserve">申购金额(M) </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 xml:space="preserve">申购费率 </w:t>
            </w:r>
          </w:p>
        </w:tc>
        <w:tc>
          <w:tcPr>
            <w:tcW w:w="2602"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 xml:space="preserve">备注 </w:t>
            </w:r>
          </w:p>
        </w:tc>
      </w:tr>
      <w:tr w:rsidR="00D4693A" w:rsidTr="005B75EA">
        <w:trPr>
          <w:divId w:val="1974943697"/>
        </w:trPr>
        <w:tc>
          <w:tcPr>
            <w:tcW w:w="817"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M＜1,000,000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0.8%</w:t>
            </w:r>
          </w:p>
        </w:tc>
        <w:tc>
          <w:tcPr>
            <w:tcW w:w="2602"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w:t>
            </w:r>
          </w:p>
        </w:tc>
      </w:tr>
      <w:tr w:rsidR="00D4693A" w:rsidTr="005B75EA">
        <w:trPr>
          <w:divId w:val="1974943697"/>
        </w:trPr>
        <w:tc>
          <w:tcPr>
            <w:tcW w:w="817"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1,000,000≤M＜3,000,000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0.5%</w:t>
            </w:r>
          </w:p>
        </w:tc>
        <w:tc>
          <w:tcPr>
            <w:tcW w:w="2602"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w:t>
            </w:r>
          </w:p>
        </w:tc>
      </w:tr>
      <w:tr w:rsidR="00D4693A" w:rsidTr="005B75EA">
        <w:trPr>
          <w:divId w:val="1974943697"/>
        </w:trPr>
        <w:tc>
          <w:tcPr>
            <w:tcW w:w="817"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3,000,000≤M＜5,000,000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0.3%</w:t>
            </w:r>
          </w:p>
        </w:tc>
        <w:tc>
          <w:tcPr>
            <w:tcW w:w="2602"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w:t>
            </w:r>
          </w:p>
        </w:tc>
      </w:tr>
      <w:tr w:rsidR="00D4693A" w:rsidTr="005B75EA">
        <w:trPr>
          <w:divId w:val="1974943697"/>
        </w:trPr>
        <w:tc>
          <w:tcPr>
            <w:tcW w:w="817"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M≥5,000,000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1,000元/笔</w:t>
            </w:r>
          </w:p>
        </w:tc>
        <w:tc>
          <w:tcPr>
            <w:tcW w:w="2602"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w:t>
            </w:r>
          </w:p>
        </w:tc>
      </w:tr>
    </w:tbl>
    <w:p w:rsidR="00D4693A" w:rsidRDefault="00D4693A">
      <w:pPr>
        <w:spacing w:line="360" w:lineRule="auto"/>
        <w:jc w:val="center"/>
        <w:divId w:val="622005189"/>
        <w:rPr>
          <w:rFonts w:hint="eastAsia"/>
        </w:rPr>
      </w:pPr>
      <w:r>
        <w:rPr>
          <w:rFonts w:hint="eastAsia"/>
        </w:rPr>
        <w:t>华商丰利增强定期开放债券C</w:t>
      </w:r>
      <w:r>
        <w:rPr>
          <w:rFonts w:hint="eastAsia"/>
          <w:kern w:val="0"/>
        </w:rPr>
        <w:t xml:space="preserve"> </w:t>
      </w:r>
    </w:p>
    <w:tbl>
      <w:tblPr>
        <w:tblW w:w="5000" w:type="pct"/>
        <w:tblBorders>
          <w:top w:val="single" w:sz="4" w:space="0" w:color="000000"/>
          <w:left w:val="single" w:sz="4" w:space="0" w:color="000000"/>
          <w:bottom w:val="single" w:sz="4" w:space="0" w:color="000000"/>
          <w:right w:val="single" w:sz="4" w:space="0" w:color="000000"/>
        </w:tblBorders>
        <w:tblLayout w:type="fixed"/>
        <w:tblLook w:val="04A0"/>
      </w:tblPr>
      <w:tblGrid>
        <w:gridCol w:w="3582"/>
        <w:gridCol w:w="2712"/>
        <w:gridCol w:w="2767"/>
      </w:tblGrid>
      <w:tr w:rsidR="00D4693A" w:rsidTr="005B75EA">
        <w:trPr>
          <w:divId w:val="622005189"/>
        </w:trPr>
        <w:tc>
          <w:tcPr>
            <w:tcW w:w="3369"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 xml:space="preserve">申购金额(M) </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 xml:space="preserve">申购费率 </w:t>
            </w:r>
          </w:p>
        </w:tc>
        <w:tc>
          <w:tcPr>
            <w:tcW w:w="2602"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 xml:space="preserve">备注 </w:t>
            </w:r>
          </w:p>
        </w:tc>
      </w:tr>
      <w:tr w:rsidR="00D4693A" w:rsidTr="005B75EA">
        <w:trPr>
          <w:divId w:val="62200518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w:t>
            </w:r>
          </w:p>
        </w:tc>
        <w:tc>
          <w:tcPr>
            <w:tcW w:w="2602" w:type="dxa"/>
            <w:tcBorders>
              <w:top w:val="single" w:sz="4" w:space="0" w:color="000000"/>
              <w:left w:val="single" w:sz="4" w:space="0" w:color="000000"/>
              <w:bottom w:val="single" w:sz="4" w:space="0" w:color="000000"/>
              <w:right w:val="single" w:sz="4" w:space="0" w:color="000000"/>
            </w:tcBorders>
            <w:vAlign w:val="center"/>
            <w:hideMark/>
          </w:tcPr>
          <w:p w:rsidR="00D4693A" w:rsidRDefault="00D4693A">
            <w:pPr>
              <w:jc w:val="center"/>
              <w:rPr>
                <w:rFonts w:hint="eastAsia"/>
              </w:rPr>
            </w:pPr>
            <w:r w:rsidRPr="005B75EA">
              <w:rPr>
                <w:rFonts w:hint="eastAsia"/>
              </w:rPr>
              <w:t>本基金C类份额不收取申购费。</w:t>
            </w:r>
          </w:p>
        </w:tc>
      </w:tr>
    </w:tbl>
    <w:p w:rsidR="00D4693A" w:rsidRDefault="00D4693A">
      <w:pPr>
        <w:spacing w:line="360" w:lineRule="auto"/>
        <w:jc w:val="left"/>
        <w:divId w:val="713386292"/>
        <w:rPr>
          <w:rFonts w:hint="eastAsia"/>
        </w:rPr>
      </w:pPr>
      <w:r>
        <w:rPr>
          <w:rFonts w:hint="eastAsia"/>
          <w:szCs w:val="21"/>
        </w:rPr>
        <w:t>注：通过本公司直销中心申购本基金的养老金客户实施特定申购费率，适用的申购费率为对应申购金额所适用的原申购费率的10%；申购费率为固定金额的，则按原费率执行，不再享有费率折扣。详见本基金《招募说明书》及相关公告。</w:t>
      </w:r>
    </w:p>
    <w:p w:rsidR="00D4693A" w:rsidRDefault="00D4693A">
      <w:pPr>
        <w:pStyle w:val="XBRLTitle2"/>
        <w:spacing w:before="156"/>
        <w:divId w:val="679743887"/>
        <w:rPr>
          <w:rFonts w:hint="eastAsia"/>
        </w:rPr>
      </w:pPr>
      <w:bookmarkStart w:id="60" w:name="_Toc34758524"/>
      <w:bookmarkStart w:id="61" w:name="_Toc34841033"/>
      <w:bookmarkStart w:id="62" w:name="_Toc512519486"/>
      <w:bookmarkStart w:id="63" w:name="_Toc481075053"/>
      <w:bookmarkStart w:id="64" w:name="_Toc490050007"/>
      <w:bookmarkStart w:id="65" w:name="m03_03"/>
      <w:bookmarkStart w:id="66" w:name="_Toc454983260"/>
      <w:bookmarkStart w:id="67" w:name="_Toc452398732"/>
      <w:bookmarkStart w:id="68" w:name="_Toc453852604"/>
      <w:bookmarkStart w:id="69" w:name="_Toc485300223"/>
      <w:bookmarkStart w:id="70" w:name="_Toc244948694"/>
      <w:bookmarkStart w:id="71" w:name="_Toc245003735"/>
      <w:bookmarkStart w:id="72" w:name="_Toc247616208"/>
      <w:bookmarkStart w:id="73" w:name="_Toc433036679"/>
      <w:bookmarkStart w:id="74" w:name="_Toc506208214"/>
      <w:bookmarkStart w:id="75" w:name="_Toc497398101"/>
      <w:bookmarkStart w:id="76" w:name="_Toc17897941"/>
      <w:bookmarkStart w:id="77" w:name="_Toc17898185"/>
      <w:r>
        <w:rPr>
          <w:rFonts w:hint="eastAsia"/>
        </w:rPr>
        <w:t>其他与申购相关的事项</w:t>
      </w:r>
      <w:bookmarkEnd w:id="60"/>
      <w:bookmarkEnd w:id="61"/>
    </w:p>
    <w:p w:rsidR="00D4693A" w:rsidRDefault="00D4693A">
      <w:pPr>
        <w:spacing w:line="360" w:lineRule="auto"/>
        <w:ind w:firstLineChars="200" w:firstLine="420"/>
        <w:divId w:val="679743887"/>
        <w:rPr>
          <w:rFonts w:hint="eastAsia"/>
        </w:rPr>
      </w:pPr>
      <w:r>
        <w:rPr>
          <w:rFonts w:hint="eastAsia"/>
          <w:lang/>
        </w:rPr>
        <w:t>投资者选择红利自动再投资所转成的份额不收取申购费用。</w:t>
      </w:r>
      <w:r>
        <w:rPr>
          <w:rFonts w:hint="eastAsia"/>
          <w:lang/>
        </w:rPr>
        <w:br/>
        <w:t xml:space="preserve">　　本基金的申购费用由申购人承担，可用于市场推广、销售、注册登记等各项费用，不列入基金资产。</w:t>
      </w:r>
    </w:p>
    <w:p w:rsidR="00D4693A" w:rsidRDefault="00D4693A">
      <w:pPr>
        <w:pStyle w:val="XBRLTitle1"/>
        <w:spacing w:before="156" w:line="360" w:lineRule="auto"/>
        <w:divId w:val="1852181076"/>
        <w:rPr>
          <w:rFonts w:hint="eastAsia"/>
        </w:rPr>
      </w:pPr>
      <w:bookmarkStart w:id="78" w:name="_Toc34758525"/>
      <w:bookmarkStart w:id="79" w:name="_Toc513295899"/>
      <w:bookmarkStart w:id="80" w:name="_Toc513295851"/>
      <w:bookmarkStart w:id="81" w:name="_Toc512519487"/>
      <w:bookmarkStart w:id="82" w:name="_Toc490050008"/>
      <w:bookmarkStart w:id="83" w:name="_Toc438646458"/>
      <w:bookmarkStart w:id="84" w:name="_Toc481075054"/>
      <w:bookmarkStart w:id="85" w:name="_Toc17897942"/>
      <w:bookmarkStart w:id="86" w:name="_Toc17898186"/>
      <w:bookmarkStart w:id="87" w:name="_Toc34841034"/>
      <w:r>
        <w:rPr>
          <w:rFonts w:hAnsi="宋体" w:hint="eastAsia"/>
        </w:rPr>
        <w:t>日常赎回业务</w:t>
      </w:r>
      <w:bookmarkEnd w:id="78"/>
      <w:bookmarkEnd w:id="79"/>
      <w:bookmarkEnd w:id="80"/>
      <w:bookmarkEnd w:id="81"/>
      <w:bookmarkEnd w:id="82"/>
      <w:bookmarkEnd w:id="83"/>
      <w:bookmarkEnd w:id="84"/>
      <w:bookmarkEnd w:id="85"/>
      <w:bookmarkEnd w:id="86"/>
      <w:bookmarkEnd w:id="87"/>
      <w:r>
        <w:rPr>
          <w:rFonts w:hAnsi="宋体" w:hint="eastAsia"/>
          <w:szCs w:val="44"/>
        </w:rPr>
        <w:t xml:space="preserve"> </w:t>
      </w:r>
    </w:p>
    <w:p w:rsidR="00D4693A" w:rsidRDefault="00D4693A">
      <w:pPr>
        <w:pStyle w:val="XBRLTitle2"/>
        <w:spacing w:before="156" w:line="360" w:lineRule="auto"/>
        <w:divId w:val="774325143"/>
        <w:rPr>
          <w:rFonts w:hint="eastAsia"/>
        </w:rPr>
      </w:pPr>
      <w:bookmarkStart w:id="88" w:name="_Toc34758526"/>
      <w:bookmarkStart w:id="89" w:name="_Toc513295900"/>
      <w:bookmarkStart w:id="90" w:name="_Toc513295852"/>
      <w:bookmarkStart w:id="91" w:name="_Toc512519488"/>
      <w:bookmarkStart w:id="92" w:name="_Toc490050009"/>
      <w:bookmarkStart w:id="93" w:name="_Toc438646459"/>
      <w:bookmarkStart w:id="94" w:name="_Toc481075055"/>
      <w:bookmarkStart w:id="95" w:name="_Toc17897943"/>
      <w:bookmarkStart w:id="96" w:name="_Toc17898187"/>
      <w:bookmarkStart w:id="97" w:name="_Toc34841035"/>
      <w:r>
        <w:rPr>
          <w:rFonts w:hAnsi="宋体" w:hint="eastAsia"/>
        </w:rPr>
        <w:t>赎回份额限制</w:t>
      </w:r>
      <w:bookmarkEnd w:id="88"/>
      <w:bookmarkEnd w:id="89"/>
      <w:bookmarkEnd w:id="90"/>
      <w:bookmarkEnd w:id="91"/>
      <w:bookmarkEnd w:id="92"/>
      <w:bookmarkEnd w:id="93"/>
      <w:bookmarkEnd w:id="94"/>
      <w:bookmarkEnd w:id="95"/>
      <w:bookmarkEnd w:id="96"/>
      <w:bookmarkEnd w:id="97"/>
      <w:r>
        <w:rPr>
          <w:rFonts w:hAnsi="宋体" w:hint="eastAsia"/>
        </w:rPr>
        <w:t xml:space="preserve"> </w:t>
      </w:r>
    </w:p>
    <w:p w:rsidR="00D4693A" w:rsidRDefault="00D4693A">
      <w:pPr>
        <w:spacing w:line="360" w:lineRule="auto"/>
        <w:ind w:firstLineChars="200" w:firstLine="420"/>
        <w:divId w:val="774325143"/>
        <w:rPr>
          <w:rFonts w:hint="eastAsia"/>
        </w:rPr>
      </w:pPr>
      <w:r>
        <w:rPr>
          <w:rFonts w:hint="eastAsia"/>
          <w:lang/>
        </w:rPr>
        <w:t>赎回的最低份额为1.00份基金份额，基金份额持有人可将其全部或部分基金份额赎回，但某笔赎回导致在一个销售机构的基金份额余额少于1.00份时，余额部分基金份额必须一并赎回。</w:t>
      </w:r>
      <w:r>
        <w:rPr>
          <w:rFonts w:hint="eastAsia"/>
          <w:lang/>
        </w:rPr>
        <w:br/>
        <w:t xml:space="preserve">　　基金管理人可在法律法规允许的情况下，调整上述赎回份额的数量限制，</w:t>
      </w:r>
      <w:r w:rsidR="001A6FD2" w:rsidRPr="001A6FD2">
        <w:rPr>
          <w:rFonts w:hint="eastAsia"/>
          <w:lang/>
        </w:rPr>
        <w:t>基金管理人必须在调整实施前</w:t>
      </w:r>
      <w:r>
        <w:rPr>
          <w:rFonts w:hint="eastAsia"/>
          <w:lang/>
        </w:rPr>
        <w:t>依照《公开募集证券投资基金信息披露管理办法》的有关规定在</w:t>
      </w:r>
      <w:r>
        <w:rPr>
          <w:rFonts w:hint="eastAsia"/>
        </w:rPr>
        <w:t>规</w:t>
      </w:r>
      <w:r>
        <w:rPr>
          <w:rFonts w:hint="eastAsia"/>
          <w:lang/>
        </w:rPr>
        <w:t>定媒介上公告。</w:t>
      </w:r>
    </w:p>
    <w:p w:rsidR="00D4693A" w:rsidRDefault="00D4693A">
      <w:pPr>
        <w:pStyle w:val="XBRLTitle2"/>
        <w:spacing w:before="156" w:line="360" w:lineRule="auto"/>
        <w:divId w:val="405542573"/>
        <w:rPr>
          <w:rFonts w:hint="eastAsia"/>
        </w:rPr>
      </w:pPr>
      <w:bookmarkStart w:id="98" w:name="_Toc34758527"/>
      <w:bookmarkStart w:id="99" w:name="_Toc513295901"/>
      <w:bookmarkStart w:id="100" w:name="_Toc513295853"/>
      <w:bookmarkStart w:id="101" w:name="_Toc512519489"/>
      <w:bookmarkStart w:id="102" w:name="_Toc490050010"/>
      <w:bookmarkStart w:id="103" w:name="_Toc438646460"/>
      <w:bookmarkStart w:id="104" w:name="_Toc481075056"/>
      <w:bookmarkStart w:id="105" w:name="_Toc17897944"/>
      <w:bookmarkStart w:id="106" w:name="_Toc17898188"/>
      <w:bookmarkStart w:id="107" w:name="_Toc34841036"/>
      <w:bookmarkStart w:id="108" w:name="m402"/>
      <w:r>
        <w:rPr>
          <w:rFonts w:hAnsi="宋体" w:hint="eastAsia"/>
        </w:rPr>
        <w:t>赎回费率</w:t>
      </w:r>
      <w:bookmarkEnd w:id="98"/>
      <w:bookmarkEnd w:id="99"/>
      <w:bookmarkEnd w:id="100"/>
      <w:bookmarkEnd w:id="101"/>
      <w:bookmarkEnd w:id="102"/>
      <w:bookmarkEnd w:id="103"/>
      <w:bookmarkEnd w:id="104"/>
      <w:bookmarkEnd w:id="105"/>
      <w:bookmarkEnd w:id="106"/>
      <w:bookmarkEnd w:id="107"/>
      <w:r>
        <w:rPr>
          <w:rFonts w:hAnsi="宋体" w:hint="eastAsia"/>
        </w:rPr>
        <w:t xml:space="preserve"> </w:t>
      </w:r>
    </w:p>
    <w:bookmarkEnd w:id="108"/>
    <w:p w:rsidR="008B5AA1" w:rsidRDefault="00D4693A" w:rsidP="008B5AA1">
      <w:pPr>
        <w:ind w:firstLine="480"/>
        <w:divId w:val="1777211167"/>
      </w:pPr>
      <w:r>
        <w:rPr>
          <w:rFonts w:hint="eastAsia"/>
          <w:lang/>
        </w:rPr>
        <w:t>对于在同一开放期内申购后又赎回的A类基金份额或C类基金份额收取赎回费，对于认购或在某一开放期申购并持有一个封闭期以上的A类基金份额或C类基金份额不收取赎回费。具体费率如下：</w:t>
      </w:r>
      <w:r>
        <w:rPr>
          <w:rFonts w:hint="eastAsia"/>
        </w:rPr>
        <w:t xml:space="preserve"> </w:t>
      </w:r>
    </w:p>
    <w:p w:rsidR="00257170" w:rsidRPr="00AA5914" w:rsidRDefault="00257170" w:rsidP="008B5AA1">
      <w:pPr>
        <w:ind w:firstLine="480"/>
        <w:divId w:val="1777211167"/>
      </w:pPr>
    </w:p>
    <w:tbl>
      <w:tblPr>
        <w:tblW w:w="9676" w:type="dxa"/>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716"/>
        <w:gridCol w:w="2398"/>
        <w:gridCol w:w="2562"/>
      </w:tblGrid>
      <w:tr w:rsidR="008B5AA1" w:rsidRPr="00C66953" w:rsidTr="002B7D5B">
        <w:trPr>
          <w:divId w:val="1777211167"/>
          <w:trHeight w:val="495"/>
        </w:trPr>
        <w:tc>
          <w:tcPr>
            <w:tcW w:w="4716" w:type="dxa"/>
            <w:tcMar>
              <w:top w:w="0" w:type="dxa"/>
              <w:left w:w="108" w:type="dxa"/>
              <w:bottom w:w="0" w:type="dxa"/>
              <w:right w:w="108" w:type="dxa"/>
            </w:tcMar>
            <w:vAlign w:val="bottom"/>
          </w:tcPr>
          <w:p w:rsidR="008B5AA1" w:rsidRPr="00A510FC" w:rsidRDefault="008B5AA1" w:rsidP="002B7D5B">
            <w:pPr>
              <w:ind w:firstLineChars="300" w:firstLine="630"/>
              <w:jc w:val="center"/>
              <w:rPr>
                <w:color w:val="000000"/>
              </w:rPr>
            </w:pPr>
            <w:r w:rsidRPr="00A510FC">
              <w:rPr>
                <w:color w:val="000000"/>
              </w:rPr>
              <w:t>申请赎回份额持有期限</w:t>
            </w:r>
          </w:p>
        </w:tc>
        <w:tc>
          <w:tcPr>
            <w:tcW w:w="2398" w:type="dxa"/>
            <w:tcMar>
              <w:top w:w="0" w:type="dxa"/>
              <w:left w:w="108" w:type="dxa"/>
              <w:bottom w:w="0" w:type="dxa"/>
              <w:right w:w="108" w:type="dxa"/>
            </w:tcMar>
            <w:vAlign w:val="bottom"/>
          </w:tcPr>
          <w:p w:rsidR="008B5AA1" w:rsidRPr="00A510FC" w:rsidRDefault="008B5AA1" w:rsidP="002B7D5B">
            <w:pPr>
              <w:jc w:val="center"/>
              <w:rPr>
                <w:color w:val="000000"/>
              </w:rPr>
            </w:pPr>
            <w:r w:rsidRPr="00A510FC">
              <w:rPr>
                <w:color w:val="000000"/>
              </w:rPr>
              <w:t>A类基金份额赎回费率</w:t>
            </w:r>
          </w:p>
        </w:tc>
        <w:tc>
          <w:tcPr>
            <w:tcW w:w="2562" w:type="dxa"/>
            <w:tcMar>
              <w:top w:w="0" w:type="dxa"/>
              <w:left w:w="108" w:type="dxa"/>
              <w:bottom w:w="0" w:type="dxa"/>
              <w:right w:w="108" w:type="dxa"/>
            </w:tcMar>
            <w:vAlign w:val="bottom"/>
          </w:tcPr>
          <w:p w:rsidR="008B5AA1" w:rsidRPr="00A510FC" w:rsidRDefault="008B5AA1" w:rsidP="002B7D5B">
            <w:pPr>
              <w:ind w:rightChars="34" w:right="71"/>
              <w:jc w:val="center"/>
              <w:rPr>
                <w:color w:val="000000"/>
              </w:rPr>
            </w:pPr>
            <w:r w:rsidRPr="00A510FC">
              <w:rPr>
                <w:color w:val="000000"/>
              </w:rPr>
              <w:t>C类基金份额赎回费率</w:t>
            </w:r>
          </w:p>
        </w:tc>
      </w:tr>
      <w:tr w:rsidR="008B5AA1" w:rsidRPr="00C66953" w:rsidTr="002B7D5B">
        <w:trPr>
          <w:divId w:val="1777211167"/>
          <w:trHeight w:val="495"/>
        </w:trPr>
        <w:tc>
          <w:tcPr>
            <w:tcW w:w="4716" w:type="dxa"/>
            <w:tcMar>
              <w:top w:w="0" w:type="dxa"/>
              <w:left w:w="108" w:type="dxa"/>
              <w:bottom w:w="0" w:type="dxa"/>
              <w:right w:w="108" w:type="dxa"/>
            </w:tcMar>
            <w:vAlign w:val="center"/>
          </w:tcPr>
          <w:p w:rsidR="008B5AA1" w:rsidRPr="00A510FC" w:rsidRDefault="008B5AA1" w:rsidP="002B7D5B">
            <w:pPr>
              <w:ind w:rightChars="-252" w:right="-529"/>
              <w:jc w:val="center"/>
              <w:rPr>
                <w:color w:val="000000"/>
              </w:rPr>
            </w:pPr>
            <w:r w:rsidRPr="00A510FC">
              <w:rPr>
                <w:color w:val="000000"/>
              </w:rPr>
              <w:t>持续持有期少于7日的基金份额</w:t>
            </w:r>
          </w:p>
        </w:tc>
        <w:tc>
          <w:tcPr>
            <w:tcW w:w="2398" w:type="dxa"/>
            <w:tcMar>
              <w:top w:w="0" w:type="dxa"/>
              <w:left w:w="108" w:type="dxa"/>
              <w:bottom w:w="0" w:type="dxa"/>
              <w:right w:w="108" w:type="dxa"/>
            </w:tcMar>
            <w:vAlign w:val="center"/>
          </w:tcPr>
          <w:p w:rsidR="008B5AA1" w:rsidRPr="00A510FC" w:rsidRDefault="008B5AA1" w:rsidP="001C7801">
            <w:pPr>
              <w:ind w:firstLine="440"/>
              <w:jc w:val="center"/>
              <w:rPr>
                <w:color w:val="000000"/>
              </w:rPr>
            </w:pPr>
            <w:r w:rsidRPr="00A510FC">
              <w:rPr>
                <w:color w:val="000000"/>
              </w:rPr>
              <w:t>1.5%</w:t>
            </w:r>
          </w:p>
        </w:tc>
        <w:tc>
          <w:tcPr>
            <w:tcW w:w="2562" w:type="dxa"/>
            <w:tcMar>
              <w:top w:w="0" w:type="dxa"/>
              <w:left w:w="108" w:type="dxa"/>
              <w:bottom w:w="0" w:type="dxa"/>
              <w:right w:w="108" w:type="dxa"/>
            </w:tcMar>
            <w:vAlign w:val="center"/>
          </w:tcPr>
          <w:p w:rsidR="008B5AA1" w:rsidRPr="00A510FC" w:rsidRDefault="008B5AA1" w:rsidP="001C7801">
            <w:pPr>
              <w:ind w:firstLine="440"/>
              <w:jc w:val="center"/>
              <w:rPr>
                <w:color w:val="000000"/>
              </w:rPr>
            </w:pPr>
            <w:r w:rsidRPr="00A510FC">
              <w:rPr>
                <w:color w:val="000000"/>
              </w:rPr>
              <w:t>1.5%</w:t>
            </w:r>
          </w:p>
        </w:tc>
      </w:tr>
      <w:tr w:rsidR="008B5AA1" w:rsidRPr="00C66953" w:rsidTr="002B7D5B">
        <w:trPr>
          <w:divId w:val="1777211167"/>
          <w:trHeight w:val="585"/>
        </w:trPr>
        <w:tc>
          <w:tcPr>
            <w:tcW w:w="4716" w:type="dxa"/>
            <w:tcMar>
              <w:top w:w="0" w:type="dxa"/>
              <w:left w:w="108" w:type="dxa"/>
              <w:bottom w:w="0" w:type="dxa"/>
              <w:right w:w="108" w:type="dxa"/>
            </w:tcMar>
            <w:vAlign w:val="center"/>
          </w:tcPr>
          <w:p w:rsidR="008B5AA1" w:rsidRPr="00A510FC" w:rsidRDefault="008B5AA1" w:rsidP="002B7D5B">
            <w:pPr>
              <w:jc w:val="center"/>
              <w:rPr>
                <w:color w:val="000000"/>
              </w:rPr>
            </w:pPr>
            <w:r w:rsidRPr="00A510FC">
              <w:rPr>
                <w:color w:val="000000"/>
              </w:rPr>
              <w:t>持续持有期不少于7日（含）的但在同一开放期内申购后又赎回的基金份额</w:t>
            </w:r>
          </w:p>
        </w:tc>
        <w:tc>
          <w:tcPr>
            <w:tcW w:w="2398" w:type="dxa"/>
            <w:tcMar>
              <w:top w:w="0" w:type="dxa"/>
              <w:left w:w="108" w:type="dxa"/>
              <w:bottom w:w="0" w:type="dxa"/>
              <w:right w:w="108" w:type="dxa"/>
            </w:tcMar>
            <w:vAlign w:val="center"/>
          </w:tcPr>
          <w:p w:rsidR="008B5AA1" w:rsidRPr="00A510FC" w:rsidRDefault="008B5AA1" w:rsidP="001C7801">
            <w:pPr>
              <w:ind w:firstLine="440"/>
              <w:jc w:val="center"/>
              <w:rPr>
                <w:color w:val="000000"/>
              </w:rPr>
            </w:pPr>
            <w:r w:rsidRPr="00A510FC">
              <w:rPr>
                <w:color w:val="000000"/>
              </w:rPr>
              <w:t>1.0%</w:t>
            </w:r>
          </w:p>
        </w:tc>
        <w:tc>
          <w:tcPr>
            <w:tcW w:w="2562" w:type="dxa"/>
            <w:tcMar>
              <w:top w:w="0" w:type="dxa"/>
              <w:left w:w="108" w:type="dxa"/>
              <w:bottom w:w="0" w:type="dxa"/>
              <w:right w:w="108" w:type="dxa"/>
            </w:tcMar>
            <w:vAlign w:val="center"/>
          </w:tcPr>
          <w:p w:rsidR="008B5AA1" w:rsidRPr="00A510FC" w:rsidRDefault="008B5AA1" w:rsidP="001C7801">
            <w:pPr>
              <w:ind w:firstLine="440"/>
              <w:jc w:val="center"/>
              <w:rPr>
                <w:color w:val="000000"/>
              </w:rPr>
            </w:pPr>
            <w:r w:rsidRPr="00A510FC">
              <w:rPr>
                <w:color w:val="000000"/>
              </w:rPr>
              <w:t>1.0%</w:t>
            </w:r>
          </w:p>
        </w:tc>
      </w:tr>
      <w:tr w:rsidR="008B5AA1" w:rsidRPr="00C66953" w:rsidTr="002B7D5B">
        <w:trPr>
          <w:divId w:val="1777211167"/>
          <w:trHeight w:val="585"/>
        </w:trPr>
        <w:tc>
          <w:tcPr>
            <w:tcW w:w="4716" w:type="dxa"/>
            <w:tcMar>
              <w:top w:w="0" w:type="dxa"/>
              <w:left w:w="108" w:type="dxa"/>
              <w:bottom w:w="0" w:type="dxa"/>
              <w:right w:w="108" w:type="dxa"/>
            </w:tcMar>
            <w:vAlign w:val="center"/>
          </w:tcPr>
          <w:p w:rsidR="008B5AA1" w:rsidRPr="00A510FC" w:rsidRDefault="008B5AA1" w:rsidP="002B7D5B">
            <w:pPr>
              <w:jc w:val="center"/>
              <w:rPr>
                <w:color w:val="000000"/>
              </w:rPr>
            </w:pPr>
            <w:r w:rsidRPr="00A510FC">
              <w:rPr>
                <w:color w:val="000000"/>
              </w:rPr>
              <w:t>认购或在某一开放期申购并持有一个封闭期以上的基金份额</w:t>
            </w:r>
          </w:p>
        </w:tc>
        <w:tc>
          <w:tcPr>
            <w:tcW w:w="2398" w:type="dxa"/>
            <w:tcMar>
              <w:top w:w="0" w:type="dxa"/>
              <w:left w:w="108" w:type="dxa"/>
              <w:bottom w:w="0" w:type="dxa"/>
              <w:right w:w="108" w:type="dxa"/>
            </w:tcMar>
            <w:vAlign w:val="center"/>
          </w:tcPr>
          <w:p w:rsidR="008B5AA1" w:rsidRPr="00A510FC" w:rsidRDefault="008B5AA1" w:rsidP="001C7801">
            <w:pPr>
              <w:ind w:firstLine="440"/>
              <w:jc w:val="center"/>
              <w:rPr>
                <w:color w:val="000000"/>
              </w:rPr>
            </w:pPr>
            <w:r w:rsidRPr="00A510FC">
              <w:rPr>
                <w:color w:val="000000"/>
              </w:rPr>
              <w:t>0</w:t>
            </w:r>
          </w:p>
        </w:tc>
        <w:tc>
          <w:tcPr>
            <w:tcW w:w="2562" w:type="dxa"/>
            <w:tcMar>
              <w:top w:w="0" w:type="dxa"/>
              <w:left w:w="108" w:type="dxa"/>
              <w:bottom w:w="0" w:type="dxa"/>
              <w:right w:w="108" w:type="dxa"/>
            </w:tcMar>
            <w:vAlign w:val="center"/>
          </w:tcPr>
          <w:p w:rsidR="008B5AA1" w:rsidRPr="00A510FC" w:rsidRDefault="008B5AA1" w:rsidP="001C7801">
            <w:pPr>
              <w:ind w:firstLine="440"/>
              <w:jc w:val="center"/>
              <w:rPr>
                <w:color w:val="000000"/>
              </w:rPr>
            </w:pPr>
            <w:r w:rsidRPr="00A510FC">
              <w:rPr>
                <w:color w:val="000000"/>
              </w:rPr>
              <w:t>0</w:t>
            </w:r>
          </w:p>
        </w:tc>
      </w:tr>
    </w:tbl>
    <w:p w:rsidR="00C66953" w:rsidRPr="00A510FC" w:rsidRDefault="00C66953" w:rsidP="00A510FC">
      <w:pPr>
        <w:pStyle w:val="XBRLTitle2"/>
        <w:numPr>
          <w:ilvl w:val="0"/>
          <w:numId w:val="0"/>
        </w:numPr>
        <w:spacing w:before="156" w:line="360" w:lineRule="auto"/>
        <w:ind w:left="454" w:hanging="454"/>
        <w:divId w:val="1747455226"/>
        <w:rPr>
          <w:rFonts w:hAnsi="宋体"/>
          <w:b w:val="0"/>
          <w:bCs w:val="0"/>
          <w:kern w:val="2"/>
          <w:sz w:val="21"/>
          <w:szCs w:val="20"/>
          <w:lang w:val="en-US"/>
        </w:rPr>
      </w:pPr>
      <w:r w:rsidRPr="00A510FC">
        <w:rPr>
          <w:rFonts w:hAnsi="宋体"/>
          <w:b w:val="0"/>
          <w:bCs w:val="0"/>
          <w:kern w:val="2"/>
          <w:sz w:val="21"/>
          <w:szCs w:val="20"/>
          <w:lang w:val="en-US"/>
        </w:rPr>
        <w:t>本基金的赎回费用由赎回基金份额的基金份额持有人承担，上述赎回费全额计入基金财产。</w:t>
      </w:r>
    </w:p>
    <w:p w:rsidR="00D4693A" w:rsidRDefault="00D4693A">
      <w:pPr>
        <w:pStyle w:val="XBRLTitle2"/>
        <w:spacing w:before="156" w:line="360" w:lineRule="auto"/>
        <w:divId w:val="1747455226"/>
        <w:rPr>
          <w:rFonts w:hint="eastAsia"/>
        </w:rPr>
      </w:pPr>
      <w:bookmarkStart w:id="109" w:name="m403"/>
      <w:bookmarkStart w:id="110" w:name="_Toc34841037"/>
      <w:bookmarkStart w:id="111" w:name="_Toc17898192"/>
      <w:bookmarkStart w:id="112" w:name="_Toc17897946"/>
      <w:bookmarkStart w:id="113" w:name="_Toc481075061"/>
      <w:bookmarkStart w:id="114" w:name="_Toc490050014"/>
      <w:bookmarkStart w:id="115" w:name="_Toc512519493"/>
      <w:bookmarkStart w:id="116" w:name="_Toc513295855"/>
      <w:bookmarkStart w:id="117" w:name="_Toc513295905"/>
      <w:bookmarkStart w:id="118" w:name="_Toc34758528"/>
      <w:bookmarkStart w:id="119" w:name="m405_01_2550"/>
      <w:bookmarkEnd w:id="109"/>
      <w:r>
        <w:rPr>
          <w:rFonts w:hAnsi="宋体" w:hint="eastAsia"/>
        </w:rPr>
        <w:t>其他与赎回相关的事项</w:t>
      </w:r>
      <w:bookmarkEnd w:id="110"/>
      <w:bookmarkEnd w:id="111"/>
      <w:bookmarkEnd w:id="112"/>
      <w:bookmarkEnd w:id="113"/>
      <w:bookmarkEnd w:id="114"/>
      <w:bookmarkEnd w:id="115"/>
      <w:bookmarkEnd w:id="116"/>
      <w:bookmarkEnd w:id="117"/>
      <w:bookmarkEnd w:id="118"/>
      <w:r>
        <w:rPr>
          <w:rFonts w:hAnsi="宋体" w:hint="eastAsia"/>
        </w:rPr>
        <w:t xml:space="preserve"> </w:t>
      </w:r>
    </w:p>
    <w:p w:rsidR="00D4693A" w:rsidRDefault="00D4693A">
      <w:pPr>
        <w:pStyle w:val="XBRLTitle1"/>
        <w:spacing w:before="156" w:line="360" w:lineRule="auto"/>
        <w:divId w:val="505634143"/>
        <w:rPr>
          <w:rFonts w:hint="eastAsia"/>
        </w:rPr>
      </w:pPr>
      <w:bookmarkStart w:id="120" w:name="_Toc34758529"/>
      <w:bookmarkStart w:id="121" w:name="_Toc513295908"/>
      <w:bookmarkStart w:id="122" w:name="_Toc513295858"/>
      <w:bookmarkStart w:id="123" w:name="_Toc490050017"/>
      <w:bookmarkStart w:id="124" w:name="_Toc438646466"/>
      <w:bookmarkStart w:id="125" w:name="_Toc481075064"/>
      <w:bookmarkStart w:id="126" w:name="_Toc512519496"/>
      <w:bookmarkStart w:id="127" w:name="_Toc17897949"/>
      <w:bookmarkStart w:id="128" w:name="_Toc17898195"/>
      <w:bookmarkStart w:id="129" w:name="_Toc34841038"/>
      <w:bookmarkEnd w:id="119"/>
      <w:r>
        <w:rPr>
          <w:rFonts w:hAnsi="宋体" w:hint="eastAsia"/>
        </w:rPr>
        <w:t>日常转换业务</w:t>
      </w:r>
      <w:bookmarkEnd w:id="120"/>
      <w:bookmarkEnd w:id="121"/>
      <w:bookmarkEnd w:id="122"/>
      <w:bookmarkEnd w:id="123"/>
      <w:bookmarkEnd w:id="124"/>
      <w:bookmarkEnd w:id="125"/>
      <w:bookmarkEnd w:id="126"/>
      <w:bookmarkEnd w:id="127"/>
      <w:bookmarkEnd w:id="128"/>
      <w:bookmarkEnd w:id="129"/>
      <w:r>
        <w:rPr>
          <w:rFonts w:hAnsi="宋体" w:hint="eastAsia"/>
        </w:rPr>
        <w:t xml:space="preserve"> </w:t>
      </w:r>
    </w:p>
    <w:p w:rsidR="00D4693A" w:rsidRDefault="00D4693A">
      <w:pPr>
        <w:pStyle w:val="XBRLTitle2"/>
        <w:spacing w:before="156" w:line="360" w:lineRule="auto"/>
        <w:divId w:val="1279024227"/>
        <w:rPr>
          <w:rFonts w:hint="eastAsia"/>
        </w:rPr>
      </w:pPr>
      <w:bookmarkStart w:id="130" w:name="_Toc34758530"/>
      <w:bookmarkStart w:id="131" w:name="_Toc513295909"/>
      <w:bookmarkStart w:id="132" w:name="_Toc513295859"/>
      <w:bookmarkStart w:id="133" w:name="_Toc512519497"/>
      <w:bookmarkStart w:id="134" w:name="_Toc490050018"/>
      <w:bookmarkStart w:id="135" w:name="_Toc438646467"/>
      <w:bookmarkStart w:id="136" w:name="_Toc481075065"/>
      <w:bookmarkStart w:id="137" w:name="_Toc17897950"/>
      <w:bookmarkStart w:id="138" w:name="_Toc17898196"/>
      <w:bookmarkStart w:id="139" w:name="_Toc34841039"/>
      <w:bookmarkStart w:id="140" w:name="m501"/>
      <w:r>
        <w:rPr>
          <w:rFonts w:hAnsi="宋体" w:hint="eastAsia"/>
        </w:rPr>
        <w:t>转换费率</w:t>
      </w:r>
      <w:bookmarkEnd w:id="130"/>
      <w:bookmarkEnd w:id="131"/>
      <w:bookmarkEnd w:id="132"/>
      <w:bookmarkEnd w:id="133"/>
      <w:bookmarkEnd w:id="134"/>
      <w:bookmarkEnd w:id="135"/>
      <w:bookmarkEnd w:id="136"/>
      <w:bookmarkEnd w:id="137"/>
      <w:bookmarkEnd w:id="138"/>
      <w:bookmarkEnd w:id="139"/>
      <w:r>
        <w:rPr>
          <w:rFonts w:hAnsi="宋体" w:hint="eastAsia"/>
        </w:rPr>
        <w:t xml:space="preserve"> </w:t>
      </w:r>
    </w:p>
    <w:p w:rsidR="00D4693A" w:rsidRDefault="00D4693A">
      <w:pPr>
        <w:spacing w:line="360" w:lineRule="auto"/>
        <w:ind w:firstLineChars="200" w:firstLine="420"/>
        <w:divId w:val="1279024227"/>
        <w:rPr>
          <w:rFonts w:hint="eastAsia"/>
        </w:rPr>
      </w:pPr>
      <w:r>
        <w:rPr>
          <w:rFonts w:hint="eastAsia"/>
          <w:lang/>
        </w:rPr>
        <w:t>5.1.1．基金转换费用由转出基金的赎回费和转出与转入基金的申购费补差二部分构成，具体收取情况视每次转换时两只基金的申购费差异情况和赎回费率而定。基金转换费用由基金份额持有人承担。</w:t>
      </w:r>
      <w:r>
        <w:rPr>
          <w:rFonts w:hint="eastAsia"/>
          <w:lang/>
        </w:rPr>
        <w:br/>
        <w:t xml:space="preserve">　　转入份额保留到小数点后两位，剩余部分舍去，舍去部分所代表的资产归转入基金财产所有。</w:t>
      </w:r>
      <w:r>
        <w:rPr>
          <w:rFonts w:hint="eastAsia"/>
          <w:lang/>
        </w:rPr>
        <w:br/>
        <w:t xml:space="preserve">　　（1）如转入基金的申购费率&gt;转出基金的申购费率</w:t>
      </w:r>
      <w:r>
        <w:rPr>
          <w:rFonts w:hint="eastAsia"/>
          <w:lang/>
        </w:rPr>
        <w:br/>
        <w:t xml:space="preserve">　　转出金额＝转出基金份额×转出基金当日基金份额净值</w:t>
      </w:r>
      <w:r>
        <w:rPr>
          <w:rFonts w:hint="eastAsia"/>
          <w:lang/>
        </w:rPr>
        <w:br/>
        <w:t xml:space="preserve">　　转出基金赎回费＝转出金额×转出基金赎回费率</w:t>
      </w:r>
      <w:r>
        <w:rPr>
          <w:rFonts w:hint="eastAsia"/>
          <w:lang/>
        </w:rPr>
        <w:br/>
        <w:t xml:space="preserve">　　转入总金额＝转出金额－转出基金赎回费</w:t>
      </w:r>
      <w:r>
        <w:rPr>
          <w:rFonts w:hint="eastAsia"/>
          <w:lang/>
        </w:rPr>
        <w:br/>
        <w:t xml:space="preserve">　　转入基金申购费补差＝[转入总金额－转入总金额/(1+转入基金申购费率)]—[转入总金额－转入总金额/(1+转出基金申购费率)]</w:t>
      </w:r>
      <w:r>
        <w:rPr>
          <w:rFonts w:hint="eastAsia"/>
          <w:lang/>
        </w:rPr>
        <w:br/>
        <w:t xml:space="preserve">　　转入净金额＝转入总金额－转入基金申购费补差</w:t>
      </w:r>
      <w:r>
        <w:rPr>
          <w:rFonts w:hint="eastAsia"/>
          <w:lang/>
        </w:rPr>
        <w:br/>
        <w:t xml:space="preserve">　　转入份额＝转入净金额/转入基金当日基金份额净值</w:t>
      </w:r>
      <w:r>
        <w:rPr>
          <w:rFonts w:hint="eastAsia"/>
          <w:lang/>
        </w:rPr>
        <w:br/>
        <w:t xml:space="preserve">　　基金转换费＝转出基金赎回费＋转入基金申购费补差</w:t>
      </w:r>
      <w:r>
        <w:rPr>
          <w:rFonts w:hint="eastAsia"/>
          <w:lang/>
        </w:rPr>
        <w:br/>
        <w:t xml:space="preserve">　　（2）如转出基金的申购费率≥转入基金的申购费率</w:t>
      </w:r>
      <w:r>
        <w:rPr>
          <w:rFonts w:hint="eastAsia"/>
          <w:lang/>
        </w:rPr>
        <w:br/>
        <w:t xml:space="preserve">　　基金转换费用＝转出金额×转出基金赎回费率</w:t>
      </w:r>
      <w:r>
        <w:rPr>
          <w:rFonts w:hint="eastAsia"/>
          <w:lang/>
        </w:rPr>
        <w:br/>
        <w:t xml:space="preserve">　　5.1.2．计算基金转换费用所涉及的申购费率和赎回费率均按基金合同、招募说明书（更新）规定费率执行，对于通过本公司网上交易、费率优惠活动期间发生的基金转换业务，按照本公司最新公告的相关费率计算基金转换费用。</w:t>
      </w:r>
    </w:p>
    <w:p w:rsidR="00D4693A" w:rsidRDefault="00D4693A">
      <w:pPr>
        <w:pStyle w:val="XBRLTitle2"/>
        <w:spacing w:before="156" w:line="360" w:lineRule="auto"/>
        <w:divId w:val="1899709612"/>
        <w:rPr>
          <w:rFonts w:hint="eastAsia"/>
        </w:rPr>
      </w:pPr>
      <w:bookmarkStart w:id="141" w:name="m502"/>
      <w:bookmarkStart w:id="142" w:name="_Toc438646470"/>
      <w:bookmarkStart w:id="143" w:name="m504"/>
      <w:bookmarkStart w:id="144" w:name="_Toc34758531"/>
      <w:bookmarkStart w:id="145" w:name="_Toc513295913"/>
      <w:bookmarkStart w:id="146" w:name="_Toc513295861"/>
      <w:bookmarkStart w:id="147" w:name="_Toc512519501"/>
      <w:bookmarkStart w:id="148" w:name="_Toc490050022"/>
      <w:bookmarkStart w:id="149" w:name="_Toc481075069"/>
      <w:bookmarkStart w:id="150" w:name="_Toc17897952"/>
      <w:bookmarkStart w:id="151" w:name="_Toc17898200"/>
      <w:bookmarkStart w:id="152" w:name="_Toc34841040"/>
      <w:bookmarkEnd w:id="140"/>
      <w:r>
        <w:rPr>
          <w:rFonts w:hAnsi="宋体" w:hint="eastAsia"/>
        </w:rPr>
        <w:t>其他与转换相关的事项</w:t>
      </w:r>
      <w:bookmarkEnd w:id="141"/>
      <w:bookmarkEnd w:id="142"/>
      <w:bookmarkEnd w:id="143"/>
      <w:bookmarkEnd w:id="144"/>
      <w:bookmarkEnd w:id="145"/>
      <w:bookmarkEnd w:id="146"/>
      <w:bookmarkEnd w:id="147"/>
      <w:bookmarkEnd w:id="148"/>
      <w:bookmarkEnd w:id="149"/>
      <w:bookmarkEnd w:id="150"/>
      <w:bookmarkEnd w:id="151"/>
      <w:bookmarkEnd w:id="152"/>
      <w:r>
        <w:rPr>
          <w:rFonts w:hAnsi="宋体" w:hint="eastAsia"/>
        </w:rPr>
        <w:t xml:space="preserve"> </w:t>
      </w:r>
    </w:p>
    <w:p w:rsidR="00D4693A" w:rsidRDefault="006E6BC4">
      <w:pPr>
        <w:spacing w:line="360" w:lineRule="auto"/>
        <w:ind w:firstLineChars="200" w:firstLine="420"/>
        <w:divId w:val="1899709612"/>
        <w:rPr>
          <w:rFonts w:hint="eastAsia"/>
        </w:rPr>
      </w:pPr>
      <w:r w:rsidRPr="00A8746F">
        <w:rPr>
          <w:rFonts w:hint="eastAsia"/>
          <w:kern w:val="0"/>
          <w:szCs w:val="21"/>
          <w:lang/>
        </w:rPr>
        <w:t>5.2.1．由于各基金销售机构系统及业务安排等原因，开放日的具体交易时间可能有所不同，投资者应参照各基金销售机构的具体规定。本基金开通与华商基金旗下其它开放式基金（仅限由同一登记机构办理注册登记的、已公告开通基金转换业务的基金，且不得为个人养老金基金的单设份额类别）之间的转换业务，各基金转换业务的开放状态及交易限制详见各基金相关公告。</w:t>
      </w:r>
      <w:r w:rsidRPr="00A8746F">
        <w:rPr>
          <w:rFonts w:hint="eastAsia"/>
          <w:kern w:val="0"/>
          <w:szCs w:val="21"/>
          <w:lang/>
        </w:rPr>
        <w:br/>
        <w:t xml:space="preserve">　　5.2.2．基金转换只能在同一销售机构进行。同一只基金（已单独公告开通不同份额之间相互转换的基金除外）的不同份额之间不能互相转换，确认日期不同的基金不能互相转换。</w:t>
      </w:r>
      <w:r w:rsidR="00D4693A">
        <w:rPr>
          <w:rFonts w:hint="eastAsia"/>
          <w:kern w:val="0"/>
          <w:szCs w:val="21"/>
          <w:lang/>
        </w:rPr>
        <w:br/>
        <w:t xml:space="preserve">　　5.2.3．基金份额持有人办理基金转换业务时，拟转出的基金必须处于可赎回状态，拟转入的基金必须处于可申购状态。</w:t>
      </w:r>
      <w:r w:rsidR="00D4693A">
        <w:rPr>
          <w:rFonts w:hint="eastAsia"/>
          <w:kern w:val="0"/>
          <w:szCs w:val="21"/>
          <w:lang/>
        </w:rPr>
        <w:br/>
        <w:t xml:space="preserve">　　5.2.4．基金转换以份额为单位进行申请，份额转出遵循“先进先出”的原则，即：份额注册日期在前的先转换出，份额注册日期在后的后转换出。如果转换申请当日，同时有赎回申请的情况下，则遵循先赎回后转换的处理原则。基金份额持有人可以发起多次基金转换业务，基金转换费用按每笔申请单独计算。</w:t>
      </w:r>
      <w:r w:rsidR="00D4693A">
        <w:rPr>
          <w:rFonts w:hint="eastAsia"/>
          <w:kern w:val="0"/>
          <w:szCs w:val="21"/>
          <w:lang/>
        </w:rPr>
        <w:br/>
        <w:t xml:space="preserve">　　5.2.5．基金转换采取未知价法，即基金的转换价格以转换申请受理当日各转出、转入基金的份额净值为基准进行计算。</w:t>
      </w:r>
      <w:r w:rsidR="00D4693A">
        <w:rPr>
          <w:rFonts w:hint="eastAsia"/>
          <w:kern w:val="0"/>
          <w:szCs w:val="21"/>
          <w:lang/>
        </w:rPr>
        <w:br/>
        <w:t xml:space="preserve">　　5.2.6．基金转换的最低申请份额为1份基金份额，基金份额持有人可将其全部或部分基金份额基金转换，但某笔基金转换导致其在一个销售机构的保留的基金份额余额不足1份时，该不足1份基金份额部分将会被强制赎回。</w:t>
      </w:r>
      <w:r w:rsidR="00D4693A">
        <w:rPr>
          <w:rFonts w:hint="eastAsia"/>
          <w:kern w:val="0"/>
          <w:szCs w:val="21"/>
          <w:lang/>
        </w:rPr>
        <w:br/>
        <w:t xml:space="preserve">　　5.2.7．基金份额持有人对转入的基金份额持有期自转入日开始计算。转入的基金在赎回或转出时，按照自基金转入确认日起至该部分基金份额赎回或转出确认日止的持有时段所适用的赎回费率计算赎回费。</w:t>
      </w:r>
      <w:r w:rsidR="00D4693A">
        <w:rPr>
          <w:rFonts w:hint="eastAsia"/>
          <w:kern w:val="0"/>
          <w:szCs w:val="21"/>
          <w:lang/>
        </w:rPr>
        <w:br/>
        <w:t xml:space="preserve">　　5.2.8．正常情况下，基金登记机构将在T＋1日对基金份额持有人T日的基金转换业务申请进行有效性确认，办理转出基金的权益扣除以及转入基金的权益登记。在T＋2日后（包括该日）基金份额持有人可查询基金转换的成交情况。</w:t>
      </w:r>
      <w:r w:rsidR="00D4693A">
        <w:rPr>
          <w:rFonts w:hint="eastAsia"/>
          <w:kern w:val="0"/>
          <w:szCs w:val="21"/>
          <w:lang/>
        </w:rPr>
        <w:br/>
        <w:t xml:space="preserve">　　5.2.9．若本基金开放期内单个开放日内的基金份额净赎回申请(赎回申请份额总数加上基金转换中转出申请份额总数后扣除申购申请份额总数及基金转换中转入申请份额总数后的余额)超过前一工作日的基金总份额的20%，即认为是发生了巨额赎回。发生巨额赎回时，由基金管理人按照基金合同规定的处理程序进行受理。 </w:t>
      </w:r>
    </w:p>
    <w:p w:rsidR="00D4693A" w:rsidRDefault="00D4693A">
      <w:pPr>
        <w:pStyle w:val="XBRLTitle1"/>
        <w:spacing w:before="156" w:line="360" w:lineRule="auto"/>
        <w:divId w:val="1728989096"/>
        <w:rPr>
          <w:rFonts w:hint="eastAsia"/>
        </w:rPr>
      </w:pPr>
      <w:bookmarkStart w:id="153" w:name="_Toc3475852111"/>
      <w:bookmarkStart w:id="154" w:name="_Toc34841042"/>
      <w:r>
        <w:rPr>
          <w:rFonts w:hAnsi="宋体" w:hint="eastAsia"/>
        </w:rPr>
        <w:t>基金销售机构</w:t>
      </w:r>
      <w:bookmarkEnd w:id="31"/>
      <w:bookmarkEnd w:id="32"/>
      <w:bookmarkEnd w:id="33"/>
      <w:bookmarkEnd w:id="34"/>
      <w:bookmarkEnd w:id="35"/>
      <w:bookmarkEnd w:id="36"/>
      <w:bookmarkEnd w:id="37"/>
      <w:bookmarkEnd w:id="38"/>
      <w:bookmarkEnd w:id="153"/>
      <w:bookmarkEnd w:id="154"/>
      <w:r>
        <w:rPr>
          <w:rFonts w:hAnsi="宋体" w:hint="eastAsia"/>
        </w:rPr>
        <w:t xml:space="preserve"> </w:t>
      </w:r>
    </w:p>
    <w:p w:rsidR="00D4693A" w:rsidRDefault="00D4693A">
      <w:pPr>
        <w:pStyle w:val="XBRLTitle2"/>
        <w:spacing w:before="156" w:line="360" w:lineRule="auto"/>
        <w:divId w:val="1892226139"/>
        <w:rPr>
          <w:rFonts w:hint="eastAsia"/>
        </w:rPr>
      </w:pPr>
      <w:bookmarkStart w:id="155" w:name="_Toc51346565811"/>
      <w:r>
        <w:rPr>
          <w:rFonts w:hAnsi="宋体" w:hint="eastAsia"/>
        </w:rPr>
        <w:t>场外销售机构</w:t>
      </w:r>
      <w:bookmarkEnd w:id="52"/>
      <w:bookmarkEnd w:id="53"/>
      <w:bookmarkEnd w:id="54"/>
      <w:bookmarkEnd w:id="55"/>
      <w:bookmarkEnd w:id="155"/>
      <w:r>
        <w:rPr>
          <w:rFonts w:hAnsi="宋体" w:hint="eastAsia"/>
        </w:rPr>
        <w:t xml:space="preserve"> </w:t>
      </w:r>
    </w:p>
    <w:p w:rsidR="00D4693A" w:rsidRDefault="00D4693A">
      <w:pPr>
        <w:pStyle w:val="XBRLTitle3"/>
        <w:spacing w:before="156"/>
        <w:divId w:val="1202671589"/>
        <w:rPr>
          <w:rFonts w:hint="eastAsia"/>
        </w:rPr>
      </w:pPr>
      <w:bookmarkStart w:id="156" w:name="_Toc51346565911"/>
      <w:r>
        <w:rPr>
          <w:rFonts w:hint="eastAsia"/>
        </w:rPr>
        <w:t>直销机构</w:t>
      </w:r>
      <w:bookmarkEnd w:id="57"/>
      <w:bookmarkEnd w:id="58"/>
      <w:bookmarkEnd w:id="59"/>
      <w:bookmarkEnd w:id="156"/>
      <w:r>
        <w:rPr>
          <w:rFonts w:hint="eastAsia"/>
          <w:lang w:eastAsia="zh-CN"/>
        </w:rPr>
        <w:t xml:space="preserve"> </w:t>
      </w:r>
    </w:p>
    <w:p w:rsidR="00D4693A" w:rsidRDefault="00D4693A">
      <w:pPr>
        <w:spacing w:line="360" w:lineRule="auto"/>
        <w:ind w:firstLineChars="200" w:firstLine="420"/>
        <w:divId w:val="1202671589"/>
        <w:rPr>
          <w:rFonts w:hint="eastAsia"/>
        </w:rPr>
      </w:pPr>
      <w:r>
        <w:rPr>
          <w:rFonts w:hint="eastAsia"/>
          <w:lang/>
        </w:rPr>
        <w:t>华商基金管理有限公司</w:t>
      </w:r>
      <w:r>
        <w:rPr>
          <w:rFonts w:hint="eastAsia"/>
          <w:lang/>
        </w:rPr>
        <w:br/>
        <w:t xml:space="preserve">　　公司网址：http://www.hsfund.com</w:t>
      </w:r>
      <w:r>
        <w:rPr>
          <w:rFonts w:hint="eastAsia"/>
          <w:lang/>
        </w:rPr>
        <w:br/>
        <w:t xml:space="preserve">　　客户服务电话：400-700-8880</w:t>
      </w:r>
      <w:r>
        <w:rPr>
          <w:rFonts w:hint="eastAsia"/>
          <w:lang/>
        </w:rPr>
        <w:br/>
        <w:t xml:space="preserve">　　客户服务信箱：services@hsfund.com</w:t>
      </w:r>
    </w:p>
    <w:p w:rsidR="00D4693A" w:rsidRDefault="00D4693A">
      <w:pPr>
        <w:pStyle w:val="XBRLTitle3"/>
        <w:spacing w:before="156"/>
        <w:divId w:val="532234534"/>
        <w:rPr>
          <w:rFonts w:hint="eastAsia"/>
        </w:rPr>
      </w:pPr>
      <w:bookmarkStart w:id="157" w:name="_Toc51346566011"/>
      <w:r>
        <w:rPr>
          <w:rFonts w:hint="eastAsia"/>
        </w:rPr>
        <w:t>场外非直销机构</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157"/>
    </w:p>
    <w:tbl>
      <w:tblPr>
        <w:tblW w:w="7938" w:type="dxa"/>
        <w:jc w:val="center"/>
        <w:tblLook w:val="04A0"/>
      </w:tblPr>
      <w:tblGrid>
        <w:gridCol w:w="1276"/>
        <w:gridCol w:w="5103"/>
        <w:gridCol w:w="1559"/>
      </w:tblGrid>
      <w:tr w:rsidR="000E33F3" w:rsidRPr="000E33F3" w:rsidTr="002B7D5B">
        <w:trPr>
          <w:divId w:val="532234534"/>
          <w:trHeight w:val="558"/>
          <w:jc w:val="cent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33F3" w:rsidRPr="000E33F3" w:rsidRDefault="000E33F3" w:rsidP="000E33F3">
            <w:pPr>
              <w:widowControl/>
              <w:jc w:val="center"/>
              <w:rPr>
                <w:b/>
                <w:color w:val="000000"/>
                <w:kern w:val="0"/>
                <w:sz w:val="22"/>
                <w:szCs w:val="22"/>
              </w:rPr>
            </w:pPr>
            <w:r w:rsidRPr="000E33F3">
              <w:rPr>
                <w:rFonts w:hint="eastAsia"/>
                <w:b/>
                <w:color w:val="000000"/>
                <w:kern w:val="0"/>
                <w:sz w:val="22"/>
                <w:szCs w:val="22"/>
              </w:rPr>
              <w:t>序号</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rsidR="000E33F3" w:rsidRPr="000E33F3" w:rsidRDefault="000E33F3" w:rsidP="000E33F3">
            <w:pPr>
              <w:widowControl/>
              <w:jc w:val="center"/>
              <w:rPr>
                <w:rFonts w:hint="eastAsia"/>
                <w:b/>
                <w:color w:val="000000"/>
                <w:kern w:val="0"/>
                <w:sz w:val="22"/>
                <w:szCs w:val="22"/>
              </w:rPr>
            </w:pPr>
            <w:r w:rsidRPr="000E33F3">
              <w:rPr>
                <w:rFonts w:hint="eastAsia"/>
                <w:b/>
                <w:color w:val="000000"/>
                <w:kern w:val="0"/>
                <w:sz w:val="22"/>
                <w:szCs w:val="22"/>
              </w:rPr>
              <w:t>销售机构</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E33F3" w:rsidRPr="000E33F3" w:rsidRDefault="000E33F3" w:rsidP="000E33F3">
            <w:pPr>
              <w:widowControl/>
              <w:jc w:val="center"/>
              <w:rPr>
                <w:rFonts w:hint="eastAsia"/>
                <w:b/>
                <w:color w:val="000000"/>
                <w:kern w:val="0"/>
                <w:sz w:val="22"/>
                <w:szCs w:val="22"/>
              </w:rPr>
            </w:pPr>
            <w:r w:rsidRPr="000E33F3">
              <w:rPr>
                <w:rFonts w:hint="eastAsia"/>
                <w:b/>
                <w:color w:val="000000"/>
                <w:kern w:val="0"/>
                <w:sz w:val="22"/>
                <w:szCs w:val="22"/>
              </w:rPr>
              <w:t>是否开通转换</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lang/>
              </w:rPr>
            </w:pPr>
            <w:r w:rsidRPr="00406BAA">
              <w:rPr>
                <w:rFonts w:hint="eastAsia"/>
                <w:lang/>
              </w:rPr>
              <w:t>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中国工商银行股份有限公司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中国农业银行股份有限公司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交通银行股份有限公司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招商银行股份有限公司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上海浦东发展银行股份有限公司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兴业银行股份有限公司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中国邮政储蓄银行股份有限公司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平安银行股份有限公司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宁波银行股份有限公司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江苏银行股份有限公司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乌鲁木齐银行股份有限公司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东莞农村商业银行股份有限公司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晋商银行股份有限公司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浙江泰隆商业银行股份有限公司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深圳前海微众银行股份有限公司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中信期货有限公司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国泰海通证券股份有限公司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中信建投证券股份有限公司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国信证券股份有限公司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招商证券股份有限公司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广发证券股份有限公司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中信证券股份有限公司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中国银河证券股份有限公司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申万宏源证券有限公司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兴业证券股份有限公司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长江证券股份有限公司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国投证券股份有限公司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西南证券股份有限公司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29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湘财证券股份有限公司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万联证券股份有限公司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渤海证券股份有限公司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华泰证券股份有限公司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山西证券股份有限公司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中信证券（山东）有限责任公司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东兴证券股份有限公司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东吴证券股份有限公司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信达证券股份有限公司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长城证券股份有限公司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39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光大证券股份有限公司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中信证券华南股份有限公司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南京证券股份有限公司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上海证券有限责任公司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国联民生证券股份有限公司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浙商证券股份有限公司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平安证券股份有限公司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华安证券股份有限公司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东莞证券股份有限公司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国都证券股份有限公司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49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东海证券股份有限公司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国盛证券股份有限公司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华西证券股份有限公司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申万宏源西部证券有限公司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中泰证券股份有限公司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世纪证券有限责任公司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第一创业证券股份有限公司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中航证券有限公司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华福证券股份有限公司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华龙证券股份有限公司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59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甬兴证券有限公司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否</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五矿证券有限公司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华鑫证券有限责任公司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中国中金财富证券有限公司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东方财富证券股份有限公司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国金证券股份有限公司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华宝证券股份有限公司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国新证券股份有限公司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华创证券有限责任公司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万和证券股份有限公司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69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中邮证券有限责任公司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首创证券股份有限公司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开源证券股份有限公司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麦高证券有限责任公司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联储证券股份有限公司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玄元保险代理有限公司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中国人寿保险股份有限公司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天相投资顾问有限公司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深圳市新兰德证券投资咨询有限公司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和讯信息科技有限公司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79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和信证券投资咨询股份有限公司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江苏汇林保大基金销售有限公司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上海挖财基金销售有限公司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上海陆享基金销售有限公司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腾安基金销售（深圳）有限公司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北京度小满基金销售有限公司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博时财富基金销售有限公司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易方达财富管理基金销售（广州）有限公司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诺亚正行基金销售有限公司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深圳众禄基金销售股份有限公司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89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上海天天基金销售有限公司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上海好买基金销售有限公司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蚂蚁（杭州）基金销售有限公司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上海长量基金销售有限公司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浙江同花顺基金销售有限公司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北京展恒基金销售股份有限公司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上海利得基金销售有限公司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嘉实财富管理有限公司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北京创金启富基金销售有限公司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泛华普益基金销售有限公司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99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宜信普泽（北京）基金销售有限公司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南京苏宁基金销售有限公司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北京格上富信基金销售有限公司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浦领基金销售有限公司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华源证券股份有限公司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北京汇成基金销售有限公司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一路财富（深圳）基金销售有限公司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北京广源达信基金销售有限公司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天津国美基金销售有限公司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上海大智慧基金销售有限公司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109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北京新浪仓石基金销售有限公司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北京加和基金销售有限公司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北京济安基金销售有限公司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上海万得基金销售有限公司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上海联泰基金销售有限公司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上海汇付基金销售有限公司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北京坤元基金销售有限公司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泰信财富基金销售有限公司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上海基煜基金销售有限公司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上海凯石财富基金销售有限公司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119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上海中正达广基金销售有限公司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北京虹点基金销售有限公司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上海攀赢基金销售有限公司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上海陆金所基金销售有限公司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珠海盈米基金销售有限公司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和耕传承基金销售有限公司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奕丰基金销售有限公司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126</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中证金牛（北京）基金销售有限公司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127</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上海爱建基金销售有限公司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128</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京东肯特瑞基金销售有限公司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129</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大连网金基金销售有限公司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130</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深圳市金斧子基金销售有限公司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131</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北京雪球基金销售有限公司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132</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深圳市前海排排网基金销售有限责任公司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133</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上海中欧财富基金销售有限公司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134</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上海华夏财富投资管理有限公司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r w:rsidR="00406BAA" w:rsidRPr="00406BAA" w:rsidTr="00406BAA">
        <w:trPr>
          <w:divId w:val="532234534"/>
          <w:trHeight w:val="28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135</w:t>
            </w:r>
          </w:p>
        </w:tc>
        <w:tc>
          <w:tcPr>
            <w:tcW w:w="5103"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jc w:val="center"/>
              <w:rPr>
                <w:rFonts w:hint="eastAsia"/>
                <w:lang/>
              </w:rPr>
            </w:pPr>
            <w:r w:rsidRPr="00406BAA">
              <w:rPr>
                <w:rFonts w:hint="eastAsia"/>
                <w:lang/>
              </w:rPr>
              <w:t>洪泰财富（青岛）基金销售有限责任公司</w:t>
            </w:r>
          </w:p>
        </w:tc>
        <w:tc>
          <w:tcPr>
            <w:tcW w:w="1559" w:type="dxa"/>
            <w:tcBorders>
              <w:top w:val="nil"/>
              <w:left w:val="nil"/>
              <w:bottom w:val="single" w:sz="4" w:space="0" w:color="auto"/>
              <w:right w:val="single" w:sz="4" w:space="0" w:color="auto"/>
            </w:tcBorders>
            <w:shd w:val="clear" w:color="auto" w:fill="auto"/>
            <w:noWrap/>
            <w:vAlign w:val="center"/>
            <w:hideMark/>
          </w:tcPr>
          <w:p w:rsidR="00406BAA" w:rsidRPr="00406BAA" w:rsidRDefault="00406BAA" w:rsidP="002B7D5B">
            <w:pPr>
              <w:spacing w:line="360" w:lineRule="auto"/>
              <w:ind w:firstLineChars="200" w:firstLine="420"/>
              <w:rPr>
                <w:rFonts w:hint="eastAsia"/>
                <w:lang/>
              </w:rPr>
            </w:pPr>
            <w:r w:rsidRPr="00406BAA">
              <w:rPr>
                <w:rFonts w:hint="eastAsia"/>
                <w:lang/>
              </w:rPr>
              <w:t>是</w:t>
            </w:r>
          </w:p>
        </w:tc>
      </w:tr>
    </w:tbl>
    <w:p w:rsidR="00D4693A" w:rsidRDefault="00D4693A" w:rsidP="002B7D5B">
      <w:pPr>
        <w:spacing w:line="360" w:lineRule="auto"/>
        <w:ind w:firstLineChars="200" w:firstLine="420"/>
        <w:divId w:val="532234534"/>
        <w:rPr>
          <w:rFonts w:hint="eastAsia"/>
          <w:lang/>
        </w:rPr>
      </w:pPr>
    </w:p>
    <w:p w:rsidR="00D4693A" w:rsidRDefault="00D4693A">
      <w:pPr>
        <w:pStyle w:val="XBRLTitle1"/>
        <w:spacing w:before="156" w:line="360" w:lineRule="auto"/>
        <w:divId w:val="341663580"/>
        <w:rPr>
          <w:rFonts w:hint="eastAsia"/>
        </w:rPr>
      </w:pPr>
      <w:bookmarkStart w:id="158" w:name="_Toc3475853211"/>
      <w:bookmarkStart w:id="159" w:name="_Toc34841045"/>
      <w:r>
        <w:rPr>
          <w:rFonts w:hAnsi="宋体" w:hint="eastAsia"/>
        </w:rPr>
        <w:t>基金份额净值公告/基金收益公告的披露安排</w:t>
      </w:r>
      <w:bookmarkEnd w:id="158"/>
      <w:bookmarkEnd w:id="159"/>
      <w:r>
        <w:rPr>
          <w:rFonts w:hAnsi="宋体" w:hint="eastAsia"/>
        </w:rPr>
        <w:t xml:space="preserve"> </w:t>
      </w:r>
    </w:p>
    <w:p w:rsidR="00A510FC" w:rsidRDefault="00D4693A" w:rsidP="00166F28">
      <w:pPr>
        <w:spacing w:line="360" w:lineRule="auto"/>
        <w:ind w:firstLineChars="200" w:firstLine="420"/>
        <w:divId w:val="341663580"/>
        <w:rPr>
          <w:rFonts w:hint="eastAsia"/>
          <w:lang/>
        </w:rPr>
      </w:pPr>
      <w:r>
        <w:rPr>
          <w:rFonts w:hint="eastAsia"/>
          <w:lang/>
        </w:rPr>
        <w:t>《基金合同》生效后，在本基金的封闭期内，基金管理人应当至少每周公告一次</w:t>
      </w:r>
      <w:r w:rsidR="00166F28" w:rsidRPr="00AA5914">
        <w:t>各类</w:t>
      </w:r>
      <w:r>
        <w:rPr>
          <w:rFonts w:hint="eastAsia"/>
          <w:lang/>
        </w:rPr>
        <w:t>基金份额净值和基金份额累计净值。</w:t>
      </w:r>
      <w:r>
        <w:rPr>
          <w:rFonts w:hint="eastAsia"/>
          <w:lang/>
        </w:rPr>
        <w:br/>
        <w:t xml:space="preserve">　　在本基金的开放期内，基金管理人应当在不晚于每个开放日的次日，通过</w:t>
      </w:r>
      <w:r>
        <w:rPr>
          <w:rFonts w:hint="eastAsia"/>
        </w:rPr>
        <w:t>规</w:t>
      </w:r>
      <w:r>
        <w:rPr>
          <w:rFonts w:hint="eastAsia"/>
          <w:lang/>
        </w:rPr>
        <w:t>定网站、基金销售机构网站或营业网点披露开放日的</w:t>
      </w:r>
      <w:r w:rsidR="00166F28">
        <w:rPr>
          <w:rFonts w:hint="eastAsia"/>
          <w:lang/>
        </w:rPr>
        <w:t>各类</w:t>
      </w:r>
      <w:r>
        <w:rPr>
          <w:rFonts w:hint="eastAsia"/>
          <w:lang/>
        </w:rPr>
        <w:t>基金份额净值和基金份额累计净值，敬请投资者留意。</w:t>
      </w:r>
      <w:r>
        <w:rPr>
          <w:rFonts w:hint="eastAsia"/>
          <w:lang/>
        </w:rPr>
        <w:br/>
        <w:t xml:space="preserve">　　基金管理人应在不晚于半年度和年度最后一日的次日，在</w:t>
      </w:r>
      <w:r>
        <w:rPr>
          <w:rFonts w:hint="eastAsia"/>
        </w:rPr>
        <w:t>规</w:t>
      </w:r>
      <w:r>
        <w:rPr>
          <w:rFonts w:hint="eastAsia"/>
          <w:lang/>
        </w:rPr>
        <w:t>定网站披露半年度和年度最后一日的</w:t>
      </w:r>
      <w:r w:rsidR="00166F28">
        <w:rPr>
          <w:rFonts w:hint="eastAsia"/>
          <w:lang/>
        </w:rPr>
        <w:t>各类</w:t>
      </w:r>
      <w:r>
        <w:rPr>
          <w:rFonts w:hint="eastAsia"/>
          <w:lang/>
        </w:rPr>
        <w:t>基金份额净值和基金份额累计净值。</w:t>
      </w:r>
    </w:p>
    <w:p w:rsidR="00D4693A" w:rsidRDefault="00D4693A">
      <w:pPr>
        <w:pStyle w:val="XBRLTitle1"/>
        <w:spacing w:before="156" w:line="360" w:lineRule="auto"/>
        <w:divId w:val="2053186416"/>
        <w:rPr>
          <w:rFonts w:hint="eastAsia"/>
        </w:rPr>
      </w:pPr>
      <w:bookmarkStart w:id="160" w:name="_Toc3475853212"/>
      <w:bookmarkStart w:id="161" w:name="_Toc34841046"/>
      <w:r>
        <w:rPr>
          <w:rFonts w:hAnsi="宋体" w:hint="eastAsia"/>
        </w:rPr>
        <w:t>其他需要提示的事项</w:t>
      </w:r>
      <w:bookmarkEnd w:id="16"/>
      <w:bookmarkEnd w:id="17"/>
      <w:bookmarkEnd w:id="18"/>
      <w:bookmarkEnd w:id="19"/>
      <w:bookmarkEnd w:id="20"/>
      <w:bookmarkEnd w:id="21"/>
      <w:bookmarkEnd w:id="22"/>
      <w:bookmarkEnd w:id="23"/>
      <w:bookmarkEnd w:id="39"/>
      <w:bookmarkEnd w:id="40"/>
      <w:bookmarkEnd w:id="160"/>
      <w:bookmarkEnd w:id="161"/>
      <w:r>
        <w:rPr>
          <w:rFonts w:hAnsi="宋体" w:hint="eastAsia"/>
        </w:rPr>
        <w:t xml:space="preserve"> </w:t>
      </w:r>
    </w:p>
    <w:bookmarkEnd w:id="11"/>
    <w:p w:rsidR="005A4298" w:rsidRDefault="00D4693A" w:rsidP="0076443F">
      <w:pPr>
        <w:spacing w:line="360" w:lineRule="auto"/>
        <w:ind w:firstLineChars="200" w:firstLine="420"/>
        <w:divId w:val="2053186416"/>
        <w:rPr>
          <w:lang/>
        </w:rPr>
      </w:pPr>
      <w:r>
        <w:rPr>
          <w:rFonts w:hint="eastAsia"/>
          <w:lang/>
        </w:rPr>
        <w:t>基金管理人不得在基金合同约定之外的日期或者时间办理基金份额的申购、赎回或者转换。 投资者在基金合同约定之外的日期和时间提出申购、赎回或转换申请且登记机构确认接受的，其 基金份额申购、赎回或转换价格为下一开放日基金份额申购、赎回或转换的价格。但若投资者在开放期最后一日业务办理时间结束之后提出申购、赎回或者转换申请的，视为无效申请。</w:t>
      </w:r>
      <w:r>
        <w:rPr>
          <w:rFonts w:hint="eastAsia"/>
          <w:lang/>
        </w:rPr>
        <w:br/>
        <w:t xml:space="preserve">　　</w:t>
      </w:r>
      <w:r w:rsidR="00334FC5">
        <w:rPr>
          <w:rFonts w:hint="eastAsia"/>
          <w:lang/>
        </w:rPr>
        <w:t>基金</w:t>
      </w:r>
      <w:r>
        <w:rPr>
          <w:rFonts w:hint="eastAsia"/>
          <w:lang/>
        </w:rPr>
        <w:t>销售机构对申购、赎回申请的受理并不代表申请一定成功，而仅代表销售机构确实接收到申请。申购、赎回的确认以登记机构的确认结果为准。</w:t>
      </w:r>
      <w:r w:rsidR="00517FF1" w:rsidRPr="00517FF1">
        <w:rPr>
          <w:rFonts w:hint="eastAsia"/>
          <w:lang/>
        </w:rPr>
        <w:t>对于申购、赎回申请的确认情况，</w:t>
      </w:r>
      <w:r w:rsidR="00BC39A2">
        <w:rPr>
          <w:rFonts w:hint="eastAsia"/>
          <w:lang/>
        </w:rPr>
        <w:t>投资者</w:t>
      </w:r>
      <w:r w:rsidR="00517FF1" w:rsidRPr="00517FF1">
        <w:rPr>
          <w:rFonts w:hint="eastAsia"/>
          <w:lang/>
        </w:rPr>
        <w:t>应及时查询并妥善行使合法权利，否则，由此产生的任何损失由</w:t>
      </w:r>
      <w:r w:rsidR="00BC39A2">
        <w:rPr>
          <w:rFonts w:hint="eastAsia"/>
          <w:lang/>
        </w:rPr>
        <w:t>投资者</w:t>
      </w:r>
      <w:r w:rsidR="00517FF1" w:rsidRPr="00517FF1">
        <w:rPr>
          <w:rFonts w:hint="eastAsia"/>
          <w:lang/>
        </w:rPr>
        <w:t>自行承担。</w:t>
      </w:r>
    </w:p>
    <w:p w:rsidR="00D4693A" w:rsidRDefault="00D4693A" w:rsidP="0076443F">
      <w:pPr>
        <w:spacing w:line="360" w:lineRule="auto"/>
        <w:ind w:firstLineChars="200" w:firstLine="420"/>
        <w:divId w:val="2053186416"/>
        <w:rPr>
          <w:rFonts w:hint="eastAsia"/>
          <w:lang/>
        </w:rPr>
      </w:pPr>
      <w:r>
        <w:rPr>
          <w:rFonts w:hint="eastAsia"/>
          <w:lang/>
        </w:rPr>
        <w:t>风险提示：本基金为定期开放式基金，在封闭期内，投资者将面临不能赎回或卖出基金份额而出现的流动性约束。</w:t>
      </w:r>
      <w:r>
        <w:rPr>
          <w:rFonts w:hint="eastAsia"/>
          <w:lang/>
        </w:rPr>
        <w:br/>
        <w:t xml:space="preserve">　　本基金管理人承诺以诚实信用、勤勉尽责的原则管理和运用基金资产，但不保证基金一定盈利，也不保证最低收益。投资者在投资本基金前，请务必考虑自己的风险承受能力，在控制风险的前提下实现投资收益。敬请投资者于投资前认真阅读本基金的基金合同、招募说明书和基金产品资料概要等法律文件。</w:t>
      </w:r>
      <w:r>
        <w:rPr>
          <w:rFonts w:hint="eastAsia"/>
          <w:lang/>
        </w:rPr>
        <w:br/>
        <w:t xml:space="preserve">　　投资有风险，选择须谨慎。</w:t>
      </w:r>
      <w:bookmarkEnd w:id="12"/>
      <w:bookmarkEnd w:id="13"/>
      <w:bookmarkEnd w:id="24"/>
      <w:bookmarkEnd w:id="25"/>
      <w:bookmarkEnd w:id="26"/>
      <w:bookmarkEnd w:id="27"/>
      <w:r>
        <w:rPr>
          <w:rFonts w:hint="eastAsia"/>
          <w:lang/>
        </w:rPr>
        <w:t xml:space="preserve"> </w:t>
      </w:r>
    </w:p>
    <w:p w:rsidR="00D4693A" w:rsidRDefault="00D4693A">
      <w:pPr>
        <w:spacing w:line="360" w:lineRule="auto"/>
        <w:ind w:firstLineChars="600" w:firstLine="1446"/>
        <w:jc w:val="left"/>
        <w:rPr>
          <w:rFonts w:hint="eastAsia"/>
        </w:rPr>
      </w:pPr>
      <w:r>
        <w:rPr>
          <w:rFonts w:hint="eastAsia"/>
          <w:b/>
          <w:bCs/>
          <w:sz w:val="24"/>
          <w:szCs w:val="30"/>
        </w:rPr>
        <w:t xml:space="preserve">　 </w:t>
      </w:r>
    </w:p>
    <w:p w:rsidR="00D4693A" w:rsidRDefault="00D4693A">
      <w:pPr>
        <w:spacing w:line="360" w:lineRule="auto"/>
        <w:ind w:firstLineChars="600" w:firstLine="1446"/>
        <w:jc w:val="left"/>
        <w:rPr>
          <w:rFonts w:hint="eastAsia"/>
        </w:rPr>
      </w:pPr>
      <w:r>
        <w:rPr>
          <w:rFonts w:hint="eastAsia"/>
          <w:b/>
          <w:bCs/>
          <w:sz w:val="24"/>
          <w:szCs w:val="30"/>
        </w:rPr>
        <w:t xml:space="preserve">　 </w:t>
      </w:r>
    </w:p>
    <w:p w:rsidR="00D4693A" w:rsidRDefault="00D4693A">
      <w:pPr>
        <w:spacing w:line="360" w:lineRule="auto"/>
        <w:ind w:firstLineChars="600" w:firstLine="1446"/>
        <w:jc w:val="right"/>
        <w:rPr>
          <w:rFonts w:hint="eastAsia"/>
        </w:rPr>
      </w:pPr>
      <w:r>
        <w:rPr>
          <w:rFonts w:hint="eastAsia"/>
          <w:b/>
          <w:bCs/>
          <w:sz w:val="24"/>
          <w:szCs w:val="24"/>
        </w:rPr>
        <w:t>华商基金管理有限公司</w:t>
      </w:r>
    </w:p>
    <w:p w:rsidR="00D4693A" w:rsidRDefault="00B00D32">
      <w:pPr>
        <w:spacing w:line="360" w:lineRule="auto"/>
        <w:ind w:firstLineChars="600" w:firstLine="1446"/>
        <w:jc w:val="right"/>
        <w:rPr>
          <w:rFonts w:hint="eastAsia"/>
        </w:rPr>
      </w:pPr>
      <w:r>
        <w:rPr>
          <w:rFonts w:hint="eastAsia"/>
          <w:b/>
          <w:bCs/>
          <w:sz w:val="24"/>
          <w:szCs w:val="24"/>
        </w:rPr>
        <w:t>202</w:t>
      </w:r>
      <w:r>
        <w:rPr>
          <w:b/>
          <w:bCs/>
          <w:sz w:val="24"/>
          <w:szCs w:val="24"/>
        </w:rPr>
        <w:t>6</w:t>
      </w:r>
      <w:r w:rsidR="00D4693A">
        <w:rPr>
          <w:rFonts w:hint="eastAsia"/>
          <w:b/>
          <w:bCs/>
          <w:sz w:val="24"/>
          <w:szCs w:val="24"/>
        </w:rPr>
        <w:t>年</w:t>
      </w:r>
      <w:r w:rsidR="009D60DA">
        <w:rPr>
          <w:b/>
          <w:bCs/>
          <w:sz w:val="24"/>
          <w:szCs w:val="24"/>
        </w:rPr>
        <w:t>3</w:t>
      </w:r>
      <w:r w:rsidR="00D4693A">
        <w:rPr>
          <w:rFonts w:hint="eastAsia"/>
          <w:b/>
          <w:bCs/>
          <w:sz w:val="24"/>
          <w:szCs w:val="24"/>
        </w:rPr>
        <w:t>月</w:t>
      </w:r>
      <w:r w:rsidR="009D60DA">
        <w:rPr>
          <w:b/>
          <w:bCs/>
          <w:sz w:val="24"/>
          <w:szCs w:val="24"/>
        </w:rPr>
        <w:t>13</w:t>
      </w:r>
      <w:r w:rsidR="00D4693A">
        <w:rPr>
          <w:rFonts w:hint="eastAsia"/>
          <w:b/>
          <w:bCs/>
          <w:sz w:val="24"/>
          <w:szCs w:val="24"/>
        </w:rPr>
        <w:t>日</w:t>
      </w:r>
      <w:bookmarkEnd w:id="28"/>
      <w:r w:rsidR="00D4693A">
        <w:rPr>
          <w:rFonts w:hint="eastAsia"/>
          <w:b/>
          <w:bCs/>
          <w:sz w:val="24"/>
          <w:szCs w:val="24"/>
        </w:rPr>
        <w:t xml:space="preserve"> </w:t>
      </w:r>
    </w:p>
    <w:sectPr w:rsidR="00D4693A">
      <w:headerReference w:type="default" r:id="rId8"/>
      <w:footerReference w:type="default" r:id="rId9"/>
      <w:headerReference w:type="first" r:id="rId10"/>
      <w:footerReference w:type="first" r:id="rId11"/>
      <w:pgSz w:w="11907" w:h="16839"/>
      <w:pgMar w:top="1440" w:right="1531" w:bottom="1134" w:left="1531" w:header="851" w:footer="992" w:gutter="0"/>
      <w:pgNumType w:start="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885" w:rsidRDefault="00DD1885">
      <w:pPr>
        <w:rPr>
          <w:rFonts w:ascii="Times New Roman" w:hAnsi="Times New Roman" w:cs="Times New Roman"/>
          <w:szCs w:val="21"/>
        </w:rPr>
      </w:pPr>
      <w:r>
        <w:rPr>
          <w:rFonts w:ascii="Times New Roman" w:hAnsi="Times New Roman" w:cs="Times New Roman"/>
          <w:szCs w:val="21"/>
        </w:rPr>
        <w:separator/>
      </w:r>
      <w:r>
        <w:rPr>
          <w:rFonts w:ascii="Times New Roman" w:hAnsi="Times New Roman" w:cs="Times New Roman"/>
          <w:szCs w:val="21"/>
        </w:rPr>
        <w:t xml:space="preserve"> </w:t>
      </w:r>
    </w:p>
  </w:endnote>
  <w:endnote w:type="continuationSeparator" w:id="0">
    <w:p w:rsidR="00DD1885" w:rsidRDefault="00DD1885">
      <w:pPr>
        <w:rPr>
          <w:rFonts w:ascii="Times New Roman" w:hAnsi="Times New Roman" w:cs="Times New Roman"/>
          <w:szCs w:val="21"/>
        </w:rPr>
      </w:pPr>
      <w:r>
        <w:rPr>
          <w:rFonts w:ascii="Times New Roman" w:hAnsi="Times New Roman" w:cs="Times New Roman"/>
          <w:szCs w:val="21"/>
        </w:rPr>
        <w:continuationSeparator/>
      </w:r>
      <w:r>
        <w:rPr>
          <w:rFonts w:ascii="Times New Roman" w:hAnsi="Times New Roman" w:cs="Times New Roman"/>
          <w:szCs w:val="21"/>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icrosoft YaHei UI">
    <w:charset w:val="86"/>
    <w:family w:val="swiss"/>
    <w:pitch w:val="variable"/>
    <w:sig w:usb0="80000287" w:usb1="2ACF3C50" w:usb2="00000016" w:usb3="00000000" w:csb0="0004001F" w:csb1="00000000"/>
  </w:font>
  <w:font w:name="Arial Unicode MS">
    <w:panose1 w:val="020B0604020202020204"/>
    <w:charset w:val="86"/>
    <w:family w:val="swiss"/>
    <w:pitch w:val="variable"/>
    <w:sig w:usb0="F7FFAFFF" w:usb1="E9DFFFFF" w:usb2="0000003F" w:usb3="00000000" w:csb0="003F01FF" w:csb1="00000000"/>
  </w:font>
  <w:font w:name="仿宋">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BAA" w:rsidRDefault="00406BAA">
    <w:pPr>
      <w:jc w:val="center"/>
      <w:rPr>
        <w:rFonts w:hint="eastAsia"/>
      </w:rPr>
    </w:pPr>
    <w:r>
      <w:rPr>
        <w:rFonts w:hint="eastAsia"/>
        <w:sz w:val="18"/>
        <w:szCs w:val="18"/>
      </w:rPr>
      <w:t>第</w:t>
    </w:r>
    <w:r>
      <w:rPr>
        <w:rFonts w:hint="eastAsia"/>
      </w:rPr>
      <w:t xml:space="preserve"> </w:t>
    </w:r>
    <w:r>
      <w:rPr>
        <w:rFonts w:hint="eastAsia"/>
        <w:sz w:val="18"/>
        <w:szCs w:val="18"/>
      </w:rPr>
      <w:fldChar w:fldCharType="begin"/>
    </w:r>
    <w:r>
      <w:rPr>
        <w:rFonts w:hint="eastAsia"/>
        <w:sz w:val="18"/>
        <w:szCs w:val="18"/>
      </w:rPr>
      <w:instrText xml:space="preserve"> PAGE </w:instrText>
    </w:r>
    <w:r>
      <w:rPr>
        <w:sz w:val="18"/>
        <w:szCs w:val="18"/>
      </w:rPr>
      <w:fldChar w:fldCharType="separate"/>
    </w:r>
    <w:r w:rsidR="00D11F48">
      <w:rPr>
        <w:noProof/>
        <w:sz w:val="18"/>
        <w:szCs w:val="18"/>
      </w:rPr>
      <w:t>2</w:t>
    </w:r>
    <w:r>
      <w:rPr>
        <w:rFonts w:hint="eastAsia"/>
        <w:sz w:val="18"/>
        <w:szCs w:val="18"/>
      </w:rPr>
      <w:fldChar w:fldCharType="end"/>
    </w:r>
    <w:r>
      <w:rPr>
        <w:rFonts w:hint="eastAsia"/>
        <w:sz w:val="18"/>
        <w:szCs w:val="18"/>
        <w:lang w:val="zh-CN"/>
      </w:rPr>
      <w:t>页 共</w:t>
    </w:r>
    <w:r>
      <w:rPr>
        <w:rFonts w:hint="eastAsia"/>
      </w:rPr>
      <w:t xml:space="preserve"> </w:t>
    </w:r>
    <w:r>
      <w:rPr>
        <w:rFonts w:hint="eastAsia"/>
        <w:sz w:val="18"/>
        <w:szCs w:val="18"/>
      </w:rPr>
      <w:fldChar w:fldCharType="begin"/>
    </w:r>
    <w:r>
      <w:rPr>
        <w:rFonts w:hint="eastAsia"/>
        <w:sz w:val="18"/>
        <w:szCs w:val="18"/>
      </w:rPr>
      <w:instrText xml:space="preserve"> NUMPAGES  </w:instrText>
    </w:r>
    <w:r>
      <w:rPr>
        <w:sz w:val="18"/>
        <w:szCs w:val="18"/>
      </w:rPr>
      <w:fldChar w:fldCharType="separate"/>
    </w:r>
    <w:r w:rsidR="00D11F48">
      <w:rPr>
        <w:noProof/>
        <w:sz w:val="18"/>
        <w:szCs w:val="18"/>
      </w:rPr>
      <w:t>12</w:t>
    </w:r>
    <w:r>
      <w:rPr>
        <w:rFonts w:hint="eastAsia"/>
        <w:sz w:val="18"/>
        <w:szCs w:val="18"/>
      </w:rPr>
      <w:fldChar w:fldCharType="end"/>
    </w:r>
    <w:r>
      <w:rPr>
        <w:rFonts w:hint="eastAsia"/>
        <w:sz w:val="18"/>
        <w:szCs w:val="18"/>
      </w:rPr>
      <w:t>页</w:t>
    </w:r>
    <w:r>
      <w:rPr>
        <w:rFonts w:hint="eastAsia"/>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BAA" w:rsidRDefault="00406BAA">
    <w:pPr>
      <w:pStyle w:val="aa"/>
      <w:rPr>
        <w:rFonts w:hint="eastAsia"/>
      </w:rPr>
    </w:pPr>
  </w:p>
  <w:p w:rsidR="00406BAA" w:rsidRDefault="00406BAA">
    <w:pPr>
      <w:jc w:val="center"/>
      <w:rPr>
        <w:rFonts w:hint="eastAsia"/>
      </w:rPr>
    </w:pPr>
    <w:r>
      <w:rPr>
        <w:rFonts w:hint="eastAsia"/>
        <w:sz w:val="18"/>
        <w:szCs w:val="18"/>
      </w:rPr>
      <w:t>第</w:t>
    </w:r>
    <w:r>
      <w:rPr>
        <w:rFonts w:hint="eastAsia"/>
      </w:rPr>
      <w:t xml:space="preserve"> </w:t>
    </w:r>
    <w:r>
      <w:rPr>
        <w:rFonts w:hint="eastAsia"/>
        <w:sz w:val="18"/>
        <w:szCs w:val="18"/>
      </w:rPr>
      <w:fldChar w:fldCharType="begin"/>
    </w:r>
    <w:r>
      <w:rPr>
        <w:rFonts w:hint="eastAsia"/>
        <w:sz w:val="18"/>
        <w:szCs w:val="18"/>
      </w:rPr>
      <w:instrText xml:space="preserve"> PAGE </w:instrText>
    </w:r>
    <w:r>
      <w:rPr>
        <w:sz w:val="18"/>
        <w:szCs w:val="18"/>
      </w:rPr>
      <w:fldChar w:fldCharType="separate"/>
    </w:r>
    <w:r w:rsidR="00FB2CF1">
      <w:rPr>
        <w:noProof/>
        <w:sz w:val="18"/>
        <w:szCs w:val="18"/>
      </w:rPr>
      <w:t>1</w:t>
    </w:r>
    <w:r>
      <w:rPr>
        <w:rFonts w:hint="eastAsia"/>
        <w:sz w:val="18"/>
        <w:szCs w:val="18"/>
      </w:rPr>
      <w:fldChar w:fldCharType="end"/>
    </w:r>
    <w:r>
      <w:rPr>
        <w:rFonts w:hint="eastAsia"/>
        <w:sz w:val="18"/>
        <w:szCs w:val="18"/>
        <w:lang w:val="zh-CN"/>
      </w:rPr>
      <w:t>页 共</w:t>
    </w:r>
    <w:r>
      <w:rPr>
        <w:rFonts w:hint="eastAsia"/>
      </w:rPr>
      <w:t xml:space="preserve"> </w:t>
    </w:r>
    <w:r>
      <w:rPr>
        <w:rFonts w:hint="eastAsia"/>
        <w:sz w:val="18"/>
        <w:szCs w:val="18"/>
      </w:rPr>
      <w:fldChar w:fldCharType="begin"/>
    </w:r>
    <w:r>
      <w:rPr>
        <w:rFonts w:hint="eastAsia"/>
        <w:sz w:val="18"/>
        <w:szCs w:val="18"/>
      </w:rPr>
      <w:instrText xml:space="preserve"> NUMPAGES  </w:instrText>
    </w:r>
    <w:r>
      <w:rPr>
        <w:sz w:val="18"/>
        <w:szCs w:val="18"/>
      </w:rPr>
      <w:fldChar w:fldCharType="separate"/>
    </w:r>
    <w:r w:rsidR="00FB2CF1">
      <w:rPr>
        <w:noProof/>
        <w:sz w:val="18"/>
        <w:szCs w:val="18"/>
      </w:rPr>
      <w:t>1</w:t>
    </w:r>
    <w:r>
      <w:rPr>
        <w:rFonts w:hint="eastAsia"/>
        <w:sz w:val="18"/>
        <w:szCs w:val="18"/>
      </w:rPr>
      <w:fldChar w:fldCharType="end"/>
    </w:r>
    <w:r>
      <w:rPr>
        <w:rFonts w:hint="eastAsia"/>
        <w:sz w:val="18"/>
        <w:szCs w:val="18"/>
      </w:rPr>
      <w:t>页</w:t>
    </w:r>
    <w:r>
      <w:rPr>
        <w:rFonts w:hint="eastAsia"/>
      </w:rPr>
      <w:t xml:space="preserve"> </w:t>
    </w:r>
  </w:p>
  <w:p w:rsidR="00406BAA" w:rsidRDefault="00406BAA">
    <w:pPr>
      <w:pStyle w:val="aa"/>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885" w:rsidRDefault="00DD1885">
      <w:pPr>
        <w:rPr>
          <w:rFonts w:ascii="Times New Roman" w:hAnsi="Times New Roman" w:cs="Times New Roman"/>
          <w:szCs w:val="21"/>
        </w:rPr>
      </w:pPr>
      <w:r>
        <w:rPr>
          <w:rFonts w:ascii="Times New Roman" w:hAnsi="Times New Roman" w:cs="Times New Roman"/>
          <w:szCs w:val="21"/>
        </w:rPr>
        <w:separator/>
      </w:r>
      <w:r>
        <w:rPr>
          <w:rFonts w:ascii="Times New Roman" w:hAnsi="Times New Roman" w:cs="Times New Roman"/>
          <w:szCs w:val="21"/>
        </w:rPr>
        <w:t xml:space="preserve"> </w:t>
      </w:r>
    </w:p>
  </w:footnote>
  <w:footnote w:type="continuationSeparator" w:id="0">
    <w:p w:rsidR="00DD1885" w:rsidRDefault="00DD1885">
      <w:pPr>
        <w:rPr>
          <w:rFonts w:ascii="Times New Roman" w:hAnsi="Times New Roman" w:cs="Times New Roman"/>
          <w:szCs w:val="21"/>
        </w:rPr>
      </w:pPr>
      <w:r>
        <w:rPr>
          <w:rFonts w:ascii="Times New Roman" w:hAnsi="Times New Roman" w:cs="Times New Roman"/>
          <w:szCs w:val="21"/>
        </w:rPr>
        <w:continuationSeparator/>
      </w:r>
      <w:r>
        <w:rPr>
          <w:rFonts w:ascii="Times New Roman" w:hAnsi="Times New Roman" w:cs="Times New Roman"/>
          <w:szCs w:val="21"/>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BAA" w:rsidRDefault="00406BAA">
    <w:pPr>
      <w:pStyle w:val="a8"/>
      <w:jc w:val="right"/>
    </w:pPr>
    <w:r>
      <w:rPr>
        <w:rFonts w:hint="eastAsia"/>
      </w:rPr>
      <w:t>华商丰利增强定期开放债券型证券投资基金第九次开放申购、赎回、转换业务公告</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BAA" w:rsidRDefault="00406BAA">
    <w:pPr>
      <w:pStyle w:val="a8"/>
      <w:jc w:val="right"/>
      <w:rPr>
        <w:rFonts w:hint="eastAsia"/>
      </w:rPr>
    </w:pPr>
    <w:r>
      <w:rPr>
        <w:rFonts w:hint="eastAsia"/>
      </w:rPr>
      <w:t>华商丰利增强定期开放债券型证券投资基金第九次开放申购、赎回、转换业务公告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7D73EE"/>
    <w:multiLevelType w:val="multilevel"/>
    <w:tmpl w:val="24A63880"/>
    <w:lvl w:ilvl="0">
      <w:start w:val="1"/>
      <w:numFmt w:val="decimal"/>
      <w:pStyle w:val="XBRLTitle1"/>
      <w:suff w:val="space"/>
      <w:lvlText w:val="%1"/>
      <w:lvlJc w:val="left"/>
      <w:pPr>
        <w:ind w:left="425" w:hanging="425"/>
      </w:pPr>
      <w:rPr>
        <w:sz w:val="24"/>
        <w:szCs w:val="24"/>
      </w:rPr>
    </w:lvl>
    <w:lvl w:ilvl="1">
      <w:start w:val="1"/>
      <w:numFmt w:val="decimal"/>
      <w:pStyle w:val="XBRLTitle2"/>
      <w:suff w:val="space"/>
      <w:lvlText w:val="%1.%2"/>
      <w:lvlJc w:val="left"/>
      <w:pPr>
        <w:ind w:left="454" w:hanging="454"/>
      </w:pPr>
    </w:lvl>
    <w:lvl w:ilvl="2">
      <w:start w:val="1"/>
      <w:numFmt w:val="decimal"/>
      <w:pStyle w:val="XBRLTitle3"/>
      <w:suff w:val="space"/>
      <w:lvlText w:val="%1.%2.%3"/>
      <w:lvlJc w:val="left"/>
      <w:pPr>
        <w:ind w:left="1050" w:hanging="624"/>
      </w:pPr>
      <w:rPr>
        <w:sz w:val="24"/>
        <w:szCs w:val="24"/>
      </w:rPr>
    </w:lvl>
    <w:lvl w:ilvl="3">
      <w:start w:val="1"/>
      <w:numFmt w:val="decimal"/>
      <w:suff w:val="space"/>
      <w:lvlText w:val="%1.%2.%3.%4"/>
      <w:lvlJc w:val="left"/>
      <w:pPr>
        <w:ind w:left="794" w:hanging="794"/>
      </w:pPr>
    </w:lvl>
    <w:lvl w:ilvl="4">
      <w:start w:val="1"/>
      <w:numFmt w:val="decimal"/>
      <w:suff w:val="space"/>
      <w:lvlText w:val="%1.%2.%3.%4.%5"/>
      <w:lvlJc w:val="left"/>
      <w:pPr>
        <w:ind w:left="1021" w:hanging="1021"/>
      </w:pPr>
    </w:lvl>
    <w:lvl w:ilvl="5">
      <w:start w:val="1"/>
      <w:numFmt w:val="decimal"/>
      <w:suff w:val="space"/>
      <w:lvlText w:val="%1.%2.%3.%4.%5.%6"/>
      <w:lvlJc w:val="left"/>
      <w:pPr>
        <w:ind w:left="1021" w:hanging="1021"/>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attachedTemplate r:id="rId1"/>
  <w:doNotTrackMove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74"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75EA"/>
    <w:rsid w:val="000C0737"/>
    <w:rsid w:val="000E33F3"/>
    <w:rsid w:val="00100998"/>
    <w:rsid w:val="00163641"/>
    <w:rsid w:val="00166F28"/>
    <w:rsid w:val="001A6FD2"/>
    <w:rsid w:val="001B0A9A"/>
    <w:rsid w:val="001C7801"/>
    <w:rsid w:val="001F662A"/>
    <w:rsid w:val="00213D56"/>
    <w:rsid w:val="00236404"/>
    <w:rsid w:val="00257170"/>
    <w:rsid w:val="002B7D5B"/>
    <w:rsid w:val="00334FC5"/>
    <w:rsid w:val="003A0EEE"/>
    <w:rsid w:val="00406BAA"/>
    <w:rsid w:val="00477B25"/>
    <w:rsid w:val="004C2E5F"/>
    <w:rsid w:val="00517FF1"/>
    <w:rsid w:val="005A4298"/>
    <w:rsid w:val="005B0103"/>
    <w:rsid w:val="005B75EA"/>
    <w:rsid w:val="005F6C18"/>
    <w:rsid w:val="0061287B"/>
    <w:rsid w:val="00623B62"/>
    <w:rsid w:val="006B758E"/>
    <w:rsid w:val="006C1E14"/>
    <w:rsid w:val="006E2824"/>
    <w:rsid w:val="006E6BC4"/>
    <w:rsid w:val="006F179C"/>
    <w:rsid w:val="0074660D"/>
    <w:rsid w:val="0076443F"/>
    <w:rsid w:val="00765B25"/>
    <w:rsid w:val="00777F29"/>
    <w:rsid w:val="00826D52"/>
    <w:rsid w:val="008B5AA1"/>
    <w:rsid w:val="009B4526"/>
    <w:rsid w:val="009C02EE"/>
    <w:rsid w:val="009D60DA"/>
    <w:rsid w:val="00A037A0"/>
    <w:rsid w:val="00A510FC"/>
    <w:rsid w:val="00A8746F"/>
    <w:rsid w:val="00AB2ED2"/>
    <w:rsid w:val="00AF140C"/>
    <w:rsid w:val="00B00D32"/>
    <w:rsid w:val="00B05BD0"/>
    <w:rsid w:val="00BA585B"/>
    <w:rsid w:val="00BC39A2"/>
    <w:rsid w:val="00C66953"/>
    <w:rsid w:val="00C94CF9"/>
    <w:rsid w:val="00CF5EF2"/>
    <w:rsid w:val="00D11F48"/>
    <w:rsid w:val="00D4693A"/>
    <w:rsid w:val="00DB7F43"/>
    <w:rsid w:val="00DD1885"/>
    <w:rsid w:val="00DF2159"/>
    <w:rsid w:val="00E03F7A"/>
    <w:rsid w:val="00E16D5D"/>
    <w:rsid w:val="00E95C6C"/>
    <w:rsid w:val="00F35411"/>
    <w:rsid w:val="00F6475B"/>
    <w:rsid w:val="00F819E5"/>
    <w:rsid w:val="00FB2CF1"/>
    <w:rsid w:val="00FF44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宋体" w:eastAsia="宋体" w:hAnsi="宋体"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header" w:semiHidden="0" w:unhideWhenUsed="0"/>
    <w:lsdException w:name="footer" w:semiHidden="0" w:unhideWhenUsed="0"/>
    <w:lsdException w:name="caption" w:uiPriority="35" w:qFormat="1"/>
    <w:lsdException w:name="footnote reference" w:semiHidden="0" w:uiPriority="0" w:unhideWhenUsed="0"/>
    <w:lsdException w:name="page number" w:semiHidden="0" w:unhideWhenUsed="0"/>
    <w:lsdException w:name="Title" w:semiHidden="0" w:uiPriority="10" w:unhideWhenUsed="0" w:qFormat="1"/>
    <w:lsdException w:name="Default Paragraph Font" w:semiHidden="0" w:uiPriority="1" w:unhideWhenUsed="0"/>
    <w:lsdException w:name="Subtitle" w:semiHidden="0" w:uiPriority="0" w:unhideWhenUsed="0" w:qFormat="1"/>
    <w:lsdException w:name="Date"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Normal (Web)" w:semiHidden="0" w:uiPriority="0" w:unhideWhenUsed="0"/>
    <w:lsdException w:name="Table Grid" w:semiHidden="0" w:uiPriority="59"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cs="宋体"/>
      <w:kern w:val="2"/>
      <w:sz w:val="21"/>
    </w:rPr>
  </w:style>
  <w:style w:type="paragraph" w:styleId="1">
    <w:name w:val="heading 1"/>
    <w:basedOn w:val="a"/>
    <w:next w:val="a"/>
    <w:link w:val="11"/>
    <w:uiPriority w:val="9"/>
    <w:qFormat/>
    <w:pPr>
      <w:keepNext/>
      <w:keepLines/>
      <w:spacing w:before="340" w:after="330" w:line="576" w:lineRule="auto"/>
      <w:outlineLvl w:val="0"/>
    </w:pPr>
    <w:rPr>
      <w:b/>
      <w:bCs/>
      <w:kern w:val="44"/>
      <w:sz w:val="44"/>
      <w:szCs w:val="44"/>
      <w:lang/>
    </w:rPr>
  </w:style>
  <w:style w:type="paragraph" w:styleId="2">
    <w:name w:val="heading 2"/>
    <w:basedOn w:val="a"/>
    <w:next w:val="a"/>
    <w:link w:val="21"/>
    <w:uiPriority w:val="9"/>
    <w:qFormat/>
    <w:pPr>
      <w:keepNext/>
      <w:keepLines/>
      <w:spacing w:before="260" w:after="260" w:line="408" w:lineRule="auto"/>
      <w:outlineLvl w:val="1"/>
    </w:pPr>
    <w:rPr>
      <w:rFonts w:ascii="Cambria" w:hAnsi="Cambria"/>
      <w:b/>
      <w:bCs/>
      <w:kern w:val="0"/>
      <w:sz w:val="32"/>
      <w:szCs w:val="32"/>
      <w:lang/>
    </w:rPr>
  </w:style>
  <w:style w:type="paragraph" w:styleId="3">
    <w:name w:val="heading 3"/>
    <w:basedOn w:val="a"/>
    <w:next w:val="a"/>
    <w:link w:val="31"/>
    <w:uiPriority w:val="9"/>
    <w:qFormat/>
    <w:pPr>
      <w:keepNext/>
      <w:keepLines/>
      <w:spacing w:before="260" w:after="260" w:line="408" w:lineRule="auto"/>
      <w:outlineLvl w:val="2"/>
    </w:pPr>
    <w:rPr>
      <w:b/>
      <w:bCs/>
      <w:kern w:val="0"/>
      <w:sz w:val="32"/>
      <w:szCs w:val="32"/>
      <w:lang/>
    </w:rPr>
  </w:style>
  <w:style w:type="paragraph" w:styleId="4">
    <w:name w:val="heading 4"/>
    <w:basedOn w:val="a"/>
    <w:next w:val="a"/>
    <w:link w:val="41"/>
    <w:qFormat/>
    <w:pPr>
      <w:keepNext/>
      <w:keepLines/>
      <w:spacing w:before="240" w:after="290" w:line="372" w:lineRule="auto"/>
      <w:outlineLvl w:val="3"/>
    </w:pPr>
    <w:rPr>
      <w:rFonts w:ascii="Cambria" w:hAnsi="Cambria"/>
      <w:b/>
      <w:bCs/>
      <w:kern w:val="0"/>
      <w:sz w:val="24"/>
      <w:szCs w:val="24"/>
      <w:lang/>
    </w:rPr>
  </w:style>
  <w:style w:type="paragraph" w:styleId="5">
    <w:name w:val="heading 5"/>
    <w:basedOn w:val="a"/>
    <w:next w:val="a"/>
    <w:link w:val="51"/>
    <w:uiPriority w:val="9"/>
    <w:semiHidden/>
    <w:unhideWhenUsed/>
    <w:qFormat/>
    <w:pPr>
      <w:keepNext/>
      <w:keepLines/>
      <w:spacing w:before="240" w:after="290" w:line="372" w:lineRule="auto"/>
      <w:outlineLvl w:val="4"/>
    </w:pPr>
    <w:rPr>
      <w:b/>
      <w:bCs/>
      <w:sz w:val="24"/>
      <w:szCs w:val="24"/>
    </w:rPr>
  </w:style>
  <w:style w:type="paragraph" w:styleId="6">
    <w:name w:val="heading 6"/>
    <w:basedOn w:val="a"/>
    <w:next w:val="a"/>
    <w:link w:val="61"/>
    <w:uiPriority w:val="9"/>
    <w:semiHidden/>
    <w:unhideWhenUsed/>
    <w:qFormat/>
    <w:pPr>
      <w:keepNext/>
      <w:keepLines/>
      <w:spacing w:before="240" w:after="64" w:line="312" w:lineRule="auto"/>
      <w:outlineLvl w:val="5"/>
    </w:pPr>
    <w:rPr>
      <w:rFonts w:ascii="Cambria" w:hAnsi="Cambria"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color w:val="0000FF"/>
      <w:u w:val="single"/>
    </w:rPr>
  </w:style>
  <w:style w:type="character" w:styleId="a4">
    <w:name w:val="访问过的超链接"/>
    <w:uiPriority w:val="99"/>
    <w:semiHidden/>
    <w:unhideWhenUsed/>
    <w:rPr>
      <w:color w:val="800080"/>
      <w:u w:val="single"/>
    </w:rPr>
  </w:style>
  <w:style w:type="character" w:customStyle="1" w:styleId="10">
    <w:name w:val="标题 1 字符"/>
    <w:link w:val="1"/>
    <w:uiPriority w:val="9"/>
    <w:locked/>
    <w:rPr>
      <w:b/>
      <w:bCs/>
      <w:kern w:val="44"/>
      <w:sz w:val="44"/>
      <w:szCs w:val="44"/>
    </w:rPr>
  </w:style>
  <w:style w:type="character" w:customStyle="1" w:styleId="20">
    <w:name w:val="标题 2 字符"/>
    <w:link w:val="2"/>
    <w:uiPriority w:val="9"/>
    <w:locked/>
    <w:rPr>
      <w:rFonts w:ascii="Cambria" w:eastAsia="宋体" w:hAnsi="Cambria" w:cs="Times New Roman" w:hint="default"/>
      <w:b/>
      <w:bCs/>
      <w:kern w:val="2"/>
      <w:sz w:val="32"/>
      <w:szCs w:val="32"/>
    </w:rPr>
  </w:style>
  <w:style w:type="character" w:customStyle="1" w:styleId="30">
    <w:name w:val="标题 3 字符"/>
    <w:link w:val="3"/>
    <w:uiPriority w:val="9"/>
    <w:locked/>
    <w:rPr>
      <w:b/>
      <w:bCs/>
      <w:kern w:val="2"/>
      <w:sz w:val="32"/>
      <w:szCs w:val="32"/>
    </w:rPr>
  </w:style>
  <w:style w:type="character" w:customStyle="1" w:styleId="40">
    <w:name w:val="标题 4 字符"/>
    <w:link w:val="4"/>
    <w:locked/>
    <w:rPr>
      <w:rFonts w:ascii="Cambria" w:eastAsia="宋体" w:hAnsi="Cambria" w:cs="Times New Roman" w:hint="default"/>
      <w:b/>
      <w:bCs/>
      <w:kern w:val="2"/>
      <w:sz w:val="24"/>
      <w:szCs w:val="24"/>
    </w:rPr>
  </w:style>
  <w:style w:type="character" w:customStyle="1" w:styleId="50">
    <w:name w:val="标题 5 字符"/>
    <w:link w:val="5"/>
    <w:uiPriority w:val="9"/>
    <w:semiHidden/>
    <w:rPr>
      <w:rFonts w:cs="宋体"/>
      <w:b/>
      <w:bCs/>
      <w:kern w:val="2"/>
      <w:sz w:val="28"/>
      <w:szCs w:val="28"/>
    </w:rPr>
  </w:style>
  <w:style w:type="character" w:customStyle="1" w:styleId="60">
    <w:name w:val="标题 6 字符"/>
    <w:link w:val="6"/>
    <w:uiPriority w:val="9"/>
    <w:semiHidden/>
    <w:rPr>
      <w:rFonts w:ascii="Cambria" w:eastAsia="宋体" w:hAnsi="Cambria" w:cs="Times New Roman"/>
      <w:b/>
      <w:bCs/>
      <w:kern w:val="2"/>
      <w:sz w:val="24"/>
      <w:szCs w:val="24"/>
    </w:rPr>
  </w:style>
  <w:style w:type="paragraph" w:customStyle="1" w:styleId="msonormal0">
    <w:name w:val="msonormal"/>
    <w:basedOn w:val="a"/>
    <w:pPr>
      <w:widowControl/>
      <w:spacing w:before="100" w:beforeAutospacing="1" w:after="100" w:afterAutospacing="1"/>
      <w:jc w:val="left"/>
    </w:pPr>
    <w:rPr>
      <w:kern w:val="0"/>
      <w:sz w:val="24"/>
    </w:rPr>
  </w:style>
  <w:style w:type="paragraph" w:styleId="a5">
    <w:name w:val="Normal (Web)"/>
    <w:basedOn w:val="a"/>
    <w:pPr>
      <w:widowControl/>
      <w:spacing w:before="100" w:beforeAutospacing="1" w:after="100" w:afterAutospacing="1"/>
      <w:jc w:val="left"/>
    </w:pPr>
    <w:rPr>
      <w:kern w:val="0"/>
      <w:sz w:val="24"/>
    </w:rPr>
  </w:style>
  <w:style w:type="paragraph" w:styleId="12">
    <w:name w:val="toc 1"/>
    <w:basedOn w:val="a"/>
    <w:next w:val="a"/>
    <w:autoRedefine/>
    <w:uiPriority w:val="39"/>
    <w:semiHidden/>
    <w:unhideWhenUsed/>
    <w:pPr>
      <w:tabs>
        <w:tab w:val="right" w:leader="dot" w:pos="8835"/>
      </w:tabs>
    </w:pPr>
    <w:rPr>
      <w:noProof/>
    </w:rPr>
  </w:style>
  <w:style w:type="paragraph" w:styleId="22">
    <w:name w:val="toc 2"/>
    <w:basedOn w:val="a"/>
    <w:next w:val="a"/>
    <w:autoRedefine/>
    <w:uiPriority w:val="39"/>
    <w:semiHidden/>
    <w:unhideWhenUsed/>
    <w:pPr>
      <w:ind w:leftChars="200" w:left="420"/>
    </w:pPr>
  </w:style>
  <w:style w:type="paragraph" w:styleId="32">
    <w:name w:val="toc 3"/>
    <w:basedOn w:val="a"/>
    <w:next w:val="a"/>
    <w:autoRedefine/>
    <w:uiPriority w:val="39"/>
    <w:semiHidden/>
    <w:unhideWhenUsed/>
    <w:pPr>
      <w:ind w:leftChars="200" w:left="420"/>
    </w:pPr>
  </w:style>
  <w:style w:type="paragraph" w:styleId="a6">
    <w:name w:val="footnote text"/>
    <w:basedOn w:val="a"/>
    <w:link w:val="13"/>
    <w:pPr>
      <w:snapToGrid w:val="0"/>
      <w:jc w:val="left"/>
    </w:pPr>
    <w:rPr>
      <w:sz w:val="18"/>
      <w:szCs w:val="18"/>
    </w:rPr>
  </w:style>
  <w:style w:type="character" w:customStyle="1" w:styleId="a7">
    <w:name w:val="脚注文本 字符"/>
    <w:link w:val="a6"/>
    <w:locked/>
    <w:rPr>
      <w:kern w:val="2"/>
      <w:sz w:val="18"/>
      <w:szCs w:val="18"/>
    </w:rPr>
  </w:style>
  <w:style w:type="paragraph" w:styleId="a8">
    <w:name w:val="header"/>
    <w:basedOn w:val="a"/>
    <w:link w:val="23"/>
    <w:uiPriority w:val="99"/>
    <w:pPr>
      <w:pBdr>
        <w:bottom w:val="single" w:sz="6" w:space="1" w:color="auto"/>
      </w:pBdr>
      <w:tabs>
        <w:tab w:val="center" w:pos="4153"/>
        <w:tab w:val="right" w:pos="8306"/>
      </w:tabs>
      <w:snapToGrid w:val="0"/>
      <w:jc w:val="center"/>
    </w:pPr>
    <w:rPr>
      <w:sz w:val="18"/>
      <w:szCs w:val="18"/>
    </w:rPr>
  </w:style>
  <w:style w:type="character" w:customStyle="1" w:styleId="a9">
    <w:name w:val="页眉 字符"/>
    <w:link w:val="a8"/>
    <w:uiPriority w:val="99"/>
    <w:locked/>
    <w:rPr>
      <w:kern w:val="2"/>
      <w:sz w:val="18"/>
      <w:szCs w:val="18"/>
    </w:rPr>
  </w:style>
  <w:style w:type="paragraph" w:styleId="aa">
    <w:name w:val="footer"/>
    <w:basedOn w:val="a"/>
    <w:link w:val="14"/>
    <w:uiPriority w:val="99"/>
    <w:pPr>
      <w:tabs>
        <w:tab w:val="center" w:pos="4153"/>
        <w:tab w:val="right" w:pos="8306"/>
      </w:tabs>
      <w:snapToGrid w:val="0"/>
      <w:jc w:val="left"/>
    </w:pPr>
    <w:rPr>
      <w:sz w:val="18"/>
      <w:szCs w:val="18"/>
    </w:rPr>
  </w:style>
  <w:style w:type="character" w:customStyle="1" w:styleId="ab">
    <w:name w:val="页脚 字符"/>
    <w:link w:val="aa"/>
    <w:uiPriority w:val="99"/>
    <w:locked/>
    <w:rPr>
      <w:kern w:val="2"/>
      <w:sz w:val="18"/>
      <w:szCs w:val="18"/>
    </w:rPr>
  </w:style>
  <w:style w:type="paragraph" w:styleId="ac">
    <w:name w:val="Title"/>
    <w:basedOn w:val="1"/>
    <w:next w:val="2"/>
    <w:link w:val="15"/>
    <w:uiPriority w:val="10"/>
    <w:qFormat/>
    <w:pPr>
      <w:keepNext w:val="0"/>
      <w:keepLines w:val="0"/>
      <w:spacing w:before="240" w:after="60" w:line="240" w:lineRule="auto"/>
      <w:jc w:val="center"/>
    </w:pPr>
    <w:rPr>
      <w:rFonts w:ascii="Cambria" w:hAnsi="Cambria"/>
      <w:kern w:val="0"/>
      <w:sz w:val="32"/>
      <w:szCs w:val="32"/>
    </w:rPr>
  </w:style>
  <w:style w:type="character" w:customStyle="1" w:styleId="ad">
    <w:name w:val="标题 字符"/>
    <w:link w:val="ac"/>
    <w:uiPriority w:val="10"/>
    <w:locked/>
    <w:rPr>
      <w:rFonts w:ascii="Cambria" w:eastAsia="宋体" w:hAnsi="Cambria" w:cs="Times New Roman" w:hint="default"/>
      <w:b/>
      <w:bCs/>
      <w:kern w:val="2"/>
      <w:sz w:val="32"/>
      <w:szCs w:val="32"/>
    </w:rPr>
  </w:style>
  <w:style w:type="paragraph" w:styleId="ae">
    <w:name w:val="Subtitle"/>
    <w:basedOn w:val="2"/>
    <w:next w:val="3"/>
    <w:link w:val="16"/>
    <w:qFormat/>
    <w:pPr>
      <w:spacing w:before="240" w:after="60" w:line="312" w:lineRule="auto"/>
      <w:jc w:val="left"/>
    </w:pPr>
    <w:rPr>
      <w:bCs w:val="0"/>
      <w:kern w:val="24"/>
      <w:sz w:val="24"/>
    </w:rPr>
  </w:style>
  <w:style w:type="character" w:customStyle="1" w:styleId="af">
    <w:name w:val="副标题 字符"/>
    <w:link w:val="ae"/>
    <w:locked/>
    <w:rPr>
      <w:rFonts w:ascii="Calibri" w:eastAsia="宋体" w:hAnsi="Calibri" w:cs="Times New Roman" w:hint="default"/>
      <w:b/>
      <w:bCs/>
      <w:kern w:val="24"/>
      <w:sz w:val="32"/>
      <w:szCs w:val="32"/>
    </w:rPr>
  </w:style>
  <w:style w:type="paragraph" w:styleId="af0">
    <w:name w:val="Date"/>
    <w:basedOn w:val="a"/>
    <w:next w:val="a"/>
    <w:link w:val="17"/>
    <w:rPr>
      <w:sz w:val="32"/>
      <w:lang/>
    </w:rPr>
  </w:style>
  <w:style w:type="character" w:customStyle="1" w:styleId="af1">
    <w:name w:val="日期 字符"/>
    <w:link w:val="af0"/>
    <w:locked/>
    <w:rPr>
      <w:kern w:val="2"/>
      <w:sz w:val="21"/>
    </w:rPr>
  </w:style>
  <w:style w:type="paragraph" w:styleId="af2">
    <w:name w:val="Document Map"/>
    <w:basedOn w:val="a"/>
    <w:link w:val="18"/>
    <w:pPr>
      <w:shd w:val="clear" w:color="auto" w:fill="000080"/>
    </w:pPr>
  </w:style>
  <w:style w:type="character" w:customStyle="1" w:styleId="af3">
    <w:name w:val="文档结构图 字符"/>
    <w:link w:val="af2"/>
    <w:locked/>
    <w:rPr>
      <w:rFonts w:ascii="Microsoft YaHei UI" w:eastAsia="Microsoft YaHei UI" w:hAnsi="Microsoft YaHei UI" w:hint="eastAsia"/>
      <w:kern w:val="2"/>
      <w:sz w:val="18"/>
      <w:szCs w:val="18"/>
    </w:rPr>
  </w:style>
  <w:style w:type="paragraph" w:styleId="af4">
    <w:name w:val="Balloon Text"/>
    <w:basedOn w:val="a"/>
    <w:link w:val="19"/>
    <w:uiPriority w:val="99"/>
    <w:semiHidden/>
    <w:unhideWhenUsed/>
    <w:rPr>
      <w:sz w:val="18"/>
      <w:szCs w:val="18"/>
    </w:rPr>
  </w:style>
  <w:style w:type="character" w:customStyle="1" w:styleId="af5">
    <w:name w:val="批注框文本 字符"/>
    <w:link w:val="af4"/>
    <w:uiPriority w:val="99"/>
    <w:semiHidden/>
    <w:locked/>
    <w:rPr>
      <w:kern w:val="2"/>
      <w:sz w:val="18"/>
      <w:szCs w:val="18"/>
    </w:rPr>
  </w:style>
  <w:style w:type="paragraph" w:styleId="TOC">
    <w:name w:val="TOC Heading"/>
    <w:basedOn w:val="1"/>
    <w:next w:val="a"/>
    <w:uiPriority w:val="39"/>
    <w:semiHidden/>
    <w:unhideWhenUsed/>
    <w:qFormat/>
    <w:pPr>
      <w:widowControl/>
      <w:spacing w:before="480" w:after="0" w:line="276" w:lineRule="auto"/>
      <w:jc w:val="left"/>
      <w:outlineLvl w:val="9"/>
    </w:pPr>
    <w:rPr>
      <w:rFonts w:ascii="Cambria" w:hAnsi="Cambria"/>
      <w:color w:val="365F91"/>
      <w:kern w:val="0"/>
      <w:sz w:val="24"/>
      <w:szCs w:val="24"/>
      <w:lang w:val="en-US" w:eastAsia="zh-CN"/>
    </w:rPr>
  </w:style>
  <w:style w:type="paragraph" w:customStyle="1" w:styleId="XBRLTitle6">
    <w:name w:val="XBRLTitle6"/>
    <w:basedOn w:val="ae"/>
    <w:next w:val="4"/>
    <w:qFormat/>
    <w:pPr>
      <w:numPr>
        <w:ilvl w:val="5"/>
        <w:numId w:val="2"/>
      </w:numPr>
      <w:spacing w:beforeLines="50" w:after="0" w:line="240" w:lineRule="auto"/>
      <w:outlineLvl w:val="9"/>
    </w:pPr>
    <w:rPr>
      <w:bCs/>
    </w:rPr>
  </w:style>
  <w:style w:type="paragraph" w:customStyle="1" w:styleId="af6">
    <w:name w:val="次标题"/>
    <w:basedOn w:val="3"/>
    <w:next w:val="a"/>
    <w:pPr>
      <w:spacing w:before="120" w:after="120"/>
      <w:jc w:val="left"/>
    </w:pPr>
    <w:rPr>
      <w:sz w:val="21"/>
    </w:rPr>
  </w:style>
  <w:style w:type="paragraph" w:customStyle="1" w:styleId="XBRL6">
    <w:name w:val="XBRL标题6"/>
    <w:basedOn w:val="ae"/>
    <w:next w:val="4"/>
    <w:qFormat/>
    <w:pPr>
      <w:spacing w:beforeLines="50" w:after="0" w:line="240" w:lineRule="auto"/>
      <w:outlineLvl w:val="9"/>
    </w:pPr>
    <w:rPr>
      <w:bCs/>
    </w:rPr>
  </w:style>
  <w:style w:type="paragraph" w:customStyle="1" w:styleId="XBRL2">
    <w:name w:val="XBRL标题2"/>
    <w:basedOn w:val="ae"/>
    <w:next w:val="4"/>
    <w:qFormat/>
    <w:pPr>
      <w:spacing w:beforeLines="50" w:after="0" w:line="240" w:lineRule="auto"/>
    </w:pPr>
    <w:rPr>
      <w:bCs/>
    </w:rPr>
  </w:style>
  <w:style w:type="paragraph" w:customStyle="1" w:styleId="XBRL3">
    <w:name w:val="XBRL标题3"/>
    <w:basedOn w:val="ae"/>
    <w:next w:val="4"/>
    <w:qFormat/>
    <w:pPr>
      <w:spacing w:beforeLines="50" w:after="0" w:line="240" w:lineRule="auto"/>
      <w:outlineLvl w:val="9"/>
    </w:pPr>
    <w:rPr>
      <w:bCs/>
    </w:rPr>
  </w:style>
  <w:style w:type="paragraph" w:customStyle="1" w:styleId="XBRLTitle1">
    <w:name w:val="XBRLTitle1"/>
    <w:basedOn w:val="1"/>
    <w:next w:val="2"/>
    <w:qFormat/>
    <w:pPr>
      <w:keepNext w:val="0"/>
      <w:keepLines w:val="0"/>
      <w:numPr>
        <w:numId w:val="2"/>
      </w:numPr>
      <w:spacing w:beforeLines="50" w:after="0" w:line="240" w:lineRule="auto"/>
      <w:jc w:val="left"/>
    </w:pPr>
    <w:rPr>
      <w:rFonts w:hAnsi="Cambria"/>
      <w:sz w:val="24"/>
      <w:szCs w:val="32"/>
    </w:rPr>
  </w:style>
  <w:style w:type="paragraph" w:customStyle="1" w:styleId="XBRLTitle2">
    <w:name w:val="XBRLTitle2"/>
    <w:basedOn w:val="ae"/>
    <w:next w:val="4"/>
    <w:qFormat/>
    <w:pPr>
      <w:keepNext w:val="0"/>
      <w:keepLines w:val="0"/>
      <w:numPr>
        <w:ilvl w:val="1"/>
        <w:numId w:val="2"/>
      </w:numPr>
      <w:spacing w:beforeLines="50" w:after="0" w:line="240" w:lineRule="auto"/>
    </w:pPr>
    <w:rPr>
      <w:rFonts w:ascii="宋体"/>
      <w:bCs/>
    </w:rPr>
  </w:style>
  <w:style w:type="paragraph" w:customStyle="1" w:styleId="XBRLTitle5">
    <w:name w:val="XBRLTitle5"/>
    <w:basedOn w:val="ae"/>
    <w:next w:val="4"/>
    <w:qFormat/>
    <w:pPr>
      <w:numPr>
        <w:ilvl w:val="4"/>
        <w:numId w:val="2"/>
      </w:numPr>
      <w:spacing w:beforeLines="50" w:after="0" w:line="240" w:lineRule="auto"/>
      <w:outlineLvl w:val="9"/>
    </w:pPr>
    <w:rPr>
      <w:bCs/>
    </w:rPr>
  </w:style>
  <w:style w:type="paragraph" w:customStyle="1" w:styleId="Char">
    <w:name w:val="Char"/>
    <w:basedOn w:val="a"/>
  </w:style>
  <w:style w:type="paragraph" w:customStyle="1" w:styleId="CharCharCharCharCharChar1CharCharChar">
    <w:name w:val="Char Char Char Char Char Char1 Char Char Char"/>
    <w:basedOn w:val="a"/>
    <w:pPr>
      <w:autoSpaceDE w:val="0"/>
      <w:autoSpaceDN w:val="0"/>
      <w:adjustRightInd w:val="0"/>
      <w:jc w:val="left"/>
    </w:pPr>
  </w:style>
  <w:style w:type="paragraph" w:customStyle="1" w:styleId="XBRL1">
    <w:name w:val="XBRL标题1"/>
    <w:basedOn w:val="1"/>
    <w:next w:val="2"/>
    <w:qFormat/>
    <w:pPr>
      <w:spacing w:beforeLines="50" w:after="0" w:line="240" w:lineRule="auto"/>
      <w:jc w:val="center"/>
    </w:pPr>
    <w:rPr>
      <w:rFonts w:ascii="Cambria" w:hAnsi="Cambria"/>
      <w:sz w:val="24"/>
    </w:rPr>
  </w:style>
  <w:style w:type="paragraph" w:customStyle="1" w:styleId="XBRL5">
    <w:name w:val="XBRL标题5"/>
    <w:basedOn w:val="ae"/>
    <w:next w:val="4"/>
    <w:qFormat/>
    <w:pPr>
      <w:spacing w:beforeLines="50" w:after="0" w:line="240" w:lineRule="auto"/>
      <w:outlineLvl w:val="9"/>
    </w:pPr>
    <w:rPr>
      <w:bCs/>
    </w:rPr>
  </w:style>
  <w:style w:type="paragraph" w:customStyle="1" w:styleId="XBRL4">
    <w:name w:val="XBRL标题4"/>
    <w:basedOn w:val="ae"/>
    <w:next w:val="4"/>
    <w:qFormat/>
    <w:pPr>
      <w:spacing w:beforeLines="50" w:after="0" w:line="240" w:lineRule="auto"/>
      <w:outlineLvl w:val="9"/>
    </w:pPr>
    <w:rPr>
      <w:bCs/>
    </w:rPr>
  </w:style>
  <w:style w:type="paragraph" w:customStyle="1" w:styleId="XBRLTitle4">
    <w:name w:val="XBRLTitle4"/>
    <w:basedOn w:val="ae"/>
    <w:next w:val="4"/>
    <w:qFormat/>
    <w:pPr>
      <w:numPr>
        <w:ilvl w:val="3"/>
        <w:numId w:val="2"/>
      </w:numPr>
      <w:spacing w:beforeLines="50" w:after="0" w:line="240" w:lineRule="auto"/>
      <w:outlineLvl w:val="9"/>
    </w:pPr>
    <w:rPr>
      <w:bCs/>
    </w:rPr>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kern w:val="0"/>
      <w:sz w:val="24"/>
    </w:rPr>
  </w:style>
  <w:style w:type="paragraph" w:customStyle="1" w:styleId="XBRLTitle3">
    <w:name w:val="XBRLTitle3"/>
    <w:basedOn w:val="ae"/>
    <w:next w:val="4"/>
    <w:autoRedefine/>
    <w:qFormat/>
    <w:pPr>
      <w:keepNext w:val="0"/>
      <w:keepLines w:val="0"/>
      <w:numPr>
        <w:ilvl w:val="2"/>
        <w:numId w:val="2"/>
      </w:numPr>
      <w:spacing w:beforeLines="50" w:after="0" w:line="360" w:lineRule="auto"/>
      <w:ind w:left="0" w:firstLine="0"/>
      <w:outlineLvl w:val="9"/>
    </w:pPr>
    <w:rPr>
      <w:rFonts w:ascii="宋体"/>
      <w:bCs/>
    </w:rPr>
  </w:style>
  <w:style w:type="paragraph" w:customStyle="1" w:styleId="Default">
    <w:name w:val="Default"/>
    <w:basedOn w:val="a"/>
    <w:pPr>
      <w:autoSpaceDE w:val="0"/>
      <w:autoSpaceDN w:val="0"/>
      <w:adjustRightInd w:val="0"/>
      <w:jc w:val="left"/>
    </w:pPr>
    <w:rPr>
      <w:rFonts w:ascii="仿宋" w:eastAsia="仿宋" w:hAnsi="仿宋"/>
      <w:color w:val="000000"/>
      <w:kern w:val="0"/>
      <w:sz w:val="24"/>
      <w:szCs w:val="24"/>
    </w:rPr>
  </w:style>
  <w:style w:type="character" w:styleId="af7">
    <w:name w:val="footnote reference"/>
    <w:rPr>
      <w:vertAlign w:val="superscript"/>
    </w:rPr>
  </w:style>
  <w:style w:type="character" w:customStyle="1" w:styleId="1Char">
    <w:name w:val="标题 1 Char"/>
    <w:link w:val="1"/>
    <w:uiPriority w:val="9"/>
    <w:locked/>
    <w:rPr>
      <w:b/>
      <w:bCs/>
      <w:kern w:val="44"/>
      <w:sz w:val="44"/>
      <w:szCs w:val="44"/>
    </w:rPr>
  </w:style>
  <w:style w:type="character" w:customStyle="1" w:styleId="2Char">
    <w:name w:val="标题 2 Char"/>
    <w:link w:val="2"/>
    <w:uiPriority w:val="9"/>
    <w:locked/>
    <w:rPr>
      <w:rFonts w:ascii="Cambria" w:eastAsia="宋体" w:hAnsi="Cambria" w:cs="Times New Roman" w:hint="default"/>
      <w:b/>
      <w:bCs/>
      <w:kern w:val="2"/>
      <w:sz w:val="32"/>
      <w:szCs w:val="32"/>
    </w:rPr>
  </w:style>
  <w:style w:type="character" w:customStyle="1" w:styleId="3Char">
    <w:name w:val="标题 3 Char"/>
    <w:link w:val="3"/>
    <w:uiPriority w:val="9"/>
    <w:locked/>
    <w:rPr>
      <w:b/>
      <w:bCs/>
      <w:kern w:val="2"/>
      <w:sz w:val="32"/>
      <w:szCs w:val="32"/>
    </w:rPr>
  </w:style>
  <w:style w:type="character" w:customStyle="1" w:styleId="4Char">
    <w:name w:val="标题 4 Char"/>
    <w:link w:val="4"/>
    <w:locked/>
    <w:rPr>
      <w:rFonts w:ascii="Cambria" w:eastAsia="宋体" w:hAnsi="Cambria" w:cs="Times New Roman" w:hint="default"/>
      <w:b/>
      <w:bCs/>
      <w:kern w:val="2"/>
      <w:sz w:val="24"/>
      <w:szCs w:val="24"/>
    </w:rPr>
  </w:style>
  <w:style w:type="character" w:customStyle="1" w:styleId="5Char">
    <w:name w:val="标题 5 Char"/>
    <w:link w:val="5"/>
    <w:uiPriority w:val="9"/>
    <w:semiHidden/>
    <w:locked/>
    <w:rPr>
      <w:b/>
      <w:bCs/>
      <w:kern w:val="2"/>
      <w:sz w:val="24"/>
      <w:szCs w:val="24"/>
    </w:rPr>
  </w:style>
  <w:style w:type="character" w:customStyle="1" w:styleId="6Char">
    <w:name w:val="标题 6 Char"/>
    <w:link w:val="6"/>
    <w:uiPriority w:val="9"/>
    <w:semiHidden/>
    <w:locked/>
    <w:rPr>
      <w:rFonts w:ascii="Cambria" w:eastAsia="宋体" w:hAnsi="Cambria" w:cs="Times New Roman" w:hint="default"/>
      <w:b/>
      <w:bCs/>
      <w:kern w:val="2"/>
      <w:sz w:val="24"/>
      <w:szCs w:val="24"/>
    </w:rPr>
  </w:style>
  <w:style w:type="character" w:customStyle="1" w:styleId="Char0">
    <w:name w:val="脚注文本 Char"/>
    <w:link w:val="a6"/>
    <w:locked/>
    <w:rPr>
      <w:kern w:val="2"/>
      <w:sz w:val="18"/>
      <w:szCs w:val="18"/>
    </w:rPr>
  </w:style>
  <w:style w:type="character" w:customStyle="1" w:styleId="Char1">
    <w:name w:val="页眉 Char"/>
    <w:link w:val="a8"/>
    <w:uiPriority w:val="99"/>
    <w:locked/>
    <w:rPr>
      <w:kern w:val="2"/>
      <w:sz w:val="18"/>
      <w:szCs w:val="18"/>
    </w:rPr>
  </w:style>
  <w:style w:type="character" w:customStyle="1" w:styleId="Char2">
    <w:name w:val="页脚 Char"/>
    <w:link w:val="aa"/>
    <w:uiPriority w:val="99"/>
    <w:locked/>
    <w:rPr>
      <w:kern w:val="2"/>
      <w:sz w:val="18"/>
      <w:szCs w:val="18"/>
    </w:rPr>
  </w:style>
  <w:style w:type="character" w:customStyle="1" w:styleId="Char3">
    <w:name w:val="标题 Char"/>
    <w:link w:val="ac"/>
    <w:uiPriority w:val="10"/>
    <w:locked/>
    <w:rPr>
      <w:rFonts w:ascii="Cambria" w:hAnsi="Cambria" w:cs="Times New Roman" w:hint="default"/>
      <w:b/>
      <w:bCs/>
      <w:kern w:val="2"/>
      <w:sz w:val="32"/>
      <w:szCs w:val="32"/>
    </w:rPr>
  </w:style>
  <w:style w:type="character" w:customStyle="1" w:styleId="Char4">
    <w:name w:val="副标题 Char"/>
    <w:link w:val="ae"/>
    <w:locked/>
    <w:rPr>
      <w:rFonts w:ascii="Cambria" w:hAnsi="Cambria" w:cs="Times New Roman" w:hint="default"/>
      <w:b/>
      <w:bCs/>
      <w:kern w:val="24"/>
      <w:sz w:val="32"/>
      <w:szCs w:val="32"/>
    </w:rPr>
  </w:style>
  <w:style w:type="character" w:customStyle="1" w:styleId="Char5">
    <w:name w:val="日期 Char"/>
    <w:link w:val="af0"/>
    <w:locked/>
    <w:rPr>
      <w:kern w:val="2"/>
      <w:sz w:val="21"/>
    </w:rPr>
  </w:style>
  <w:style w:type="character" w:customStyle="1" w:styleId="Char6">
    <w:name w:val="文档结构图 Char"/>
    <w:link w:val="af2"/>
    <w:locked/>
    <w:rPr>
      <w:rFonts w:ascii="宋体" w:eastAsia="宋体" w:hAnsi="宋体" w:hint="eastAsia"/>
      <w:kern w:val="2"/>
      <w:sz w:val="18"/>
      <w:szCs w:val="18"/>
    </w:rPr>
  </w:style>
  <w:style w:type="character" w:customStyle="1" w:styleId="Char7">
    <w:name w:val="批注框文本 Char"/>
    <w:link w:val="af4"/>
    <w:uiPriority w:val="99"/>
    <w:semiHidden/>
    <w:locked/>
    <w:rPr>
      <w:kern w:val="2"/>
      <w:sz w:val="18"/>
      <w:szCs w:val="18"/>
    </w:rPr>
  </w:style>
  <w:style w:type="character" w:customStyle="1" w:styleId="11">
    <w:name w:val="标题 1 字符1"/>
    <w:link w:val="1"/>
    <w:uiPriority w:val="9"/>
    <w:locked/>
    <w:rPr>
      <w:b/>
      <w:bCs/>
      <w:kern w:val="44"/>
      <w:sz w:val="44"/>
      <w:szCs w:val="44"/>
    </w:rPr>
  </w:style>
  <w:style w:type="character" w:customStyle="1" w:styleId="21">
    <w:name w:val="标题 2 字符1"/>
    <w:link w:val="2"/>
    <w:uiPriority w:val="9"/>
    <w:locked/>
    <w:rPr>
      <w:rFonts w:ascii="Cambria" w:eastAsia="宋体" w:hAnsi="Cambria" w:cs="宋体" w:hint="default"/>
      <w:b/>
      <w:bCs/>
      <w:sz w:val="32"/>
      <w:szCs w:val="32"/>
    </w:rPr>
  </w:style>
  <w:style w:type="character" w:customStyle="1" w:styleId="31">
    <w:name w:val="标题 3 字符1"/>
    <w:link w:val="3"/>
    <w:uiPriority w:val="9"/>
    <w:locked/>
    <w:rPr>
      <w:b/>
      <w:bCs/>
      <w:sz w:val="32"/>
      <w:szCs w:val="32"/>
    </w:rPr>
  </w:style>
  <w:style w:type="character" w:customStyle="1" w:styleId="41">
    <w:name w:val="标题 4 字符1"/>
    <w:link w:val="4"/>
    <w:semiHidden/>
    <w:locked/>
    <w:rPr>
      <w:rFonts w:ascii="Cambria" w:eastAsia="宋体" w:hAnsi="Cambria" w:cs="宋体" w:hint="default"/>
      <w:b/>
      <w:bCs/>
      <w:sz w:val="24"/>
      <w:szCs w:val="24"/>
    </w:rPr>
  </w:style>
  <w:style w:type="character" w:customStyle="1" w:styleId="13">
    <w:name w:val="脚注文本 字符1"/>
    <w:link w:val="a6"/>
    <w:locked/>
    <w:rPr>
      <w:kern w:val="2"/>
      <w:sz w:val="18"/>
      <w:szCs w:val="18"/>
    </w:rPr>
  </w:style>
  <w:style w:type="character" w:customStyle="1" w:styleId="23">
    <w:name w:val="页眉 字符2"/>
    <w:link w:val="a8"/>
    <w:locked/>
    <w:rPr>
      <w:kern w:val="2"/>
      <w:sz w:val="18"/>
      <w:szCs w:val="18"/>
    </w:rPr>
  </w:style>
  <w:style w:type="character" w:customStyle="1" w:styleId="14">
    <w:name w:val="页脚 字符1"/>
    <w:link w:val="aa"/>
    <w:uiPriority w:val="99"/>
    <w:locked/>
    <w:rPr>
      <w:kern w:val="2"/>
      <w:sz w:val="18"/>
      <w:szCs w:val="18"/>
    </w:rPr>
  </w:style>
  <w:style w:type="character" w:customStyle="1" w:styleId="15">
    <w:name w:val="标题 字符1"/>
    <w:link w:val="ac"/>
    <w:uiPriority w:val="10"/>
    <w:locked/>
    <w:rPr>
      <w:rFonts w:ascii="Cambria" w:hAnsi="Cambria" w:cs="宋体" w:hint="default"/>
      <w:b/>
      <w:bCs/>
      <w:sz w:val="32"/>
      <w:szCs w:val="32"/>
    </w:rPr>
  </w:style>
  <w:style w:type="character" w:customStyle="1" w:styleId="16">
    <w:name w:val="副标题 字符1"/>
    <w:link w:val="ae"/>
    <w:locked/>
    <w:rPr>
      <w:rFonts w:ascii="Cambria" w:eastAsia="宋体" w:hAnsi="Cambria" w:cs="宋体" w:hint="default"/>
      <w:b/>
      <w:bCs w:val="0"/>
      <w:kern w:val="24"/>
      <w:sz w:val="24"/>
      <w:szCs w:val="32"/>
    </w:rPr>
  </w:style>
  <w:style w:type="character" w:customStyle="1" w:styleId="17">
    <w:name w:val="日期 字符1"/>
    <w:link w:val="af0"/>
    <w:locked/>
    <w:rPr>
      <w:rFonts w:ascii="宋体" w:eastAsia="宋体" w:hAnsi="宋体" w:hint="eastAsia"/>
      <w:kern w:val="2"/>
      <w:sz w:val="32"/>
    </w:rPr>
  </w:style>
  <w:style w:type="character" w:customStyle="1" w:styleId="18">
    <w:name w:val="文档结构图 字符1"/>
    <w:link w:val="af2"/>
    <w:locked/>
    <w:rPr>
      <w:rFonts w:ascii="宋体" w:eastAsia="宋体" w:hAnsi="宋体" w:hint="eastAsia"/>
      <w:kern w:val="2"/>
      <w:sz w:val="18"/>
      <w:szCs w:val="18"/>
    </w:rPr>
  </w:style>
  <w:style w:type="character" w:customStyle="1" w:styleId="19">
    <w:name w:val="批注框文本 字符1"/>
    <w:link w:val="af4"/>
    <w:uiPriority w:val="99"/>
    <w:semiHidden/>
    <w:locked/>
    <w:rPr>
      <w:kern w:val="2"/>
      <w:sz w:val="18"/>
      <w:szCs w:val="18"/>
    </w:rPr>
  </w:style>
  <w:style w:type="character" w:customStyle="1" w:styleId="51">
    <w:name w:val="标题 5 字符1"/>
    <w:link w:val="5"/>
    <w:uiPriority w:val="9"/>
    <w:semiHidden/>
    <w:locked/>
    <w:rPr>
      <w:b/>
      <w:bCs/>
      <w:kern w:val="2"/>
      <w:sz w:val="24"/>
      <w:szCs w:val="24"/>
    </w:rPr>
  </w:style>
  <w:style w:type="character" w:customStyle="1" w:styleId="61">
    <w:name w:val="标题 6 字符1"/>
    <w:link w:val="6"/>
    <w:uiPriority w:val="9"/>
    <w:semiHidden/>
    <w:locked/>
    <w:rPr>
      <w:rFonts w:ascii="Cambria" w:eastAsia="宋体" w:hAnsi="Cambria" w:cs="Times New Roman" w:hint="default"/>
      <w:b/>
      <w:bCs/>
      <w:kern w:val="2"/>
      <w:sz w:val="24"/>
      <w:szCs w:val="24"/>
    </w:rPr>
  </w:style>
  <w:style w:type="character" w:customStyle="1" w:styleId="1a">
    <w:name w:val="页眉 字符1"/>
    <w:locked/>
    <w:rPr>
      <w:kern w:val="2"/>
      <w:sz w:val="18"/>
      <w:szCs w:val="18"/>
    </w:rPr>
  </w:style>
  <w:style w:type="table" w:styleId="af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movednode">
    <w:name w:val="removednode"/>
    <w:basedOn w:val="a"/>
    <w:pPr>
      <w:widowControl/>
      <w:spacing w:before="100" w:beforeAutospacing="1" w:after="100" w:afterAutospacing="1"/>
      <w:jc w:val="left"/>
    </w:pPr>
    <w:rPr>
      <w:kern w:val="0"/>
      <w:sz w:val="24"/>
    </w:rPr>
  </w:style>
  <w:style w:type="character" w:customStyle="1" w:styleId="Char10">
    <w:name w:val="页眉 Char1"/>
    <w:locked/>
    <w:rPr>
      <w:kern w:val="2"/>
      <w:sz w:val="18"/>
      <w:szCs w:val="18"/>
    </w:rPr>
  </w:style>
  <w:style w:type="character" w:customStyle="1" w:styleId="Char11">
    <w:name w:val="页脚 Char1"/>
    <w:uiPriority w:val="99"/>
    <w:locked/>
    <w:rPr>
      <w:kern w:val="2"/>
      <w:sz w:val="18"/>
      <w:szCs w:val="18"/>
    </w:rPr>
  </w:style>
  <w:style w:type="character" w:styleId="af9">
    <w:name w:val="annotation reference"/>
    <w:uiPriority w:val="99"/>
    <w:semiHidden/>
    <w:unhideWhenUsed/>
    <w:rsid w:val="00477B25"/>
    <w:rPr>
      <w:sz w:val="21"/>
      <w:szCs w:val="21"/>
    </w:rPr>
  </w:style>
  <w:style w:type="paragraph" w:styleId="afa">
    <w:name w:val="annotation text"/>
    <w:basedOn w:val="a"/>
    <w:link w:val="Char8"/>
    <w:uiPriority w:val="99"/>
    <w:semiHidden/>
    <w:unhideWhenUsed/>
    <w:rsid w:val="00477B25"/>
    <w:pPr>
      <w:jc w:val="left"/>
    </w:pPr>
  </w:style>
  <w:style w:type="character" w:customStyle="1" w:styleId="Char8">
    <w:name w:val="批注文字 Char"/>
    <w:link w:val="afa"/>
    <w:uiPriority w:val="99"/>
    <w:semiHidden/>
    <w:rsid w:val="00477B25"/>
    <w:rPr>
      <w:rFonts w:cs="宋体"/>
      <w:kern w:val="2"/>
      <w:sz w:val="21"/>
    </w:rPr>
  </w:style>
  <w:style w:type="paragraph" w:styleId="afb">
    <w:name w:val="annotation subject"/>
    <w:basedOn w:val="afa"/>
    <w:next w:val="afa"/>
    <w:link w:val="Char9"/>
    <w:uiPriority w:val="99"/>
    <w:semiHidden/>
    <w:unhideWhenUsed/>
    <w:rsid w:val="00477B25"/>
    <w:rPr>
      <w:b/>
      <w:bCs/>
    </w:rPr>
  </w:style>
  <w:style w:type="character" w:customStyle="1" w:styleId="Char9">
    <w:name w:val="批注主题 Char"/>
    <w:link w:val="afb"/>
    <w:uiPriority w:val="99"/>
    <w:semiHidden/>
    <w:rsid w:val="00477B25"/>
    <w:rPr>
      <w:rFonts w:cs="宋体"/>
      <w:b/>
      <w:bCs/>
      <w:kern w:val="2"/>
      <w:sz w:val="21"/>
    </w:rPr>
  </w:style>
  <w:style w:type="paragraph" w:styleId="afc">
    <w:name w:val="Revision"/>
    <w:hidden/>
    <w:uiPriority w:val="99"/>
    <w:semiHidden/>
    <w:rsid w:val="00C66953"/>
    <w:rPr>
      <w:rFonts w:cs="宋体"/>
      <w:kern w:val="2"/>
      <w:sz w:val="21"/>
    </w:rPr>
  </w:style>
</w:styles>
</file>

<file path=word/webSettings.xml><?xml version="1.0" encoding="utf-8"?>
<w:webSettings xmlns:r="http://schemas.openxmlformats.org/officeDocument/2006/relationships" xmlns:w="http://schemas.openxmlformats.org/wordprocessingml/2006/main">
  <w:divs>
    <w:div w:id="302270584">
      <w:marLeft w:val="0"/>
      <w:marRight w:val="0"/>
      <w:marTop w:val="0"/>
      <w:marBottom w:val="0"/>
      <w:divBdr>
        <w:top w:val="none" w:sz="0" w:space="0" w:color="auto"/>
        <w:left w:val="none" w:sz="0" w:space="0" w:color="auto"/>
        <w:bottom w:val="none" w:sz="0" w:space="0" w:color="auto"/>
        <w:right w:val="none" w:sz="0" w:space="0" w:color="auto"/>
      </w:divBdr>
    </w:div>
    <w:div w:id="341663580">
      <w:marLeft w:val="0"/>
      <w:marRight w:val="0"/>
      <w:marTop w:val="0"/>
      <w:marBottom w:val="0"/>
      <w:divBdr>
        <w:top w:val="none" w:sz="0" w:space="0" w:color="auto"/>
        <w:left w:val="none" w:sz="0" w:space="0" w:color="auto"/>
        <w:bottom w:val="none" w:sz="0" w:space="0" w:color="auto"/>
        <w:right w:val="none" w:sz="0" w:space="0" w:color="auto"/>
      </w:divBdr>
    </w:div>
    <w:div w:id="499081321">
      <w:marLeft w:val="0"/>
      <w:marRight w:val="0"/>
      <w:marTop w:val="0"/>
      <w:marBottom w:val="0"/>
      <w:divBdr>
        <w:top w:val="none" w:sz="0" w:space="0" w:color="auto"/>
        <w:left w:val="none" w:sz="0" w:space="0" w:color="auto"/>
        <w:bottom w:val="none" w:sz="0" w:space="0" w:color="auto"/>
        <w:right w:val="none" w:sz="0" w:space="0" w:color="auto"/>
      </w:divBdr>
      <w:divsChild>
        <w:div w:id="679743887">
          <w:marLeft w:val="0"/>
          <w:marRight w:val="0"/>
          <w:marTop w:val="0"/>
          <w:marBottom w:val="0"/>
          <w:divBdr>
            <w:top w:val="none" w:sz="0" w:space="0" w:color="auto"/>
            <w:left w:val="none" w:sz="0" w:space="0" w:color="auto"/>
            <w:bottom w:val="none" w:sz="0" w:space="0" w:color="auto"/>
            <w:right w:val="none" w:sz="0" w:space="0" w:color="auto"/>
          </w:divBdr>
        </w:div>
        <w:div w:id="713386292">
          <w:marLeft w:val="0"/>
          <w:marRight w:val="0"/>
          <w:marTop w:val="0"/>
          <w:marBottom w:val="0"/>
          <w:divBdr>
            <w:top w:val="none" w:sz="0" w:space="0" w:color="auto"/>
            <w:left w:val="none" w:sz="0" w:space="0" w:color="auto"/>
            <w:bottom w:val="none" w:sz="0" w:space="0" w:color="auto"/>
            <w:right w:val="none" w:sz="0" w:space="0" w:color="auto"/>
          </w:divBdr>
          <w:divsChild>
            <w:div w:id="279144803">
              <w:marLeft w:val="0"/>
              <w:marRight w:val="0"/>
              <w:marTop w:val="0"/>
              <w:marBottom w:val="0"/>
              <w:divBdr>
                <w:top w:val="none" w:sz="0" w:space="0" w:color="auto"/>
                <w:left w:val="none" w:sz="0" w:space="0" w:color="auto"/>
                <w:bottom w:val="none" w:sz="0" w:space="0" w:color="auto"/>
                <w:right w:val="none" w:sz="0" w:space="0" w:color="auto"/>
              </w:divBdr>
              <w:divsChild>
                <w:div w:id="622005189">
                  <w:marLeft w:val="0"/>
                  <w:marRight w:val="0"/>
                  <w:marTop w:val="0"/>
                  <w:marBottom w:val="0"/>
                  <w:divBdr>
                    <w:top w:val="none" w:sz="0" w:space="0" w:color="auto"/>
                    <w:left w:val="none" w:sz="0" w:space="0" w:color="auto"/>
                    <w:bottom w:val="none" w:sz="0" w:space="0" w:color="auto"/>
                    <w:right w:val="none" w:sz="0" w:space="0" w:color="auto"/>
                  </w:divBdr>
                </w:div>
                <w:div w:id="197494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12450">
          <w:marLeft w:val="0"/>
          <w:marRight w:val="0"/>
          <w:marTop w:val="0"/>
          <w:marBottom w:val="0"/>
          <w:divBdr>
            <w:top w:val="none" w:sz="0" w:space="0" w:color="auto"/>
            <w:left w:val="none" w:sz="0" w:space="0" w:color="auto"/>
            <w:bottom w:val="none" w:sz="0" w:space="0" w:color="auto"/>
            <w:right w:val="none" w:sz="0" w:space="0" w:color="auto"/>
          </w:divBdr>
        </w:div>
        <w:div w:id="2120372201">
          <w:marLeft w:val="0"/>
          <w:marRight w:val="0"/>
          <w:marTop w:val="0"/>
          <w:marBottom w:val="0"/>
          <w:divBdr>
            <w:top w:val="none" w:sz="0" w:space="0" w:color="auto"/>
            <w:left w:val="none" w:sz="0" w:space="0" w:color="auto"/>
            <w:bottom w:val="none" w:sz="0" w:space="0" w:color="auto"/>
            <w:right w:val="none" w:sz="0" w:space="0" w:color="auto"/>
          </w:divBdr>
        </w:div>
      </w:divsChild>
    </w:div>
    <w:div w:id="505634143">
      <w:marLeft w:val="0"/>
      <w:marRight w:val="0"/>
      <w:marTop w:val="0"/>
      <w:marBottom w:val="0"/>
      <w:divBdr>
        <w:top w:val="none" w:sz="0" w:space="0" w:color="auto"/>
        <w:left w:val="none" w:sz="0" w:space="0" w:color="auto"/>
        <w:bottom w:val="none" w:sz="0" w:space="0" w:color="auto"/>
        <w:right w:val="none" w:sz="0" w:space="0" w:color="auto"/>
      </w:divBdr>
      <w:divsChild>
        <w:div w:id="1279024227">
          <w:marLeft w:val="0"/>
          <w:marRight w:val="0"/>
          <w:marTop w:val="0"/>
          <w:marBottom w:val="0"/>
          <w:divBdr>
            <w:top w:val="none" w:sz="0" w:space="0" w:color="auto"/>
            <w:left w:val="none" w:sz="0" w:space="0" w:color="auto"/>
            <w:bottom w:val="none" w:sz="0" w:space="0" w:color="auto"/>
            <w:right w:val="none" w:sz="0" w:space="0" w:color="auto"/>
          </w:divBdr>
        </w:div>
        <w:div w:id="1899709612">
          <w:marLeft w:val="0"/>
          <w:marRight w:val="0"/>
          <w:marTop w:val="0"/>
          <w:marBottom w:val="0"/>
          <w:divBdr>
            <w:top w:val="none" w:sz="0" w:space="0" w:color="auto"/>
            <w:left w:val="none" w:sz="0" w:space="0" w:color="auto"/>
            <w:bottom w:val="none" w:sz="0" w:space="0" w:color="auto"/>
            <w:right w:val="none" w:sz="0" w:space="0" w:color="auto"/>
          </w:divBdr>
        </w:div>
      </w:divsChild>
    </w:div>
    <w:div w:id="635842775">
      <w:marLeft w:val="0"/>
      <w:marRight w:val="0"/>
      <w:marTop w:val="0"/>
      <w:marBottom w:val="0"/>
      <w:divBdr>
        <w:top w:val="none" w:sz="0" w:space="0" w:color="auto"/>
        <w:left w:val="none" w:sz="0" w:space="0" w:color="auto"/>
        <w:bottom w:val="none" w:sz="0" w:space="0" w:color="auto"/>
        <w:right w:val="none" w:sz="0" w:space="0" w:color="auto"/>
      </w:divBdr>
    </w:div>
    <w:div w:id="1728989096">
      <w:marLeft w:val="0"/>
      <w:marRight w:val="0"/>
      <w:marTop w:val="0"/>
      <w:marBottom w:val="0"/>
      <w:divBdr>
        <w:top w:val="none" w:sz="0" w:space="0" w:color="auto"/>
        <w:left w:val="none" w:sz="0" w:space="0" w:color="auto"/>
        <w:bottom w:val="none" w:sz="0" w:space="0" w:color="auto"/>
        <w:right w:val="none" w:sz="0" w:space="0" w:color="auto"/>
      </w:divBdr>
      <w:divsChild>
        <w:div w:id="1892226139">
          <w:marLeft w:val="0"/>
          <w:marRight w:val="0"/>
          <w:marTop w:val="0"/>
          <w:marBottom w:val="0"/>
          <w:divBdr>
            <w:top w:val="none" w:sz="0" w:space="0" w:color="auto"/>
            <w:left w:val="none" w:sz="0" w:space="0" w:color="auto"/>
            <w:bottom w:val="none" w:sz="0" w:space="0" w:color="auto"/>
            <w:right w:val="none" w:sz="0" w:space="0" w:color="auto"/>
          </w:divBdr>
          <w:divsChild>
            <w:div w:id="532234534">
              <w:marLeft w:val="0"/>
              <w:marRight w:val="0"/>
              <w:marTop w:val="0"/>
              <w:marBottom w:val="0"/>
              <w:divBdr>
                <w:top w:val="none" w:sz="0" w:space="0" w:color="auto"/>
                <w:left w:val="none" w:sz="0" w:space="0" w:color="auto"/>
                <w:bottom w:val="none" w:sz="0" w:space="0" w:color="auto"/>
                <w:right w:val="none" w:sz="0" w:space="0" w:color="auto"/>
              </w:divBdr>
            </w:div>
            <w:div w:id="120267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81076">
      <w:marLeft w:val="0"/>
      <w:marRight w:val="0"/>
      <w:marTop w:val="0"/>
      <w:marBottom w:val="0"/>
      <w:divBdr>
        <w:top w:val="none" w:sz="0" w:space="0" w:color="auto"/>
        <w:left w:val="none" w:sz="0" w:space="0" w:color="auto"/>
        <w:bottom w:val="none" w:sz="0" w:space="0" w:color="auto"/>
        <w:right w:val="none" w:sz="0" w:space="0" w:color="auto"/>
      </w:divBdr>
      <w:divsChild>
        <w:div w:id="405542573">
          <w:marLeft w:val="0"/>
          <w:marRight w:val="0"/>
          <w:marTop w:val="0"/>
          <w:marBottom w:val="0"/>
          <w:divBdr>
            <w:top w:val="none" w:sz="0" w:space="0" w:color="auto"/>
            <w:left w:val="none" w:sz="0" w:space="0" w:color="auto"/>
            <w:bottom w:val="none" w:sz="0" w:space="0" w:color="auto"/>
            <w:right w:val="none" w:sz="0" w:space="0" w:color="auto"/>
          </w:divBdr>
          <w:divsChild>
            <w:div w:id="1777211167">
              <w:marLeft w:val="0"/>
              <w:marRight w:val="0"/>
              <w:marTop w:val="0"/>
              <w:marBottom w:val="0"/>
              <w:divBdr>
                <w:top w:val="none" w:sz="0" w:space="0" w:color="auto"/>
                <w:left w:val="none" w:sz="0" w:space="0" w:color="auto"/>
                <w:bottom w:val="none" w:sz="0" w:space="0" w:color="auto"/>
                <w:right w:val="none" w:sz="0" w:space="0" w:color="auto"/>
              </w:divBdr>
            </w:div>
          </w:divsChild>
        </w:div>
        <w:div w:id="774325143">
          <w:marLeft w:val="0"/>
          <w:marRight w:val="0"/>
          <w:marTop w:val="0"/>
          <w:marBottom w:val="0"/>
          <w:divBdr>
            <w:top w:val="none" w:sz="0" w:space="0" w:color="auto"/>
            <w:left w:val="none" w:sz="0" w:space="0" w:color="auto"/>
            <w:bottom w:val="none" w:sz="0" w:space="0" w:color="auto"/>
            <w:right w:val="none" w:sz="0" w:space="0" w:color="auto"/>
          </w:divBdr>
        </w:div>
        <w:div w:id="1747455226">
          <w:marLeft w:val="0"/>
          <w:marRight w:val="0"/>
          <w:marTop w:val="0"/>
          <w:marBottom w:val="0"/>
          <w:divBdr>
            <w:top w:val="none" w:sz="0" w:space="0" w:color="auto"/>
            <w:left w:val="none" w:sz="0" w:space="0" w:color="auto"/>
            <w:bottom w:val="none" w:sz="0" w:space="0" w:color="auto"/>
            <w:right w:val="none" w:sz="0" w:space="0" w:color="auto"/>
          </w:divBdr>
        </w:div>
      </w:divsChild>
    </w:div>
    <w:div w:id="2053186416">
      <w:marLeft w:val="0"/>
      <w:marRight w:val="0"/>
      <w:marTop w:val="0"/>
      <w:marBottom w:val="0"/>
      <w:divBdr>
        <w:top w:val="none" w:sz="0" w:space="0" w:color="auto"/>
        <w:left w:val="none" w:sz="0" w:space="0" w:color="auto"/>
        <w:bottom w:val="none" w:sz="0" w:space="0" w:color="auto"/>
        <w:right w:val="none" w:sz="0" w:space="0" w:color="auto"/>
      </w:divBdr>
    </w:div>
    <w:div w:id="2073772069">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doNotRelyOnCS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865AE-D25E-44F8-865A-D60B9A1AC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1137</Words>
  <Characters>6487</Characters>
  <Application>Microsoft Office Word</Application>
  <DocSecurity>4</DocSecurity>
  <Lines>54</Lines>
  <Paragraphs>15</Paragraphs>
  <ScaleCrop>false</ScaleCrop>
  <Company/>
  <LinksUpToDate>false</LinksUpToDate>
  <CharactersWithSpaces>7609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yss</dc:creator>
  <cp:keywords/>
  <dc:description/>
  <cp:lastModifiedBy>ZHONGM</cp:lastModifiedBy>
  <cp:revision>2</cp:revision>
  <cp:lastPrinted>2026-03-12T07:48:00Z</cp:lastPrinted>
  <dcterms:created xsi:type="dcterms:W3CDTF">2026-03-12T16:01:00Z</dcterms:created>
  <dcterms:modified xsi:type="dcterms:W3CDTF">2026-03-12T16:01:00Z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2052-9.1.0.5113</vt:lpwstr>
  </property>
</Properties>
</file>