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E1F1F" w:rsidRDefault="0044517E" w:rsidP="009F095E">
      <w:pPr>
        <w:widowControl/>
        <w:spacing w:line="360" w:lineRule="auto"/>
        <w:jc w:val="center"/>
        <w:rPr>
          <w:rFonts w:eastAsiaTheme="minorEastAsia"/>
          <w:b/>
          <w:kern w:val="0"/>
          <w:sz w:val="28"/>
          <w:szCs w:val="28"/>
        </w:rPr>
      </w:pPr>
      <w:r w:rsidRPr="008E1F1F">
        <w:rPr>
          <w:rFonts w:eastAsiaTheme="minorEastAsia"/>
          <w:b/>
          <w:kern w:val="0"/>
          <w:sz w:val="28"/>
          <w:szCs w:val="28"/>
        </w:rPr>
        <w:t>国泰基金管理有限公司关于旗下部分基金</w:t>
      </w:r>
      <w:r w:rsidR="00226F5E" w:rsidRPr="008E1F1F">
        <w:rPr>
          <w:rFonts w:eastAsiaTheme="minorEastAsia"/>
          <w:b/>
          <w:kern w:val="0"/>
          <w:sz w:val="28"/>
          <w:szCs w:val="28"/>
        </w:rPr>
        <w:t>可投资</w:t>
      </w:r>
      <w:r w:rsidRPr="008E1F1F">
        <w:rPr>
          <w:rFonts w:eastAsiaTheme="minorEastAsia"/>
          <w:b/>
          <w:kern w:val="0"/>
          <w:sz w:val="28"/>
          <w:szCs w:val="28"/>
        </w:rPr>
        <w:t>科创板股票</w:t>
      </w:r>
      <w:r w:rsidR="00226F5E" w:rsidRPr="008E1F1F">
        <w:rPr>
          <w:rFonts w:eastAsiaTheme="minorEastAsia"/>
          <w:b/>
          <w:kern w:val="0"/>
          <w:sz w:val="28"/>
          <w:szCs w:val="28"/>
        </w:rPr>
        <w:t>及相关风险提示</w:t>
      </w:r>
      <w:r w:rsidRPr="008E1F1F">
        <w:rPr>
          <w:rFonts w:eastAsiaTheme="minorEastAsia"/>
          <w:b/>
          <w:kern w:val="0"/>
          <w:sz w:val="28"/>
          <w:szCs w:val="28"/>
        </w:rPr>
        <w:t>的公告</w:t>
      </w:r>
    </w:p>
    <w:p w:rsidR="00B833FB" w:rsidRPr="00031296" w:rsidRDefault="00B833FB">
      <w:pPr>
        <w:spacing w:line="360" w:lineRule="auto"/>
        <w:ind w:firstLineChars="200" w:firstLine="420"/>
        <w:rPr>
          <w:rFonts w:eastAsia="宋体"/>
          <w:sz w:val="21"/>
          <w:szCs w:val="21"/>
        </w:rPr>
      </w:pPr>
    </w:p>
    <w:p w:rsidR="00B833FB" w:rsidRPr="003C5D79" w:rsidRDefault="0044517E">
      <w:pPr>
        <w:spacing w:line="360" w:lineRule="auto"/>
        <w:ind w:firstLineChars="200" w:firstLine="420"/>
        <w:rPr>
          <w:rFonts w:eastAsia="宋体"/>
          <w:sz w:val="21"/>
          <w:szCs w:val="21"/>
        </w:rPr>
      </w:pPr>
      <w:r w:rsidRPr="003C5D79">
        <w:rPr>
          <w:rFonts w:eastAsia="宋体"/>
          <w:sz w:val="21"/>
          <w:szCs w:val="21"/>
        </w:rPr>
        <w:t>根据</w:t>
      </w:r>
      <w:r w:rsidR="00226F5E" w:rsidRPr="003C5D79">
        <w:rPr>
          <w:rFonts w:eastAsia="宋体"/>
          <w:sz w:val="21"/>
          <w:szCs w:val="21"/>
        </w:rPr>
        <w:t>相关</w:t>
      </w:r>
      <w:r w:rsidRPr="003C5D79">
        <w:rPr>
          <w:rFonts w:eastAsia="宋体"/>
          <w:sz w:val="21"/>
          <w:szCs w:val="21"/>
        </w:rPr>
        <w:t>法律法规的规定和基金合同的约定，国泰基金管理有限公司（以下简称</w:t>
      </w:r>
      <w:r w:rsidRPr="007D0500">
        <w:rPr>
          <w:rFonts w:asciiTheme="majorEastAsia" w:eastAsiaTheme="majorEastAsia" w:hAnsiTheme="majorEastAsia"/>
          <w:sz w:val="21"/>
          <w:szCs w:val="21"/>
        </w:rPr>
        <w:t>“</w:t>
      </w:r>
      <w:r w:rsidRPr="007D0500">
        <w:rPr>
          <w:rFonts w:asciiTheme="majorEastAsia" w:eastAsiaTheme="majorEastAsia" w:hAnsiTheme="majorEastAsia" w:hint="eastAsia"/>
          <w:sz w:val="21"/>
          <w:szCs w:val="21"/>
        </w:rPr>
        <w:t>基金管理人</w:t>
      </w:r>
      <w:r w:rsidRPr="007D0500">
        <w:rPr>
          <w:rFonts w:asciiTheme="majorEastAsia" w:eastAsiaTheme="majorEastAsia" w:hAnsiTheme="majorEastAsia"/>
          <w:sz w:val="21"/>
          <w:szCs w:val="21"/>
        </w:rPr>
        <w:t>”</w:t>
      </w:r>
      <w:r w:rsidR="00226F5E" w:rsidRPr="003C5D79">
        <w:rPr>
          <w:rFonts w:eastAsia="宋体"/>
          <w:sz w:val="21"/>
          <w:szCs w:val="21"/>
        </w:rPr>
        <w:t>）</w:t>
      </w:r>
      <w:r w:rsidR="00B94FA3">
        <w:rPr>
          <w:rFonts w:eastAsia="宋体" w:hint="eastAsia"/>
          <w:sz w:val="21"/>
          <w:szCs w:val="21"/>
        </w:rPr>
        <w:t>管理的</w:t>
      </w:r>
      <w:r w:rsidR="001C6E06" w:rsidRPr="001C6E06">
        <w:rPr>
          <w:rFonts w:eastAsia="宋体" w:hint="eastAsia"/>
          <w:sz w:val="21"/>
          <w:szCs w:val="21"/>
        </w:rPr>
        <w:t>国泰恒生</w:t>
      </w:r>
      <w:r w:rsidR="001C6E06" w:rsidRPr="001C6E06">
        <w:rPr>
          <w:rFonts w:eastAsia="宋体" w:hint="eastAsia"/>
          <w:sz w:val="21"/>
          <w:szCs w:val="21"/>
        </w:rPr>
        <w:t>A</w:t>
      </w:r>
      <w:r w:rsidR="001C6E06" w:rsidRPr="001C6E06">
        <w:rPr>
          <w:rFonts w:eastAsia="宋体" w:hint="eastAsia"/>
          <w:sz w:val="21"/>
          <w:szCs w:val="21"/>
        </w:rPr>
        <w:t>股电网设备</w:t>
      </w:r>
      <w:r w:rsidR="00C84691" w:rsidRPr="001C6E06">
        <w:rPr>
          <w:rFonts w:eastAsia="宋体" w:hint="eastAsia"/>
          <w:sz w:val="21"/>
          <w:szCs w:val="21"/>
        </w:rPr>
        <w:t>交易型开放式指数证券投资基金</w:t>
      </w:r>
      <w:bookmarkStart w:id="0" w:name="_GoBack"/>
      <w:bookmarkEnd w:id="0"/>
      <w:r w:rsidR="00226F5E" w:rsidRPr="003C5D79">
        <w:rPr>
          <w:rFonts w:eastAsia="宋体"/>
          <w:sz w:val="21"/>
          <w:szCs w:val="21"/>
        </w:rPr>
        <w:t>可投资</w:t>
      </w:r>
      <w:r w:rsidRPr="003C5D79">
        <w:rPr>
          <w:rFonts w:eastAsia="宋体"/>
          <w:sz w:val="21"/>
          <w:szCs w:val="21"/>
        </w:rPr>
        <w:t>科创板股票。</w:t>
      </w:r>
    </w:p>
    <w:p w:rsidR="007961E0" w:rsidRPr="003C5D79" w:rsidRDefault="007961E0">
      <w:pPr>
        <w:spacing w:line="360" w:lineRule="auto"/>
        <w:ind w:firstLineChars="200" w:firstLine="420"/>
        <w:rPr>
          <w:rFonts w:eastAsia="宋体"/>
          <w:sz w:val="21"/>
          <w:szCs w:val="21"/>
        </w:rPr>
      </w:pPr>
      <w:r w:rsidRPr="003C5D79">
        <w:rPr>
          <w:rFonts w:eastAsia="宋体"/>
          <w:sz w:val="21"/>
          <w:szCs w:val="21"/>
        </w:rPr>
        <w:t>现将有关情况说明如下：</w:t>
      </w:r>
    </w:p>
    <w:p w:rsidR="007961E0" w:rsidRPr="003C5D79" w:rsidRDefault="00226F5E">
      <w:pPr>
        <w:spacing w:line="360" w:lineRule="auto"/>
        <w:ind w:firstLineChars="200" w:firstLine="420"/>
        <w:rPr>
          <w:rFonts w:eastAsia="宋体"/>
          <w:sz w:val="21"/>
          <w:szCs w:val="21"/>
        </w:rPr>
      </w:pPr>
      <w:r w:rsidRPr="003C5D79">
        <w:rPr>
          <w:rFonts w:eastAsia="宋体"/>
          <w:sz w:val="21"/>
          <w:szCs w:val="21"/>
        </w:rPr>
        <w:t>一</w:t>
      </w:r>
      <w:r w:rsidR="007961E0" w:rsidRPr="003C5D79">
        <w:rPr>
          <w:rFonts w:eastAsia="宋体"/>
          <w:sz w:val="21"/>
          <w:szCs w:val="21"/>
        </w:rPr>
        <w:t>、科创板上市的股票是国内依法发行上市的股票，属于《</w:t>
      </w:r>
      <w:r w:rsidRPr="003C5D79">
        <w:rPr>
          <w:rFonts w:eastAsia="宋体"/>
          <w:sz w:val="21"/>
          <w:szCs w:val="21"/>
        </w:rPr>
        <w:t>中华人民共和国证券投资基金法</w:t>
      </w:r>
      <w:r w:rsidR="007961E0" w:rsidRPr="003C5D79">
        <w:rPr>
          <w:rFonts w:eastAsia="宋体"/>
          <w:sz w:val="21"/>
          <w:szCs w:val="21"/>
        </w:rPr>
        <w:t>》第七十二条第一项规定的</w:t>
      </w:r>
      <w:r w:rsidR="007961E0" w:rsidRPr="003C5D79">
        <w:rPr>
          <w:rFonts w:eastAsia="宋体"/>
          <w:sz w:val="21"/>
          <w:szCs w:val="21"/>
        </w:rPr>
        <w:t>“</w:t>
      </w:r>
      <w:r w:rsidR="007961E0" w:rsidRPr="003C5D79">
        <w:rPr>
          <w:rFonts w:eastAsia="宋体"/>
          <w:sz w:val="21"/>
          <w:szCs w:val="21"/>
        </w:rPr>
        <w:t>上市交易的股票</w:t>
      </w:r>
      <w:r w:rsidR="007961E0" w:rsidRPr="003C5D79">
        <w:rPr>
          <w:rFonts w:eastAsia="宋体"/>
          <w:sz w:val="21"/>
          <w:szCs w:val="21"/>
        </w:rPr>
        <w:t>”</w:t>
      </w:r>
      <w:r w:rsidR="008729A7" w:rsidRPr="003C5D79">
        <w:rPr>
          <w:rFonts w:eastAsia="宋体"/>
          <w:sz w:val="21"/>
          <w:szCs w:val="21"/>
        </w:rPr>
        <w:t>。</w:t>
      </w:r>
    </w:p>
    <w:p w:rsidR="007961E0" w:rsidRPr="003C5D79" w:rsidRDefault="00226F5E">
      <w:pPr>
        <w:spacing w:line="360" w:lineRule="auto"/>
        <w:ind w:firstLineChars="200" w:firstLine="420"/>
        <w:rPr>
          <w:rFonts w:eastAsia="宋体"/>
          <w:sz w:val="21"/>
          <w:szCs w:val="21"/>
        </w:rPr>
      </w:pPr>
      <w:r w:rsidRPr="003C5D79">
        <w:rPr>
          <w:rFonts w:eastAsia="宋体"/>
          <w:sz w:val="21"/>
          <w:szCs w:val="21"/>
        </w:rPr>
        <w:t>二</w:t>
      </w:r>
      <w:r w:rsidR="007961E0" w:rsidRPr="003C5D79">
        <w:rPr>
          <w:rFonts w:eastAsia="宋体"/>
          <w:sz w:val="21"/>
          <w:szCs w:val="21"/>
        </w:rPr>
        <w:t>、</w:t>
      </w:r>
      <w:r w:rsidR="007A514D">
        <w:rPr>
          <w:rFonts w:eastAsia="宋体" w:hint="eastAsia"/>
          <w:sz w:val="21"/>
          <w:szCs w:val="21"/>
        </w:rPr>
        <w:t>上述</w:t>
      </w:r>
      <w:r w:rsidRPr="003C5D79">
        <w:rPr>
          <w:rFonts w:eastAsia="宋体"/>
          <w:sz w:val="21"/>
          <w:szCs w:val="21"/>
        </w:rPr>
        <w:t>基金</w:t>
      </w:r>
      <w:r w:rsidR="008729A7" w:rsidRPr="003C5D79">
        <w:rPr>
          <w:rFonts w:eastAsia="宋体"/>
          <w:sz w:val="21"/>
          <w:szCs w:val="21"/>
        </w:rPr>
        <w:t>可以在</w:t>
      </w:r>
      <w:r w:rsidRPr="003C5D79">
        <w:rPr>
          <w:rFonts w:eastAsia="宋体"/>
          <w:sz w:val="21"/>
          <w:szCs w:val="21"/>
        </w:rPr>
        <w:t>符合基金合同约定的投资目标、投资策略、投资范围、资产配置比例和</w:t>
      </w:r>
      <w:r w:rsidR="007961E0" w:rsidRPr="003C5D79">
        <w:rPr>
          <w:rFonts w:eastAsia="宋体"/>
          <w:sz w:val="21"/>
          <w:szCs w:val="21"/>
        </w:rPr>
        <w:t>风险收益特征</w:t>
      </w:r>
      <w:r w:rsidR="008729A7" w:rsidRPr="003C5D79">
        <w:rPr>
          <w:rFonts w:eastAsia="宋体"/>
          <w:sz w:val="21"/>
          <w:szCs w:val="21"/>
        </w:rPr>
        <w:t>的前提下投资科创板股票</w:t>
      </w:r>
      <w:r w:rsidR="007961E0" w:rsidRPr="003C5D79">
        <w:rPr>
          <w:rFonts w:eastAsia="宋体"/>
          <w:sz w:val="21"/>
          <w:szCs w:val="21"/>
        </w:rPr>
        <w:t>。</w:t>
      </w:r>
    </w:p>
    <w:p w:rsidR="007961E0" w:rsidRPr="003C5D79" w:rsidRDefault="00226F5E">
      <w:pPr>
        <w:spacing w:line="360" w:lineRule="auto"/>
        <w:ind w:firstLineChars="200" w:firstLine="420"/>
        <w:rPr>
          <w:rFonts w:eastAsia="宋体"/>
          <w:sz w:val="21"/>
          <w:szCs w:val="21"/>
        </w:rPr>
      </w:pPr>
      <w:r w:rsidRPr="003C5D79">
        <w:rPr>
          <w:rFonts w:eastAsia="宋体"/>
          <w:sz w:val="21"/>
          <w:szCs w:val="21"/>
        </w:rPr>
        <w:t>三</w:t>
      </w:r>
      <w:r w:rsidR="007961E0" w:rsidRPr="003C5D79">
        <w:rPr>
          <w:rFonts w:eastAsia="宋体"/>
          <w:sz w:val="21"/>
          <w:szCs w:val="21"/>
        </w:rPr>
        <w:t>、基金管理人在投资科创板股票的过程中，将根据审慎原则，保持基金投资风格的一致性，做好流动性风险管理工作。</w:t>
      </w:r>
    </w:p>
    <w:p w:rsidR="00226F5E" w:rsidRPr="003C5D79" w:rsidRDefault="00226F5E">
      <w:pPr>
        <w:spacing w:line="360" w:lineRule="auto"/>
        <w:ind w:firstLineChars="200" w:firstLine="420"/>
        <w:rPr>
          <w:rFonts w:eastAsia="宋体"/>
          <w:sz w:val="21"/>
          <w:szCs w:val="21"/>
        </w:rPr>
      </w:pPr>
      <w:r w:rsidRPr="003C5D79">
        <w:rPr>
          <w:rFonts w:eastAsia="宋体"/>
          <w:sz w:val="21"/>
          <w:szCs w:val="21"/>
        </w:rPr>
        <w:t>四、风险提示</w:t>
      </w:r>
    </w:p>
    <w:p w:rsidR="009D5E94" w:rsidRPr="003C5D79" w:rsidRDefault="007A514D" w:rsidP="00040522">
      <w:pPr>
        <w:spacing w:line="360" w:lineRule="auto"/>
        <w:ind w:firstLineChars="200" w:firstLine="420"/>
        <w:rPr>
          <w:rFonts w:eastAsia="宋体"/>
          <w:sz w:val="21"/>
          <w:szCs w:val="21"/>
        </w:rPr>
      </w:pPr>
      <w:r>
        <w:rPr>
          <w:rFonts w:eastAsia="宋体" w:hint="eastAsia"/>
          <w:sz w:val="21"/>
          <w:szCs w:val="21"/>
        </w:rPr>
        <w:t>上述</w:t>
      </w:r>
      <w:r w:rsidR="00040522" w:rsidRPr="003C5D79">
        <w:rPr>
          <w:rFonts w:eastAsia="宋体"/>
          <w:sz w:val="21"/>
          <w:szCs w:val="21"/>
        </w:rPr>
        <w:t>基金可根据投资策略需要或市场环境的变化，选择将部分基金资产投资于科创板股票或选择不将基金资产投资于科创板股票，基金资产并非必然投资于科创板股票。</w:t>
      </w:r>
      <w:r w:rsidR="009D5E94" w:rsidRPr="003C5D79">
        <w:rPr>
          <w:rFonts w:eastAsia="宋体"/>
          <w:sz w:val="21"/>
          <w:szCs w:val="21"/>
        </w:rPr>
        <w:t>基金资产投资于科创板股票，会面临因投资标的、市场制度以及交易规则等差异带来的特有风险，包括但不限于：</w:t>
      </w:r>
    </w:p>
    <w:p w:rsidR="00166A7D" w:rsidRPr="00166A7D" w:rsidRDefault="00166A7D" w:rsidP="00166A7D">
      <w:pPr>
        <w:spacing w:line="360" w:lineRule="auto"/>
        <w:ind w:firstLineChars="200" w:firstLine="420"/>
        <w:rPr>
          <w:rFonts w:eastAsia="宋体"/>
          <w:sz w:val="21"/>
          <w:szCs w:val="21"/>
        </w:rPr>
      </w:pPr>
      <w:r>
        <w:rPr>
          <w:rFonts w:eastAsia="宋体" w:hint="eastAsia"/>
          <w:sz w:val="21"/>
          <w:szCs w:val="21"/>
        </w:rPr>
        <w:t>1</w:t>
      </w:r>
      <w:r>
        <w:rPr>
          <w:rFonts w:eastAsia="宋体" w:hint="eastAsia"/>
          <w:sz w:val="21"/>
          <w:szCs w:val="21"/>
        </w:rPr>
        <w:t>、</w:t>
      </w:r>
      <w:r w:rsidRPr="00166A7D">
        <w:rPr>
          <w:rFonts w:eastAsia="宋体" w:hint="eastAsia"/>
          <w:sz w:val="21"/>
          <w:szCs w:val="21"/>
        </w:rPr>
        <w:t>股价波动较大的风险。科创板对个股每日涨跌幅限制为</w:t>
      </w:r>
      <w:r w:rsidRPr="00166A7D">
        <w:rPr>
          <w:rFonts w:eastAsia="宋体" w:hint="eastAsia"/>
          <w:sz w:val="21"/>
          <w:szCs w:val="21"/>
        </w:rPr>
        <w:t>20%</w:t>
      </w:r>
      <w:r w:rsidRPr="00166A7D">
        <w:rPr>
          <w:rFonts w:eastAsia="宋体" w:hint="eastAsia"/>
          <w:sz w:val="21"/>
          <w:szCs w:val="21"/>
        </w:rPr>
        <w:t>，且新股上市后的前</w:t>
      </w:r>
      <w:r w:rsidRPr="00166A7D">
        <w:rPr>
          <w:rFonts w:eastAsia="宋体" w:hint="eastAsia"/>
          <w:sz w:val="21"/>
          <w:szCs w:val="21"/>
        </w:rPr>
        <w:t>5</w:t>
      </w:r>
      <w:r w:rsidRPr="00166A7D">
        <w:rPr>
          <w:rFonts w:eastAsia="宋体" w:hint="eastAsia"/>
          <w:sz w:val="21"/>
          <w:szCs w:val="21"/>
        </w:rPr>
        <w:t>个交易日不设置涨跌幅限制，股价可能表现出比</w:t>
      </w:r>
      <w:r w:rsidRPr="00166A7D">
        <w:rPr>
          <w:rFonts w:eastAsia="宋体" w:hint="eastAsia"/>
          <w:sz w:val="21"/>
          <w:szCs w:val="21"/>
        </w:rPr>
        <w:t>A</w:t>
      </w:r>
      <w:r w:rsidRPr="00166A7D">
        <w:rPr>
          <w:rFonts w:eastAsia="宋体" w:hint="eastAsia"/>
          <w:sz w:val="21"/>
          <w:szCs w:val="21"/>
        </w:rPr>
        <w:t>股其他板块更为剧烈的波动；</w:t>
      </w:r>
      <w:r w:rsidRPr="00166A7D">
        <w:rPr>
          <w:rFonts w:eastAsia="宋体" w:hint="eastAsia"/>
          <w:sz w:val="21"/>
          <w:szCs w:val="21"/>
        </w:rPr>
        <w:t xml:space="preserve"> </w:t>
      </w:r>
    </w:p>
    <w:p w:rsidR="00166A7D" w:rsidRDefault="00166A7D" w:rsidP="00166A7D">
      <w:pPr>
        <w:spacing w:line="360" w:lineRule="auto"/>
        <w:ind w:firstLineChars="200" w:firstLine="420"/>
        <w:rPr>
          <w:rFonts w:eastAsia="宋体"/>
          <w:sz w:val="21"/>
          <w:szCs w:val="21"/>
        </w:rPr>
      </w:pPr>
      <w:r>
        <w:rPr>
          <w:rFonts w:eastAsia="宋体" w:hint="eastAsia"/>
          <w:sz w:val="21"/>
          <w:szCs w:val="21"/>
        </w:rPr>
        <w:t>2</w:t>
      </w:r>
      <w:r>
        <w:rPr>
          <w:rFonts w:eastAsia="宋体" w:hint="eastAsia"/>
          <w:sz w:val="21"/>
          <w:szCs w:val="21"/>
        </w:rPr>
        <w:t>、</w:t>
      </w:r>
      <w:r w:rsidRPr="00166A7D">
        <w:rPr>
          <w:rFonts w:eastAsia="宋体" w:hint="eastAsia"/>
          <w:sz w:val="21"/>
          <w:szCs w:val="21"/>
        </w:rPr>
        <w:t>流动性风险。科创板投资者门槛较高，流动性可能弱于</w:t>
      </w:r>
      <w:r w:rsidRPr="00166A7D">
        <w:rPr>
          <w:rFonts w:eastAsia="宋体" w:hint="eastAsia"/>
          <w:sz w:val="21"/>
          <w:szCs w:val="21"/>
        </w:rPr>
        <w:t>A</w:t>
      </w:r>
      <w:r w:rsidRPr="00166A7D">
        <w:rPr>
          <w:rFonts w:eastAsia="宋体" w:hint="eastAsia"/>
          <w:sz w:val="21"/>
          <w:szCs w:val="21"/>
        </w:rPr>
        <w:t>股其他板块，投资者可能在特定阶段对科创板个股形成一致性预期，存在基金持有股票无法正常成交的风险；</w:t>
      </w:r>
    </w:p>
    <w:p w:rsidR="00166A7D" w:rsidRPr="00166A7D" w:rsidRDefault="00166A7D" w:rsidP="00166A7D">
      <w:pPr>
        <w:spacing w:line="360" w:lineRule="auto"/>
        <w:ind w:firstLineChars="200" w:firstLine="420"/>
        <w:rPr>
          <w:rFonts w:eastAsia="宋体"/>
          <w:sz w:val="21"/>
          <w:szCs w:val="21"/>
        </w:rPr>
      </w:pPr>
      <w:r>
        <w:rPr>
          <w:rFonts w:eastAsia="宋体" w:hint="eastAsia"/>
          <w:sz w:val="21"/>
          <w:szCs w:val="21"/>
        </w:rPr>
        <w:t>3</w:t>
      </w:r>
      <w:r>
        <w:rPr>
          <w:rFonts w:eastAsia="宋体" w:hint="eastAsia"/>
          <w:sz w:val="21"/>
          <w:szCs w:val="21"/>
        </w:rPr>
        <w:t>、</w:t>
      </w:r>
      <w:r w:rsidRPr="00166A7D">
        <w:rPr>
          <w:rFonts w:eastAsia="宋体" w:hint="eastAsia"/>
          <w:sz w:val="21"/>
          <w:szCs w:val="21"/>
        </w:rPr>
        <w:t>退市风险。科创板执行比</w:t>
      </w:r>
      <w:r w:rsidRPr="00166A7D">
        <w:rPr>
          <w:rFonts w:eastAsia="宋体" w:hint="eastAsia"/>
          <w:sz w:val="21"/>
          <w:szCs w:val="21"/>
        </w:rPr>
        <w:t>A</w:t>
      </w:r>
      <w:r w:rsidRPr="00166A7D">
        <w:rPr>
          <w:rFonts w:eastAsia="宋体" w:hint="eastAsia"/>
          <w:sz w:val="21"/>
          <w:szCs w:val="21"/>
        </w:rPr>
        <w:t>股其他板块更为严格的退市标准，且退市程序存在一定差别，因此上市公司退市风险更大，可能会对基金净值产生不利影响；</w:t>
      </w:r>
      <w:r w:rsidRPr="00166A7D">
        <w:rPr>
          <w:rFonts w:eastAsia="宋体" w:hint="eastAsia"/>
          <w:sz w:val="21"/>
          <w:szCs w:val="21"/>
        </w:rPr>
        <w:t xml:space="preserve"> </w:t>
      </w:r>
    </w:p>
    <w:p w:rsidR="002D4188" w:rsidRPr="00166A7D" w:rsidRDefault="00166A7D" w:rsidP="00040522">
      <w:pPr>
        <w:spacing w:line="360" w:lineRule="auto"/>
        <w:ind w:firstLineChars="200" w:firstLine="420"/>
        <w:rPr>
          <w:rFonts w:eastAsia="宋体"/>
          <w:sz w:val="21"/>
          <w:szCs w:val="21"/>
          <w:lang/>
        </w:rPr>
      </w:pPr>
      <w:r>
        <w:rPr>
          <w:rFonts w:eastAsia="宋体" w:hint="eastAsia"/>
          <w:sz w:val="21"/>
          <w:szCs w:val="21"/>
        </w:rPr>
        <w:t>4</w:t>
      </w:r>
      <w:r>
        <w:rPr>
          <w:rFonts w:eastAsia="宋体" w:hint="eastAsia"/>
          <w:sz w:val="21"/>
          <w:szCs w:val="21"/>
        </w:rPr>
        <w:t>、</w:t>
      </w:r>
      <w:r w:rsidRPr="00166A7D">
        <w:rPr>
          <w:rFonts w:eastAsia="宋体" w:hint="eastAsia"/>
          <w:sz w:val="21"/>
          <w:szCs w:val="21"/>
        </w:rPr>
        <w:t>本基金投资集中度相对较高的风险。因科创板上市公司商业模式、盈利模式等可能存在一定的相似性，因此，持仓股票股价存在同向波动的可能，从而产生对基金净值不利的影响。</w:t>
      </w:r>
    </w:p>
    <w:p w:rsidR="00B833FB" w:rsidRPr="003C5D79" w:rsidRDefault="009D5E94" w:rsidP="009D5E94">
      <w:pPr>
        <w:spacing w:line="360" w:lineRule="auto"/>
        <w:ind w:firstLineChars="200" w:firstLine="420"/>
        <w:rPr>
          <w:rFonts w:eastAsia="宋体"/>
          <w:sz w:val="21"/>
          <w:szCs w:val="21"/>
        </w:rPr>
      </w:pPr>
      <w:r w:rsidRPr="003C5D79">
        <w:rPr>
          <w:rFonts w:eastAsia="宋体"/>
          <w:sz w:val="21"/>
          <w:szCs w:val="21"/>
        </w:rPr>
        <w:t>基金管理人依照恪尽职守、诚实信用、谨慎勤勉的原则管理和运用基金财产，不保证投资基金一定盈利，也不保证基金份额持有人的最低收益。敬请投资人注意投资风险。投资人</w:t>
      </w:r>
      <w:r w:rsidRPr="003C5D79">
        <w:rPr>
          <w:rFonts w:eastAsia="宋体"/>
          <w:sz w:val="21"/>
          <w:szCs w:val="21"/>
        </w:rPr>
        <w:lastRenderedPageBreak/>
        <w:t>投资于基金前应认真阅读基金的《基金合同》、《招募说明书》，了解基金产品的详细情况，选择与自己风险识别能力和风险承受能力相匹配的基金，并注意投资风险。</w:t>
      </w:r>
    </w:p>
    <w:p w:rsidR="009D5E94" w:rsidRPr="003C5D79" w:rsidRDefault="009D5E94" w:rsidP="009D5E94">
      <w:pPr>
        <w:spacing w:line="360" w:lineRule="auto"/>
        <w:ind w:firstLineChars="200" w:firstLine="420"/>
        <w:rPr>
          <w:rFonts w:eastAsia="宋体"/>
          <w:sz w:val="21"/>
          <w:szCs w:val="21"/>
        </w:rPr>
      </w:pPr>
      <w:r w:rsidRPr="003C5D79">
        <w:rPr>
          <w:rFonts w:eastAsia="宋体"/>
          <w:sz w:val="21"/>
          <w:szCs w:val="21"/>
        </w:rPr>
        <w:t>特此公告。</w:t>
      </w:r>
    </w:p>
    <w:p w:rsidR="00B833FB" w:rsidRPr="003C5D79" w:rsidRDefault="00B833FB">
      <w:pPr>
        <w:spacing w:line="360" w:lineRule="auto"/>
        <w:ind w:firstLineChars="200" w:firstLine="420"/>
        <w:rPr>
          <w:rFonts w:eastAsia="宋体"/>
          <w:sz w:val="21"/>
          <w:szCs w:val="21"/>
        </w:rPr>
      </w:pPr>
    </w:p>
    <w:p w:rsidR="00B833FB" w:rsidRPr="003C5D79" w:rsidRDefault="00B833FB">
      <w:pPr>
        <w:spacing w:line="360" w:lineRule="auto"/>
        <w:ind w:firstLineChars="200" w:firstLine="420"/>
        <w:rPr>
          <w:rFonts w:eastAsia="宋体"/>
          <w:sz w:val="21"/>
          <w:szCs w:val="21"/>
        </w:rPr>
      </w:pPr>
    </w:p>
    <w:p w:rsidR="00B833FB" w:rsidRPr="003C5D79" w:rsidRDefault="00B833FB">
      <w:pPr>
        <w:spacing w:line="360" w:lineRule="auto"/>
        <w:ind w:firstLineChars="200" w:firstLine="420"/>
        <w:rPr>
          <w:rFonts w:eastAsia="宋体"/>
          <w:sz w:val="21"/>
          <w:szCs w:val="21"/>
        </w:rPr>
      </w:pPr>
    </w:p>
    <w:p w:rsidR="00B833FB" w:rsidRPr="003C5D79" w:rsidRDefault="00823770" w:rsidP="000240FF">
      <w:pPr>
        <w:spacing w:line="360" w:lineRule="auto"/>
        <w:ind w:firstLineChars="200" w:firstLine="420"/>
        <w:jc w:val="right"/>
        <w:rPr>
          <w:rFonts w:eastAsia="宋体"/>
          <w:sz w:val="21"/>
          <w:szCs w:val="21"/>
        </w:rPr>
      </w:pPr>
      <w:r w:rsidRPr="003C5D79">
        <w:rPr>
          <w:rFonts w:eastAsia="宋体"/>
          <w:sz w:val="21"/>
          <w:szCs w:val="21"/>
        </w:rPr>
        <w:t>国泰基金管理有限公司</w:t>
      </w:r>
    </w:p>
    <w:p w:rsidR="006B73E9" w:rsidRPr="003C5D79" w:rsidRDefault="009522ED" w:rsidP="00BE3E42">
      <w:pPr>
        <w:spacing w:line="360" w:lineRule="auto"/>
        <w:ind w:firstLineChars="200" w:firstLine="420"/>
        <w:jc w:val="right"/>
        <w:rPr>
          <w:rFonts w:eastAsia="宋体"/>
          <w:sz w:val="21"/>
          <w:szCs w:val="21"/>
        </w:rPr>
      </w:pPr>
      <w:r>
        <w:rPr>
          <w:rFonts w:eastAsia="宋体" w:hint="eastAsia"/>
          <w:sz w:val="21"/>
          <w:szCs w:val="21"/>
        </w:rPr>
        <w:t>2</w:t>
      </w:r>
      <w:r>
        <w:rPr>
          <w:rFonts w:eastAsia="宋体"/>
          <w:sz w:val="21"/>
          <w:szCs w:val="21"/>
        </w:rPr>
        <w:t>02</w:t>
      </w:r>
      <w:r w:rsidR="00031296">
        <w:rPr>
          <w:rFonts w:eastAsia="宋体"/>
          <w:sz w:val="21"/>
          <w:szCs w:val="21"/>
        </w:rPr>
        <w:t>6</w:t>
      </w:r>
      <w:r>
        <w:rPr>
          <w:rFonts w:eastAsia="宋体" w:hint="eastAsia"/>
          <w:sz w:val="21"/>
          <w:szCs w:val="21"/>
        </w:rPr>
        <w:t>年</w:t>
      </w:r>
      <w:r w:rsidR="00031296">
        <w:rPr>
          <w:rFonts w:eastAsia="宋体"/>
          <w:sz w:val="21"/>
          <w:szCs w:val="21"/>
        </w:rPr>
        <w:t>3</w:t>
      </w:r>
      <w:r>
        <w:rPr>
          <w:rFonts w:eastAsia="宋体" w:hint="eastAsia"/>
          <w:sz w:val="21"/>
          <w:szCs w:val="21"/>
        </w:rPr>
        <w:t>月</w:t>
      </w:r>
      <w:r w:rsidR="00031296">
        <w:rPr>
          <w:rFonts w:eastAsia="宋体"/>
          <w:sz w:val="21"/>
          <w:szCs w:val="21"/>
        </w:rPr>
        <w:t>12</w:t>
      </w:r>
      <w:r>
        <w:rPr>
          <w:rFonts w:eastAsia="宋体" w:hint="eastAsia"/>
          <w:sz w:val="21"/>
          <w:szCs w:val="21"/>
        </w:rPr>
        <w:t>日</w:t>
      </w:r>
    </w:p>
    <w:sectPr w:rsidR="006B73E9" w:rsidRPr="003C5D79" w:rsidSect="00111B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9ED" w:rsidRDefault="005279ED" w:rsidP="00893436">
      <w:r>
        <w:separator/>
      </w:r>
    </w:p>
  </w:endnote>
  <w:endnote w:type="continuationSeparator" w:id="0">
    <w:p w:rsidR="005279ED" w:rsidRDefault="005279ED"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A00002BF"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247661"/>
      <w:docPartObj>
        <w:docPartGallery w:val="Page Numbers (Bottom of Page)"/>
        <w:docPartUnique/>
      </w:docPartObj>
    </w:sdtPr>
    <w:sdtContent>
      <w:p w:rsidR="006B73E9" w:rsidRDefault="00781429">
        <w:pPr>
          <w:pStyle w:val="a7"/>
          <w:jc w:val="center"/>
        </w:pPr>
        <w:r>
          <w:fldChar w:fldCharType="begin"/>
        </w:r>
        <w:r w:rsidR="006B73E9">
          <w:instrText>PAGE   \* MERGEFORMAT</w:instrText>
        </w:r>
        <w:r>
          <w:fldChar w:fldCharType="separate"/>
        </w:r>
        <w:r w:rsidR="00A662EF" w:rsidRPr="00A662EF">
          <w:rPr>
            <w:noProof/>
            <w:lang w:val="zh-CN"/>
          </w:rPr>
          <w:t>1</w:t>
        </w:r>
        <w:r>
          <w:fldChar w:fldCharType="end"/>
        </w:r>
      </w:p>
    </w:sdtContent>
  </w:sdt>
  <w:p w:rsidR="006B73E9" w:rsidRDefault="006B73E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9ED" w:rsidRDefault="005279ED" w:rsidP="00893436">
      <w:r>
        <w:separator/>
      </w:r>
    </w:p>
  </w:footnote>
  <w:footnote w:type="continuationSeparator" w:id="0">
    <w:p w:rsidR="005279ED" w:rsidRDefault="005279ED"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026AF"/>
    <w:rsid w:val="00010732"/>
    <w:rsid w:val="000240FF"/>
    <w:rsid w:val="00031296"/>
    <w:rsid w:val="00036A6B"/>
    <w:rsid w:val="00040522"/>
    <w:rsid w:val="00041353"/>
    <w:rsid w:val="00042740"/>
    <w:rsid w:val="00057AC1"/>
    <w:rsid w:val="00062730"/>
    <w:rsid w:val="00083B7C"/>
    <w:rsid w:val="00085F5C"/>
    <w:rsid w:val="000907CF"/>
    <w:rsid w:val="0009636C"/>
    <w:rsid w:val="0009771B"/>
    <w:rsid w:val="0009778C"/>
    <w:rsid w:val="000A19B2"/>
    <w:rsid w:val="000C39F6"/>
    <w:rsid w:val="000E780C"/>
    <w:rsid w:val="00111BD0"/>
    <w:rsid w:val="0011398E"/>
    <w:rsid w:val="00135CA1"/>
    <w:rsid w:val="00141E5A"/>
    <w:rsid w:val="00166A7D"/>
    <w:rsid w:val="001925D8"/>
    <w:rsid w:val="001A20D1"/>
    <w:rsid w:val="001C5EE4"/>
    <w:rsid w:val="001C6E06"/>
    <w:rsid w:val="001D5136"/>
    <w:rsid w:val="001E1256"/>
    <w:rsid w:val="00202EE8"/>
    <w:rsid w:val="00204D37"/>
    <w:rsid w:val="00226206"/>
    <w:rsid w:val="00226F5E"/>
    <w:rsid w:val="00242E4D"/>
    <w:rsid w:val="002641B7"/>
    <w:rsid w:val="002744A0"/>
    <w:rsid w:val="002825C8"/>
    <w:rsid w:val="00284B1B"/>
    <w:rsid w:val="00286BEE"/>
    <w:rsid w:val="002943BC"/>
    <w:rsid w:val="002A0678"/>
    <w:rsid w:val="002A0B6F"/>
    <w:rsid w:val="002A63B7"/>
    <w:rsid w:val="002C08C5"/>
    <w:rsid w:val="002D4188"/>
    <w:rsid w:val="002F4EDF"/>
    <w:rsid w:val="003160F8"/>
    <w:rsid w:val="0033474E"/>
    <w:rsid w:val="00352291"/>
    <w:rsid w:val="00362297"/>
    <w:rsid w:val="00370266"/>
    <w:rsid w:val="00386931"/>
    <w:rsid w:val="0039192C"/>
    <w:rsid w:val="00392E95"/>
    <w:rsid w:val="003C43A0"/>
    <w:rsid w:val="003C5D79"/>
    <w:rsid w:val="003D117B"/>
    <w:rsid w:val="003E51F2"/>
    <w:rsid w:val="00410642"/>
    <w:rsid w:val="00411A38"/>
    <w:rsid w:val="004400EA"/>
    <w:rsid w:val="0044517E"/>
    <w:rsid w:val="00462525"/>
    <w:rsid w:val="00486934"/>
    <w:rsid w:val="00493567"/>
    <w:rsid w:val="004966BA"/>
    <w:rsid w:val="004C58A8"/>
    <w:rsid w:val="004F2DEF"/>
    <w:rsid w:val="00501D80"/>
    <w:rsid w:val="00506A28"/>
    <w:rsid w:val="00506E3A"/>
    <w:rsid w:val="005279ED"/>
    <w:rsid w:val="005311DD"/>
    <w:rsid w:val="005439EC"/>
    <w:rsid w:val="005715B6"/>
    <w:rsid w:val="005911E3"/>
    <w:rsid w:val="005926D5"/>
    <w:rsid w:val="00593C6A"/>
    <w:rsid w:val="00594A78"/>
    <w:rsid w:val="005A032F"/>
    <w:rsid w:val="005B041A"/>
    <w:rsid w:val="005B087C"/>
    <w:rsid w:val="005C57A1"/>
    <w:rsid w:val="005F13F5"/>
    <w:rsid w:val="00602369"/>
    <w:rsid w:val="00602C3F"/>
    <w:rsid w:val="00607F4E"/>
    <w:rsid w:val="00665AE5"/>
    <w:rsid w:val="006A2E06"/>
    <w:rsid w:val="006B73E9"/>
    <w:rsid w:val="006E41A5"/>
    <w:rsid w:val="00702A83"/>
    <w:rsid w:val="00704305"/>
    <w:rsid w:val="007212D9"/>
    <w:rsid w:val="00721B55"/>
    <w:rsid w:val="007247FD"/>
    <w:rsid w:val="00751BA5"/>
    <w:rsid w:val="007564D9"/>
    <w:rsid w:val="00781429"/>
    <w:rsid w:val="007961E0"/>
    <w:rsid w:val="007A514D"/>
    <w:rsid w:val="007C142C"/>
    <w:rsid w:val="007D01E7"/>
    <w:rsid w:val="007D0500"/>
    <w:rsid w:val="007D3810"/>
    <w:rsid w:val="007D5AF0"/>
    <w:rsid w:val="007E3D2D"/>
    <w:rsid w:val="007F6075"/>
    <w:rsid w:val="00823770"/>
    <w:rsid w:val="00832A23"/>
    <w:rsid w:val="00834BAE"/>
    <w:rsid w:val="00840985"/>
    <w:rsid w:val="00845D12"/>
    <w:rsid w:val="00872919"/>
    <w:rsid w:val="008729A7"/>
    <w:rsid w:val="0087597D"/>
    <w:rsid w:val="00891CD1"/>
    <w:rsid w:val="00893436"/>
    <w:rsid w:val="008A5581"/>
    <w:rsid w:val="008C6A9A"/>
    <w:rsid w:val="008C79C1"/>
    <w:rsid w:val="008D1F66"/>
    <w:rsid w:val="008E1F1F"/>
    <w:rsid w:val="00901C58"/>
    <w:rsid w:val="00905E0E"/>
    <w:rsid w:val="009117E2"/>
    <w:rsid w:val="00917D4C"/>
    <w:rsid w:val="009305DD"/>
    <w:rsid w:val="00933050"/>
    <w:rsid w:val="00942B43"/>
    <w:rsid w:val="009522ED"/>
    <w:rsid w:val="00955710"/>
    <w:rsid w:val="00963390"/>
    <w:rsid w:val="009732A4"/>
    <w:rsid w:val="009810C6"/>
    <w:rsid w:val="009A600C"/>
    <w:rsid w:val="009B4712"/>
    <w:rsid w:val="009C6C0B"/>
    <w:rsid w:val="009D5E94"/>
    <w:rsid w:val="009F095E"/>
    <w:rsid w:val="00A00754"/>
    <w:rsid w:val="00A16BF8"/>
    <w:rsid w:val="00A32261"/>
    <w:rsid w:val="00A662EF"/>
    <w:rsid w:val="00A66669"/>
    <w:rsid w:val="00A81C93"/>
    <w:rsid w:val="00A87C25"/>
    <w:rsid w:val="00A926B3"/>
    <w:rsid w:val="00AB6367"/>
    <w:rsid w:val="00AC28E2"/>
    <w:rsid w:val="00AC3CC5"/>
    <w:rsid w:val="00B26919"/>
    <w:rsid w:val="00B36D70"/>
    <w:rsid w:val="00B44BBE"/>
    <w:rsid w:val="00B71DA2"/>
    <w:rsid w:val="00B77ED2"/>
    <w:rsid w:val="00B833FB"/>
    <w:rsid w:val="00B94FA3"/>
    <w:rsid w:val="00BA7F58"/>
    <w:rsid w:val="00BB192B"/>
    <w:rsid w:val="00BB4DFC"/>
    <w:rsid w:val="00BD7533"/>
    <w:rsid w:val="00BE3E42"/>
    <w:rsid w:val="00BF5698"/>
    <w:rsid w:val="00C22C85"/>
    <w:rsid w:val="00C31B5B"/>
    <w:rsid w:val="00C33DDD"/>
    <w:rsid w:val="00C37F82"/>
    <w:rsid w:val="00C556A7"/>
    <w:rsid w:val="00C73A9C"/>
    <w:rsid w:val="00C764C6"/>
    <w:rsid w:val="00C84691"/>
    <w:rsid w:val="00C977B4"/>
    <w:rsid w:val="00CB3D18"/>
    <w:rsid w:val="00CC001C"/>
    <w:rsid w:val="00CC49ED"/>
    <w:rsid w:val="00CC5B9F"/>
    <w:rsid w:val="00CD2693"/>
    <w:rsid w:val="00D10DA6"/>
    <w:rsid w:val="00D35F66"/>
    <w:rsid w:val="00D4625A"/>
    <w:rsid w:val="00D7129C"/>
    <w:rsid w:val="00D72BED"/>
    <w:rsid w:val="00D91E9C"/>
    <w:rsid w:val="00D95432"/>
    <w:rsid w:val="00DB7CD4"/>
    <w:rsid w:val="00DD0199"/>
    <w:rsid w:val="00DD53EA"/>
    <w:rsid w:val="00DE73F7"/>
    <w:rsid w:val="00E01FC4"/>
    <w:rsid w:val="00E06108"/>
    <w:rsid w:val="00E16B6D"/>
    <w:rsid w:val="00E226A1"/>
    <w:rsid w:val="00E24390"/>
    <w:rsid w:val="00E32454"/>
    <w:rsid w:val="00E379B4"/>
    <w:rsid w:val="00E87C0A"/>
    <w:rsid w:val="00EA12C9"/>
    <w:rsid w:val="00EC0324"/>
    <w:rsid w:val="00ED30A3"/>
    <w:rsid w:val="00ED3755"/>
    <w:rsid w:val="00F0033B"/>
    <w:rsid w:val="00F01DE5"/>
    <w:rsid w:val="00F22189"/>
    <w:rsid w:val="00F42CA6"/>
    <w:rsid w:val="00F45E48"/>
    <w:rsid w:val="00F645EE"/>
    <w:rsid w:val="00F93639"/>
    <w:rsid w:val="00FC1803"/>
    <w:rsid w:val="00FC28B3"/>
    <w:rsid w:val="00FD26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paragraph" w:styleId="a9">
    <w:name w:val="List Paragraph"/>
    <w:basedOn w:val="a"/>
    <w:uiPriority w:val="34"/>
    <w:qFormat/>
    <w:rsid w:val="007961E0"/>
    <w:pPr>
      <w:ind w:firstLineChars="200" w:firstLine="420"/>
    </w:pPr>
  </w:style>
  <w:style w:type="paragraph" w:styleId="aa">
    <w:name w:val="Date"/>
    <w:basedOn w:val="a"/>
    <w:next w:val="a"/>
    <w:link w:val="Char4"/>
    <w:uiPriority w:val="99"/>
    <w:semiHidden/>
    <w:unhideWhenUsed/>
    <w:rsid w:val="0009636C"/>
    <w:pPr>
      <w:ind w:leftChars="2500" w:left="100"/>
    </w:pPr>
  </w:style>
  <w:style w:type="character" w:customStyle="1" w:styleId="Char4">
    <w:name w:val="日期 Char"/>
    <w:basedOn w:val="a0"/>
    <w:link w:val="aa"/>
    <w:uiPriority w:val="99"/>
    <w:semiHidden/>
    <w:rsid w:val="0009636C"/>
    <w:rPr>
      <w:rFonts w:ascii="Times New Roman" w:eastAsia="方正仿宋简体" w:hAnsi="Times New Roman" w:cs="Times New Roman"/>
      <w:sz w:val="32"/>
      <w:szCs w:val="20"/>
    </w:rPr>
  </w:style>
  <w:style w:type="character" w:styleId="ab">
    <w:name w:val="annotation reference"/>
    <w:basedOn w:val="a0"/>
    <w:uiPriority w:val="99"/>
    <w:semiHidden/>
    <w:unhideWhenUsed/>
    <w:rsid w:val="005F13F5"/>
    <w:rPr>
      <w:sz w:val="21"/>
      <w:szCs w:val="21"/>
    </w:rPr>
  </w:style>
  <w:style w:type="paragraph" w:styleId="ac">
    <w:name w:val="annotation text"/>
    <w:basedOn w:val="a"/>
    <w:link w:val="Char5"/>
    <w:uiPriority w:val="99"/>
    <w:semiHidden/>
    <w:unhideWhenUsed/>
    <w:rsid w:val="005F13F5"/>
    <w:pPr>
      <w:jc w:val="left"/>
    </w:pPr>
  </w:style>
  <w:style w:type="character" w:customStyle="1" w:styleId="Char5">
    <w:name w:val="批注文字 Char"/>
    <w:basedOn w:val="a0"/>
    <w:link w:val="ac"/>
    <w:uiPriority w:val="99"/>
    <w:semiHidden/>
    <w:rsid w:val="005F13F5"/>
    <w:rPr>
      <w:rFonts w:ascii="Times New Roman" w:eastAsia="方正仿宋简体" w:hAnsi="Times New Roman" w:cs="Times New Roman"/>
      <w:sz w:val="32"/>
      <w:szCs w:val="20"/>
    </w:rPr>
  </w:style>
  <w:style w:type="paragraph" w:styleId="ad">
    <w:name w:val="annotation subject"/>
    <w:basedOn w:val="ac"/>
    <w:next w:val="ac"/>
    <w:link w:val="Char6"/>
    <w:uiPriority w:val="99"/>
    <w:semiHidden/>
    <w:unhideWhenUsed/>
    <w:rsid w:val="005F13F5"/>
    <w:rPr>
      <w:b/>
      <w:bCs/>
    </w:rPr>
  </w:style>
  <w:style w:type="character" w:customStyle="1" w:styleId="Char6">
    <w:name w:val="批注主题 Char"/>
    <w:basedOn w:val="Char5"/>
    <w:link w:val="ad"/>
    <w:uiPriority w:val="99"/>
    <w:semiHidden/>
    <w:rsid w:val="005F13F5"/>
    <w:rPr>
      <w:rFonts w:ascii="Times New Roman" w:eastAsia="方正仿宋简体" w:hAnsi="Times New Roman" w:cs="Times New Roman"/>
      <w:b/>
      <w:bCs/>
      <w:sz w:val="32"/>
      <w:szCs w:val="20"/>
    </w:rPr>
  </w:style>
  <w:style w:type="paragraph" w:styleId="ae">
    <w:name w:val="Revision"/>
    <w:hidden/>
    <w:uiPriority w:val="99"/>
    <w:semiHidden/>
    <w:rsid w:val="003C5D79"/>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divs>
    <w:div w:id="242304281">
      <w:bodyDiv w:val="1"/>
      <w:marLeft w:val="0"/>
      <w:marRight w:val="0"/>
      <w:marTop w:val="0"/>
      <w:marBottom w:val="0"/>
      <w:divBdr>
        <w:top w:val="none" w:sz="0" w:space="0" w:color="auto"/>
        <w:left w:val="none" w:sz="0" w:space="0" w:color="auto"/>
        <w:bottom w:val="none" w:sz="0" w:space="0" w:color="auto"/>
        <w:right w:val="none" w:sz="0" w:space="0" w:color="auto"/>
      </w:divBdr>
    </w:div>
    <w:div w:id="574633481">
      <w:bodyDiv w:val="1"/>
      <w:marLeft w:val="0"/>
      <w:marRight w:val="0"/>
      <w:marTop w:val="0"/>
      <w:marBottom w:val="0"/>
      <w:divBdr>
        <w:top w:val="none" w:sz="0" w:space="0" w:color="auto"/>
        <w:left w:val="none" w:sz="0" w:space="0" w:color="auto"/>
        <w:bottom w:val="none" w:sz="0" w:space="0" w:color="auto"/>
        <w:right w:val="none" w:sz="0" w:space="0" w:color="auto"/>
      </w:divBdr>
    </w:div>
    <w:div w:id="801968581">
      <w:bodyDiv w:val="1"/>
      <w:marLeft w:val="0"/>
      <w:marRight w:val="0"/>
      <w:marTop w:val="0"/>
      <w:marBottom w:val="0"/>
      <w:divBdr>
        <w:top w:val="none" w:sz="0" w:space="0" w:color="auto"/>
        <w:left w:val="none" w:sz="0" w:space="0" w:color="auto"/>
        <w:bottom w:val="none" w:sz="0" w:space="0" w:color="auto"/>
        <w:right w:val="none" w:sz="0" w:space="0" w:color="auto"/>
      </w:divBdr>
    </w:div>
    <w:div w:id="1002855723">
      <w:bodyDiv w:val="1"/>
      <w:marLeft w:val="0"/>
      <w:marRight w:val="0"/>
      <w:marTop w:val="0"/>
      <w:marBottom w:val="0"/>
      <w:divBdr>
        <w:top w:val="none" w:sz="0" w:space="0" w:color="auto"/>
        <w:left w:val="none" w:sz="0" w:space="0" w:color="auto"/>
        <w:bottom w:val="none" w:sz="0" w:space="0" w:color="auto"/>
        <w:right w:val="none" w:sz="0" w:space="0" w:color="auto"/>
      </w:divBdr>
    </w:div>
    <w:div w:id="102918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4F416-89A7-43B4-B2DB-A156EF13A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4</DocSecurity>
  <Lines>6</Lines>
  <Paragraphs>1</Paragraphs>
  <ScaleCrop>false</ScaleCrop>
  <Company>微软中国</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ZHONGM</cp:lastModifiedBy>
  <cp:revision>2</cp:revision>
  <dcterms:created xsi:type="dcterms:W3CDTF">2026-03-11T16:00:00Z</dcterms:created>
  <dcterms:modified xsi:type="dcterms:W3CDTF">2026-03-11T16:00:00Z</dcterms:modified>
</cp:coreProperties>
</file>