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10" w:rsidRDefault="004B7710">
      <w:pPr>
        <w:jc w:val="center"/>
        <w:rPr>
          <w:rFonts w:ascii="黑体" w:eastAsia="黑体" w:hAnsi="黑体" w:cs="Times New Roman"/>
          <w:b/>
          <w:kern w:val="0"/>
          <w:sz w:val="30"/>
          <w:szCs w:val="30"/>
        </w:rPr>
      </w:pPr>
      <w:r>
        <w:rPr>
          <w:rFonts w:ascii="黑体" w:eastAsia="黑体" w:hAnsi="黑体" w:cs="Times New Roman" w:hint="eastAsia"/>
          <w:b/>
          <w:kern w:val="0"/>
          <w:sz w:val="30"/>
          <w:szCs w:val="30"/>
        </w:rPr>
        <w:t>关于兴全嘉益债券型证券投资基金</w:t>
      </w:r>
    </w:p>
    <w:p w:rsidR="00D00D53" w:rsidRPr="00D12A75" w:rsidRDefault="004B7710" w:rsidP="004B7710">
      <w:pPr>
        <w:jc w:val="center"/>
        <w:rPr>
          <w:rFonts w:ascii="黑体" w:eastAsia="黑体" w:hAnsi="黑体" w:cs="Times New Roman"/>
          <w:b/>
          <w:kern w:val="0"/>
          <w:sz w:val="30"/>
          <w:szCs w:val="30"/>
        </w:rPr>
      </w:pPr>
      <w:r>
        <w:rPr>
          <w:rFonts w:ascii="黑体" w:eastAsia="黑体" w:hAnsi="黑体" w:cs="Times New Roman" w:hint="eastAsia"/>
          <w:b/>
          <w:kern w:val="0"/>
          <w:sz w:val="30"/>
          <w:szCs w:val="30"/>
        </w:rPr>
        <w:t>调整</w:t>
      </w:r>
      <w:r w:rsidRPr="004B7710">
        <w:rPr>
          <w:rFonts w:ascii="黑体" w:eastAsia="黑体" w:hAnsi="黑体" w:cs="Times New Roman" w:hint="eastAsia"/>
          <w:b/>
          <w:kern w:val="0"/>
          <w:sz w:val="30"/>
          <w:szCs w:val="30"/>
        </w:rPr>
        <w:t>日常申购、赎回、转换、定期定额投资</w:t>
      </w:r>
      <w:r>
        <w:rPr>
          <w:rFonts w:ascii="黑体" w:eastAsia="黑体" w:hAnsi="黑体" w:cs="Times New Roman" w:hint="eastAsia"/>
          <w:b/>
          <w:kern w:val="0"/>
          <w:sz w:val="30"/>
          <w:szCs w:val="30"/>
        </w:rPr>
        <w:t>起始日</w:t>
      </w:r>
      <w:r w:rsidR="007F2E4D" w:rsidRPr="00D12A75">
        <w:rPr>
          <w:rFonts w:ascii="黑体" w:eastAsia="黑体" w:hAnsi="黑体" w:cs="Times New Roman" w:hint="eastAsia"/>
          <w:b/>
          <w:kern w:val="0"/>
          <w:sz w:val="30"/>
          <w:szCs w:val="30"/>
        </w:rPr>
        <w:t>的公告</w:t>
      </w:r>
    </w:p>
    <w:p w:rsidR="00D12A75" w:rsidRPr="00C42B73" w:rsidRDefault="00D12A75" w:rsidP="00D12A75">
      <w:pPr>
        <w:pStyle w:val="a8"/>
        <w:spacing w:before="0" w:beforeAutospacing="0" w:after="0" w:afterAutospacing="0" w:line="360" w:lineRule="auto"/>
        <w:ind w:firstLineChars="200" w:firstLine="480"/>
        <w:rPr>
          <w:rFonts w:ascii="Times New Roman" w:eastAsia="楷体" w:hAnsi="Times New Roman" w:cs="Times New Roman"/>
        </w:rPr>
      </w:pPr>
    </w:p>
    <w:p w:rsidR="006C6FDB" w:rsidRDefault="006C6FDB" w:rsidP="00A63F3B">
      <w:pPr>
        <w:pStyle w:val="a8"/>
        <w:spacing w:beforeLines="50" w:beforeAutospacing="0" w:after="0" w:afterAutospacing="0" w:line="360" w:lineRule="auto"/>
        <w:ind w:firstLineChars="200" w:firstLine="480"/>
        <w:rPr>
          <w:rFonts w:ascii="Times New Roman" w:eastAsia="楷体" w:hAnsi="Times New Roman" w:cs="Times New Roman"/>
        </w:rPr>
      </w:pPr>
      <w:r w:rsidRPr="00582062">
        <w:rPr>
          <w:rFonts w:ascii="Times New Roman" w:eastAsia="楷体" w:hAnsi="Times New Roman" w:cs="Times New Roman" w:hint="eastAsia"/>
        </w:rPr>
        <w:t>本公司于</w:t>
      </w:r>
      <w:bookmarkStart w:id="0" w:name="_GoBack"/>
      <w:bookmarkEnd w:id="0"/>
      <w:r w:rsidRPr="004B7710">
        <w:rPr>
          <w:rFonts w:ascii="Times New Roman" w:eastAsia="楷体" w:hAnsi="Times New Roman" w:cs="Times New Roman" w:hint="eastAsia"/>
        </w:rPr>
        <w:t>2026</w:t>
      </w:r>
      <w:r w:rsidRPr="004B7710">
        <w:rPr>
          <w:rFonts w:ascii="Times New Roman" w:eastAsia="楷体" w:hAnsi="Times New Roman" w:cs="Times New Roman" w:hint="eastAsia"/>
        </w:rPr>
        <w:t>年</w:t>
      </w:r>
      <w:r w:rsidRPr="004B7710">
        <w:rPr>
          <w:rFonts w:ascii="Times New Roman" w:eastAsia="楷体" w:hAnsi="Times New Roman" w:cs="Times New Roman" w:hint="eastAsia"/>
        </w:rPr>
        <w:t>3</w:t>
      </w:r>
      <w:r w:rsidRPr="004B7710">
        <w:rPr>
          <w:rFonts w:ascii="Times New Roman" w:eastAsia="楷体" w:hAnsi="Times New Roman" w:cs="Times New Roman" w:hint="eastAsia"/>
        </w:rPr>
        <w:t>月</w:t>
      </w:r>
      <w:r>
        <w:rPr>
          <w:rFonts w:ascii="Times New Roman" w:eastAsia="楷体" w:hAnsi="Times New Roman" w:cs="Times New Roman"/>
        </w:rPr>
        <w:t>9</w:t>
      </w:r>
      <w:r w:rsidRPr="004B7710">
        <w:rPr>
          <w:rFonts w:ascii="Times New Roman" w:eastAsia="楷体" w:hAnsi="Times New Roman" w:cs="Times New Roman" w:hint="eastAsia"/>
        </w:rPr>
        <w:t>日</w:t>
      </w:r>
      <w:r w:rsidRPr="00582062">
        <w:rPr>
          <w:rFonts w:ascii="Times New Roman" w:eastAsia="楷体" w:hAnsi="Times New Roman" w:cs="Times New Roman" w:hint="eastAsia"/>
        </w:rPr>
        <w:t>披露了</w:t>
      </w:r>
      <w:r w:rsidRPr="00D12A75">
        <w:rPr>
          <w:rFonts w:ascii="Times New Roman" w:eastAsia="楷体" w:hAnsi="Times New Roman" w:cs="Times New Roman" w:hint="eastAsia"/>
        </w:rPr>
        <w:t>《</w:t>
      </w:r>
      <w:r>
        <w:rPr>
          <w:rFonts w:ascii="Times New Roman" w:eastAsia="楷体" w:hAnsi="Times New Roman" w:cs="Times New Roman" w:hint="eastAsia"/>
        </w:rPr>
        <w:t>兴全嘉益债券型证券投资基金</w:t>
      </w:r>
      <w:r w:rsidRPr="004B7710">
        <w:rPr>
          <w:rFonts w:ascii="Times New Roman" w:eastAsia="楷体" w:hAnsi="Times New Roman" w:cs="Times New Roman" w:hint="eastAsia"/>
        </w:rPr>
        <w:t>开放日常申购、赎回、转换、定期定额投资业务的公告</w:t>
      </w:r>
      <w:r w:rsidRPr="00D12A75">
        <w:rPr>
          <w:rFonts w:ascii="Times New Roman" w:eastAsia="楷体" w:hAnsi="Times New Roman" w:cs="Times New Roman" w:hint="eastAsia"/>
        </w:rPr>
        <w:t>》</w:t>
      </w:r>
      <w:r w:rsidRPr="00582062">
        <w:rPr>
          <w:rFonts w:ascii="Times New Roman" w:eastAsia="楷体" w:hAnsi="Times New Roman" w:cs="Times New Roman" w:hint="eastAsia"/>
        </w:rPr>
        <w:t>。</w:t>
      </w:r>
    </w:p>
    <w:p w:rsidR="00D00D53" w:rsidRPr="00D12A75" w:rsidRDefault="006C6FDB" w:rsidP="00A63F3B">
      <w:pPr>
        <w:pStyle w:val="a8"/>
        <w:spacing w:beforeLines="50" w:beforeAutospacing="0" w:after="0" w:afterAutospacing="0" w:line="360" w:lineRule="auto"/>
        <w:ind w:firstLineChars="200" w:firstLine="480"/>
        <w:rPr>
          <w:rFonts w:ascii="Times New Roman" w:eastAsia="楷体" w:hAnsi="Times New Roman" w:cs="Times New Roman"/>
        </w:rPr>
      </w:pPr>
      <w:r>
        <w:rPr>
          <w:rFonts w:ascii="Times New Roman" w:eastAsia="楷体" w:hAnsi="Times New Roman" w:cs="Times New Roman" w:hint="eastAsia"/>
        </w:rPr>
        <w:t>现</w:t>
      </w:r>
      <w:r w:rsidR="007F2E4D" w:rsidRPr="00D12A75">
        <w:rPr>
          <w:rFonts w:ascii="Times New Roman" w:eastAsia="楷体" w:hAnsi="Times New Roman" w:cs="Times New Roman" w:hint="eastAsia"/>
        </w:rPr>
        <w:t>根据《</w:t>
      </w:r>
      <w:r w:rsidR="004B7710">
        <w:rPr>
          <w:rFonts w:ascii="Times New Roman" w:eastAsia="楷体" w:hAnsi="Times New Roman" w:cs="Times New Roman" w:hint="eastAsia"/>
        </w:rPr>
        <w:t>兴全嘉益债券型证券投资基金</w:t>
      </w:r>
      <w:r w:rsidR="007F2E4D" w:rsidRPr="00D12A75">
        <w:rPr>
          <w:rFonts w:ascii="Times New Roman" w:eastAsia="楷体" w:hAnsi="Times New Roman" w:cs="Times New Roman" w:hint="eastAsia"/>
        </w:rPr>
        <w:t>基金合同》、《</w:t>
      </w:r>
      <w:r w:rsidR="004B7710">
        <w:rPr>
          <w:rFonts w:ascii="Times New Roman" w:eastAsia="楷体" w:hAnsi="Times New Roman" w:cs="Times New Roman" w:hint="eastAsia"/>
        </w:rPr>
        <w:t>兴全嘉益债券型证券投资基金</w:t>
      </w:r>
      <w:r w:rsidR="007F2E4D" w:rsidRPr="00D12A75">
        <w:rPr>
          <w:rFonts w:ascii="Times New Roman" w:eastAsia="楷体" w:hAnsi="Times New Roman" w:cs="Times New Roman" w:hint="eastAsia"/>
        </w:rPr>
        <w:t>招募说明书》及其更新的相关约定，本公司决定</w:t>
      </w:r>
      <w:r w:rsidR="004B7710">
        <w:rPr>
          <w:rFonts w:ascii="Times New Roman" w:eastAsia="楷体" w:hAnsi="Times New Roman" w:cs="Times New Roman" w:hint="eastAsia"/>
        </w:rPr>
        <w:t>将本基金的</w:t>
      </w:r>
      <w:r w:rsidR="004B7710" w:rsidRPr="004B7710">
        <w:rPr>
          <w:rFonts w:ascii="Times New Roman" w:eastAsia="楷体" w:hAnsi="Times New Roman" w:cs="Times New Roman" w:hint="eastAsia"/>
        </w:rPr>
        <w:t>申购起始日</w:t>
      </w:r>
      <w:r w:rsidR="004B7710">
        <w:rPr>
          <w:rFonts w:ascii="Times New Roman" w:eastAsia="楷体" w:hAnsi="Times New Roman" w:cs="Times New Roman" w:hint="eastAsia"/>
        </w:rPr>
        <w:t>、</w:t>
      </w:r>
      <w:r w:rsidR="004B7710" w:rsidRPr="004B7710">
        <w:rPr>
          <w:rFonts w:ascii="Times New Roman" w:eastAsia="楷体" w:hAnsi="Times New Roman" w:cs="Times New Roman" w:hint="eastAsia"/>
        </w:rPr>
        <w:t>赎回起始日</w:t>
      </w:r>
      <w:r w:rsidR="004B7710">
        <w:rPr>
          <w:rFonts w:ascii="Times New Roman" w:eastAsia="楷体" w:hAnsi="Times New Roman" w:cs="Times New Roman" w:hint="eastAsia"/>
        </w:rPr>
        <w:t>、</w:t>
      </w:r>
      <w:r w:rsidR="004B7710" w:rsidRPr="004B7710">
        <w:rPr>
          <w:rFonts w:ascii="Times New Roman" w:eastAsia="楷体" w:hAnsi="Times New Roman" w:cs="Times New Roman" w:hint="eastAsia"/>
        </w:rPr>
        <w:t>转换转入起始日</w:t>
      </w:r>
      <w:r w:rsidR="004B7710">
        <w:rPr>
          <w:rFonts w:ascii="Times New Roman" w:eastAsia="楷体" w:hAnsi="Times New Roman" w:cs="Times New Roman" w:hint="eastAsia"/>
        </w:rPr>
        <w:t>、</w:t>
      </w:r>
      <w:r w:rsidR="004B7710" w:rsidRPr="004B7710">
        <w:rPr>
          <w:rFonts w:ascii="Times New Roman" w:eastAsia="楷体" w:hAnsi="Times New Roman" w:cs="Times New Roman" w:hint="eastAsia"/>
        </w:rPr>
        <w:t>转换转出起始日</w:t>
      </w:r>
      <w:r w:rsidR="004B7710">
        <w:rPr>
          <w:rFonts w:ascii="Times New Roman" w:eastAsia="楷体" w:hAnsi="Times New Roman" w:cs="Times New Roman" w:hint="eastAsia"/>
        </w:rPr>
        <w:t>、</w:t>
      </w:r>
      <w:r w:rsidR="004B7710" w:rsidRPr="004B7710">
        <w:rPr>
          <w:rFonts w:ascii="Times New Roman" w:eastAsia="楷体" w:hAnsi="Times New Roman" w:cs="Times New Roman" w:hint="eastAsia"/>
        </w:rPr>
        <w:t>定期定额投资起始日</w:t>
      </w:r>
      <w:r w:rsidR="004B7710">
        <w:rPr>
          <w:rFonts w:ascii="Times New Roman" w:eastAsia="楷体" w:hAnsi="Times New Roman" w:cs="Times New Roman" w:hint="eastAsia"/>
        </w:rPr>
        <w:t>调整为</w:t>
      </w:r>
      <w:r w:rsidR="004B7710" w:rsidRPr="004B7710">
        <w:rPr>
          <w:rFonts w:ascii="Times New Roman" w:eastAsia="楷体" w:hAnsi="Times New Roman" w:cs="Times New Roman" w:hint="eastAsia"/>
        </w:rPr>
        <w:t>2026</w:t>
      </w:r>
      <w:r w:rsidR="004B7710" w:rsidRPr="004B7710">
        <w:rPr>
          <w:rFonts w:ascii="Times New Roman" w:eastAsia="楷体" w:hAnsi="Times New Roman" w:cs="Times New Roman" w:hint="eastAsia"/>
        </w:rPr>
        <w:t>年</w:t>
      </w:r>
      <w:r w:rsidR="004B7710" w:rsidRPr="004B7710">
        <w:rPr>
          <w:rFonts w:ascii="Times New Roman" w:eastAsia="楷体" w:hAnsi="Times New Roman" w:cs="Times New Roman" w:hint="eastAsia"/>
        </w:rPr>
        <w:t>3</w:t>
      </w:r>
      <w:r w:rsidR="004B7710" w:rsidRPr="004B7710">
        <w:rPr>
          <w:rFonts w:ascii="Times New Roman" w:eastAsia="楷体" w:hAnsi="Times New Roman" w:cs="Times New Roman" w:hint="eastAsia"/>
        </w:rPr>
        <w:t>月</w:t>
      </w:r>
      <w:r w:rsidR="004B7710" w:rsidRPr="004B7710">
        <w:rPr>
          <w:rFonts w:ascii="Times New Roman" w:eastAsia="楷体" w:hAnsi="Times New Roman" w:cs="Times New Roman" w:hint="eastAsia"/>
        </w:rPr>
        <w:t>1</w:t>
      </w:r>
      <w:r w:rsidR="004B7710">
        <w:rPr>
          <w:rFonts w:ascii="Times New Roman" w:eastAsia="楷体" w:hAnsi="Times New Roman" w:cs="Times New Roman"/>
        </w:rPr>
        <w:t>2</w:t>
      </w:r>
      <w:r w:rsidR="004B7710" w:rsidRPr="004B7710">
        <w:rPr>
          <w:rFonts w:ascii="Times New Roman" w:eastAsia="楷体" w:hAnsi="Times New Roman" w:cs="Times New Roman" w:hint="eastAsia"/>
        </w:rPr>
        <w:t>日</w:t>
      </w:r>
      <w:r w:rsidR="007F2E4D" w:rsidRPr="00D12A75">
        <w:rPr>
          <w:rFonts w:ascii="Times New Roman" w:eastAsia="楷体" w:hAnsi="Times New Roman" w:cs="Times New Roman" w:hint="eastAsia"/>
        </w:rPr>
        <w:t>。</w:t>
      </w:r>
    </w:p>
    <w:p w:rsidR="00D12A75" w:rsidRDefault="00D12A75" w:rsidP="00A63F3B">
      <w:pPr>
        <w:pStyle w:val="a8"/>
        <w:spacing w:beforeLines="50" w:beforeAutospacing="0" w:after="0" w:afterAutospacing="0" w:line="360" w:lineRule="auto"/>
        <w:ind w:firstLineChars="200" w:firstLine="480"/>
        <w:rPr>
          <w:rFonts w:ascii="Times New Roman" w:eastAsia="楷体" w:hAnsi="Times New Roman" w:cs="Times New Roman"/>
        </w:rPr>
      </w:pPr>
    </w:p>
    <w:p w:rsidR="00D00D53" w:rsidRPr="00D12A75" w:rsidRDefault="007F2E4D" w:rsidP="00A63F3B">
      <w:pPr>
        <w:pStyle w:val="a8"/>
        <w:spacing w:beforeLines="50" w:beforeAutospacing="0" w:after="0" w:afterAutospacing="0" w:line="360" w:lineRule="auto"/>
        <w:ind w:firstLineChars="200" w:firstLine="480"/>
        <w:rPr>
          <w:rFonts w:ascii="Times New Roman" w:eastAsia="楷体" w:hAnsi="Times New Roman" w:cs="Times New Roman"/>
        </w:rPr>
      </w:pPr>
      <w:r w:rsidRPr="00D12A75">
        <w:rPr>
          <w:rFonts w:ascii="Times New Roman" w:eastAsia="楷体" w:hAnsi="Times New Roman" w:cs="Times New Roman" w:hint="eastAsia"/>
        </w:rPr>
        <w:t>重要提示：</w:t>
      </w:r>
    </w:p>
    <w:p w:rsidR="00D00D53" w:rsidRPr="00D12A75" w:rsidRDefault="007F2E4D" w:rsidP="00A63F3B">
      <w:pPr>
        <w:pStyle w:val="a8"/>
        <w:spacing w:beforeLines="50" w:beforeAutospacing="0" w:after="0" w:afterAutospacing="0" w:line="360" w:lineRule="auto"/>
        <w:ind w:firstLineChars="200" w:firstLine="480"/>
        <w:rPr>
          <w:rFonts w:ascii="Times New Roman" w:eastAsia="楷体" w:hAnsi="Times New Roman" w:cs="Times New Roman"/>
        </w:rPr>
      </w:pPr>
      <w:r w:rsidRPr="00D12A75">
        <w:rPr>
          <w:rFonts w:ascii="Times New Roman" w:eastAsia="楷体" w:hAnsi="Times New Roman" w:cs="Times New Roman" w:hint="eastAsia"/>
        </w:rPr>
        <w:t>1</w:t>
      </w:r>
      <w:r w:rsidRPr="00D12A75">
        <w:rPr>
          <w:rFonts w:ascii="Times New Roman" w:eastAsia="楷体" w:hAnsi="Times New Roman" w:cs="Times New Roman" w:hint="eastAsia"/>
        </w:rPr>
        <w:t>、本公告仅对本基金</w:t>
      </w:r>
      <w:r w:rsidR="004B7710" w:rsidRPr="004B7710">
        <w:rPr>
          <w:rFonts w:ascii="Times New Roman" w:eastAsia="楷体" w:hAnsi="Times New Roman" w:cs="Times New Roman" w:hint="eastAsia"/>
        </w:rPr>
        <w:t>调整日常申购、赎回、转换、定期定额投资起始日</w:t>
      </w:r>
      <w:r w:rsidRPr="00D12A75">
        <w:rPr>
          <w:rFonts w:ascii="Times New Roman" w:eastAsia="楷体" w:hAnsi="Times New Roman" w:cs="Times New Roman" w:hint="eastAsia"/>
        </w:rPr>
        <w:t>的有关事项予以说明。</w:t>
      </w:r>
      <w:r w:rsidR="004B7710">
        <w:rPr>
          <w:rFonts w:ascii="Times New Roman" w:eastAsia="楷体" w:hAnsi="Times New Roman" w:cs="Times New Roman" w:hint="eastAsia"/>
        </w:rPr>
        <w:t>关于本基金日常</w:t>
      </w:r>
      <w:r w:rsidR="004B7710" w:rsidRPr="004B7710">
        <w:rPr>
          <w:rFonts w:ascii="Times New Roman" w:eastAsia="楷体" w:hAnsi="Times New Roman" w:cs="Times New Roman" w:hint="eastAsia"/>
        </w:rPr>
        <w:t>申购、赎回、转换、定期定额投资</w:t>
      </w:r>
      <w:r w:rsidR="004B7710">
        <w:rPr>
          <w:rFonts w:ascii="Times New Roman" w:eastAsia="楷体" w:hAnsi="Times New Roman" w:cs="Times New Roman" w:hint="eastAsia"/>
        </w:rPr>
        <w:t>业务的其他事宜，请以</w:t>
      </w:r>
      <w:r w:rsidR="00640437" w:rsidRPr="00640437">
        <w:rPr>
          <w:rFonts w:ascii="Times New Roman" w:eastAsia="楷体" w:hAnsi="Times New Roman" w:cs="Times New Roman" w:hint="eastAsia"/>
        </w:rPr>
        <w:t>本公司于</w:t>
      </w:r>
      <w:r w:rsidR="00640437" w:rsidRPr="00640437">
        <w:rPr>
          <w:rFonts w:ascii="Times New Roman" w:eastAsia="楷体" w:hAnsi="Times New Roman" w:cs="Times New Roman" w:hint="eastAsia"/>
        </w:rPr>
        <w:t>2026</w:t>
      </w:r>
      <w:r w:rsidR="00640437" w:rsidRPr="00640437">
        <w:rPr>
          <w:rFonts w:ascii="Times New Roman" w:eastAsia="楷体" w:hAnsi="Times New Roman" w:cs="Times New Roman" w:hint="eastAsia"/>
        </w:rPr>
        <w:t>年</w:t>
      </w:r>
      <w:r w:rsidR="00640437" w:rsidRPr="00640437">
        <w:rPr>
          <w:rFonts w:ascii="Times New Roman" w:eastAsia="楷体" w:hAnsi="Times New Roman" w:cs="Times New Roman" w:hint="eastAsia"/>
        </w:rPr>
        <w:t>3</w:t>
      </w:r>
      <w:r w:rsidR="00640437" w:rsidRPr="00640437">
        <w:rPr>
          <w:rFonts w:ascii="Times New Roman" w:eastAsia="楷体" w:hAnsi="Times New Roman" w:cs="Times New Roman" w:hint="eastAsia"/>
        </w:rPr>
        <w:t>月</w:t>
      </w:r>
      <w:r w:rsidR="00640437" w:rsidRPr="00640437">
        <w:rPr>
          <w:rFonts w:ascii="Times New Roman" w:eastAsia="楷体" w:hAnsi="Times New Roman" w:cs="Times New Roman" w:hint="eastAsia"/>
        </w:rPr>
        <w:t>9</w:t>
      </w:r>
      <w:r w:rsidR="00640437" w:rsidRPr="00640437">
        <w:rPr>
          <w:rFonts w:ascii="Times New Roman" w:eastAsia="楷体" w:hAnsi="Times New Roman" w:cs="Times New Roman" w:hint="eastAsia"/>
        </w:rPr>
        <w:t>日发布的</w:t>
      </w:r>
      <w:r w:rsidR="004B7710" w:rsidRPr="00D12A75">
        <w:rPr>
          <w:rFonts w:ascii="Times New Roman" w:eastAsia="楷体" w:hAnsi="Times New Roman" w:cs="Times New Roman" w:hint="eastAsia"/>
        </w:rPr>
        <w:t>《</w:t>
      </w:r>
      <w:r w:rsidR="004B7710">
        <w:rPr>
          <w:rFonts w:ascii="Times New Roman" w:eastAsia="楷体" w:hAnsi="Times New Roman" w:cs="Times New Roman" w:hint="eastAsia"/>
        </w:rPr>
        <w:t>兴全嘉益债券型证券投资基金</w:t>
      </w:r>
      <w:r w:rsidR="004B7710" w:rsidRPr="004B7710">
        <w:rPr>
          <w:rFonts w:ascii="Times New Roman" w:eastAsia="楷体" w:hAnsi="Times New Roman" w:cs="Times New Roman" w:hint="eastAsia"/>
        </w:rPr>
        <w:t>开放日常申购、赎回、转换、定期定额投资业务的公告</w:t>
      </w:r>
      <w:r w:rsidR="004B7710" w:rsidRPr="00D12A75">
        <w:rPr>
          <w:rFonts w:ascii="Times New Roman" w:eastAsia="楷体" w:hAnsi="Times New Roman" w:cs="Times New Roman" w:hint="eastAsia"/>
        </w:rPr>
        <w:t>》</w:t>
      </w:r>
      <w:r w:rsidR="004B7710">
        <w:rPr>
          <w:rFonts w:ascii="Times New Roman" w:eastAsia="楷体" w:hAnsi="Times New Roman" w:cs="Times New Roman" w:hint="eastAsia"/>
        </w:rPr>
        <w:t>为准。</w:t>
      </w:r>
      <w:r w:rsidR="004B7710" w:rsidRPr="00D12A75">
        <w:rPr>
          <w:rFonts w:ascii="Times New Roman" w:eastAsia="楷体" w:hAnsi="Times New Roman" w:cs="Times New Roman" w:hint="eastAsia"/>
        </w:rPr>
        <w:t>投资者欲了解本基金的详细情况，请</w:t>
      </w:r>
      <w:r w:rsidRPr="00D12A75">
        <w:rPr>
          <w:rFonts w:ascii="Times New Roman" w:eastAsia="楷体" w:hAnsi="Times New Roman" w:cs="Times New Roman" w:hint="eastAsia"/>
        </w:rPr>
        <w:t>详细阅读本基金的基金合同、招募说明书等文件。</w:t>
      </w:r>
    </w:p>
    <w:p w:rsidR="00D00D53" w:rsidRPr="00D12A75" w:rsidRDefault="004B7710" w:rsidP="00A63F3B">
      <w:pPr>
        <w:pStyle w:val="a8"/>
        <w:spacing w:beforeLines="50" w:beforeAutospacing="0" w:after="0" w:afterAutospacing="0" w:line="360" w:lineRule="auto"/>
        <w:ind w:firstLineChars="200" w:firstLine="480"/>
        <w:rPr>
          <w:rFonts w:ascii="Times New Roman" w:eastAsia="楷体" w:hAnsi="Times New Roman" w:cs="Times New Roman"/>
        </w:rPr>
      </w:pPr>
      <w:r>
        <w:rPr>
          <w:rFonts w:ascii="Times New Roman" w:eastAsia="楷体" w:hAnsi="Times New Roman" w:cs="Times New Roman"/>
        </w:rPr>
        <w:t>2</w:t>
      </w:r>
      <w:r w:rsidR="007F2E4D" w:rsidRPr="00D12A75">
        <w:rPr>
          <w:rFonts w:ascii="Times New Roman" w:eastAsia="楷体" w:hAnsi="Times New Roman" w:cs="Times New Roman" w:hint="eastAsia"/>
        </w:rPr>
        <w:t>、</w:t>
      </w:r>
      <w:r w:rsidRPr="004B7710">
        <w:rPr>
          <w:rFonts w:ascii="Times New Roman" w:eastAsia="楷体" w:hAnsi="Times New Roman" w:cs="Times New Roman" w:hint="eastAsia"/>
        </w:rPr>
        <w:t>投资者可登陆本公司网站（</w:t>
      </w:r>
      <w:r w:rsidRPr="004B7710">
        <w:rPr>
          <w:rFonts w:ascii="Times New Roman" w:eastAsia="楷体" w:hAnsi="Times New Roman" w:cs="Times New Roman" w:hint="eastAsia"/>
        </w:rPr>
        <w:t>www.xqfunds.com</w:t>
      </w:r>
      <w:r w:rsidRPr="004B7710">
        <w:rPr>
          <w:rFonts w:ascii="Times New Roman" w:eastAsia="楷体" w:hAnsi="Times New Roman" w:cs="Times New Roman" w:hint="eastAsia"/>
        </w:rPr>
        <w:t>）查询相关信息或拨打客户服务电话（</w:t>
      </w:r>
      <w:r w:rsidRPr="004B7710">
        <w:rPr>
          <w:rFonts w:ascii="Times New Roman" w:eastAsia="楷体" w:hAnsi="Times New Roman" w:cs="Times New Roman" w:hint="eastAsia"/>
        </w:rPr>
        <w:t>400-678-0099</w:t>
      </w:r>
      <w:r w:rsidRPr="004B7710">
        <w:rPr>
          <w:rFonts w:ascii="Times New Roman" w:eastAsia="楷体" w:hAnsi="Times New Roman" w:cs="Times New Roman" w:hint="eastAsia"/>
        </w:rPr>
        <w:t>；</w:t>
      </w:r>
      <w:r w:rsidRPr="004B7710">
        <w:rPr>
          <w:rFonts w:ascii="Times New Roman" w:eastAsia="楷体" w:hAnsi="Times New Roman" w:cs="Times New Roman" w:hint="eastAsia"/>
        </w:rPr>
        <w:t>021-38824536</w:t>
      </w:r>
      <w:r w:rsidRPr="004B7710">
        <w:rPr>
          <w:rFonts w:ascii="Times New Roman" w:eastAsia="楷体" w:hAnsi="Times New Roman" w:cs="Times New Roman" w:hint="eastAsia"/>
        </w:rPr>
        <w:t>）咨询相关事宜。</w:t>
      </w:r>
    </w:p>
    <w:p w:rsidR="00D12A75" w:rsidRDefault="00D12A75" w:rsidP="00A63F3B">
      <w:pPr>
        <w:pStyle w:val="a8"/>
        <w:spacing w:beforeLines="50" w:beforeAutospacing="0" w:after="0" w:afterAutospacing="0" w:line="360" w:lineRule="auto"/>
        <w:ind w:firstLineChars="200" w:firstLine="480"/>
        <w:rPr>
          <w:rFonts w:ascii="Times New Roman" w:eastAsia="楷体" w:hAnsi="Times New Roman" w:cs="Times New Roman"/>
        </w:rPr>
      </w:pPr>
    </w:p>
    <w:p w:rsidR="00D00D53" w:rsidRPr="00D12A75" w:rsidRDefault="007F2E4D" w:rsidP="00A63F3B">
      <w:pPr>
        <w:pStyle w:val="a8"/>
        <w:spacing w:beforeLines="50" w:beforeAutospacing="0" w:after="0" w:afterAutospacing="0" w:line="360" w:lineRule="auto"/>
        <w:ind w:firstLineChars="200" w:firstLine="480"/>
        <w:rPr>
          <w:rFonts w:ascii="Times New Roman" w:eastAsia="楷体" w:hAnsi="Times New Roman" w:cs="Times New Roman"/>
        </w:rPr>
      </w:pPr>
      <w:r w:rsidRPr="00D12A75">
        <w:rPr>
          <w:rFonts w:ascii="Times New Roman" w:eastAsia="楷体" w:hAnsi="Times New Roman" w:cs="Times New Roman" w:hint="eastAsia"/>
        </w:rPr>
        <w:t>风险提示：基金管理人依照恪尽职守、诚实信用、谨慎勤勉的原则管理和运用基金财产，但不保证基金一定盈利，也不保证最低收益。基金的过往业绩并不</w:t>
      </w:r>
      <w:r w:rsidRPr="00D12A75">
        <w:rPr>
          <w:rFonts w:ascii="Times New Roman" w:eastAsia="楷体" w:hAnsi="Times New Roman" w:cs="Times New Roman" w:hint="eastAsia"/>
        </w:rPr>
        <w:lastRenderedPageBreak/>
        <w:t>预示其未来表现。基金管理人管理的其它基金的业绩并不构成对本基金业绩表现的保证。本基金管理人提醒投资者基金投资的“买者自负”原则，在投资者作出投资决策后，基金运营状况与基金净值变化导致的投资风险，由投资者自行负担。投资者申购基金份额时应认真阅读基金招募说明书，全面认识本基金产品的风险收益特征，充分考虑投资者自身的风险承受能力。</w:t>
      </w:r>
    </w:p>
    <w:p w:rsidR="00D00D53" w:rsidRDefault="007F2E4D" w:rsidP="00A63F3B">
      <w:pPr>
        <w:pStyle w:val="a8"/>
        <w:spacing w:beforeLines="50" w:beforeAutospacing="0" w:after="0" w:afterAutospacing="0" w:line="360" w:lineRule="auto"/>
        <w:ind w:firstLineChars="200" w:firstLine="480"/>
        <w:rPr>
          <w:rFonts w:ascii="Times New Roman" w:eastAsia="楷体" w:hAnsi="Times New Roman" w:cs="Times New Roman"/>
        </w:rPr>
      </w:pPr>
      <w:r w:rsidRPr="00D12A75">
        <w:rPr>
          <w:rFonts w:ascii="Times New Roman" w:eastAsia="楷体" w:hAnsi="Times New Roman" w:cs="Times New Roman" w:hint="eastAsia"/>
        </w:rPr>
        <w:t>特此公告。</w:t>
      </w:r>
    </w:p>
    <w:p w:rsidR="00D12A75" w:rsidRPr="00D12A75" w:rsidRDefault="00D12A75" w:rsidP="00A63F3B">
      <w:pPr>
        <w:pStyle w:val="a8"/>
        <w:spacing w:beforeLines="50" w:beforeAutospacing="0" w:after="0" w:afterAutospacing="0" w:line="360" w:lineRule="auto"/>
        <w:ind w:firstLineChars="200" w:firstLine="480"/>
        <w:rPr>
          <w:rFonts w:ascii="Times New Roman" w:eastAsia="楷体" w:hAnsi="Times New Roman" w:cs="Times New Roman"/>
        </w:rPr>
      </w:pPr>
    </w:p>
    <w:p w:rsidR="00D00D53" w:rsidRPr="00D12A75" w:rsidRDefault="007F2E4D" w:rsidP="00A63F3B">
      <w:pPr>
        <w:spacing w:beforeLines="50" w:line="360" w:lineRule="auto"/>
        <w:ind w:firstLineChars="200" w:firstLine="480"/>
        <w:jc w:val="right"/>
        <w:rPr>
          <w:rFonts w:ascii="Times New Roman" w:eastAsia="楷体" w:hAnsi="Times New Roman" w:cs="Times New Roman"/>
          <w:sz w:val="24"/>
        </w:rPr>
      </w:pPr>
      <w:r w:rsidRPr="00D12A75">
        <w:rPr>
          <w:rFonts w:ascii="Times New Roman" w:eastAsia="楷体" w:hAnsi="Times New Roman" w:cs="Times New Roman" w:hint="eastAsia"/>
          <w:sz w:val="24"/>
        </w:rPr>
        <w:t>兴证全球基金管理有限公司</w:t>
      </w:r>
    </w:p>
    <w:p w:rsidR="00D00D53" w:rsidRPr="00D12A75" w:rsidRDefault="00EE6ACE" w:rsidP="00A63F3B">
      <w:pPr>
        <w:spacing w:beforeLines="50" w:line="360" w:lineRule="auto"/>
        <w:ind w:firstLineChars="200" w:firstLine="480"/>
        <w:jc w:val="right"/>
        <w:rPr>
          <w:rFonts w:ascii="Times New Roman" w:eastAsia="楷体" w:hAnsi="Times New Roman" w:cs="Times New Roman"/>
          <w:sz w:val="24"/>
        </w:rPr>
      </w:pPr>
      <w:r w:rsidRPr="00D12A75">
        <w:rPr>
          <w:rFonts w:ascii="Times New Roman" w:eastAsia="楷体" w:hAnsi="Times New Roman" w:cs="Times New Roman" w:hint="eastAsia"/>
          <w:sz w:val="24"/>
        </w:rPr>
        <w:t>202</w:t>
      </w:r>
      <w:r>
        <w:rPr>
          <w:rFonts w:ascii="Times New Roman" w:eastAsia="楷体" w:hAnsi="Times New Roman" w:cs="Times New Roman"/>
          <w:sz w:val="24"/>
        </w:rPr>
        <w:t>6</w:t>
      </w:r>
      <w:r w:rsidR="00C977E5" w:rsidRPr="00D12A75">
        <w:rPr>
          <w:rFonts w:ascii="Times New Roman" w:eastAsia="楷体" w:hAnsi="Times New Roman" w:cs="Times New Roman" w:hint="eastAsia"/>
          <w:sz w:val="24"/>
        </w:rPr>
        <w:t>年</w:t>
      </w:r>
      <w:r>
        <w:rPr>
          <w:rFonts w:ascii="Times New Roman" w:eastAsia="楷体" w:hAnsi="Times New Roman" w:cs="Times New Roman"/>
          <w:sz w:val="24"/>
        </w:rPr>
        <w:t>3</w:t>
      </w:r>
      <w:r w:rsidR="007F2E4D" w:rsidRPr="00D12A75">
        <w:rPr>
          <w:rFonts w:ascii="Times New Roman" w:eastAsia="楷体" w:hAnsi="Times New Roman" w:cs="Times New Roman" w:hint="eastAsia"/>
          <w:sz w:val="24"/>
        </w:rPr>
        <w:t>月</w:t>
      </w:r>
      <w:r w:rsidR="00EA54B1">
        <w:rPr>
          <w:rFonts w:ascii="Times New Roman" w:eastAsia="楷体" w:hAnsi="Times New Roman" w:cs="Times New Roman"/>
          <w:sz w:val="24"/>
        </w:rPr>
        <w:t>10</w:t>
      </w:r>
      <w:r w:rsidR="007F2E4D" w:rsidRPr="00D12A75">
        <w:rPr>
          <w:rFonts w:ascii="Times New Roman" w:eastAsia="楷体" w:hAnsi="Times New Roman" w:cs="Times New Roman" w:hint="eastAsia"/>
          <w:sz w:val="24"/>
        </w:rPr>
        <w:t>日</w:t>
      </w:r>
    </w:p>
    <w:p w:rsidR="00D00D53" w:rsidRDefault="00D00D53"/>
    <w:sectPr w:rsidR="00D00D53" w:rsidSect="00550D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D33" w:rsidRDefault="00017D33" w:rsidP="008D2BDA">
      <w:r>
        <w:separator/>
      </w:r>
    </w:p>
  </w:endnote>
  <w:endnote w:type="continuationSeparator" w:id="0">
    <w:p w:rsidR="00017D33" w:rsidRDefault="00017D33" w:rsidP="008D2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D33" w:rsidRDefault="00017D33" w:rsidP="008D2BDA">
      <w:r>
        <w:separator/>
      </w:r>
    </w:p>
  </w:footnote>
  <w:footnote w:type="continuationSeparator" w:id="0">
    <w:p w:rsidR="00017D33" w:rsidRDefault="00017D33" w:rsidP="008D2B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00D53"/>
    <w:rsid w:val="00017D33"/>
    <w:rsid w:val="00082A0E"/>
    <w:rsid w:val="000D596E"/>
    <w:rsid w:val="001B7567"/>
    <w:rsid w:val="0021713A"/>
    <w:rsid w:val="00260FE3"/>
    <w:rsid w:val="002A5A0A"/>
    <w:rsid w:val="003E5687"/>
    <w:rsid w:val="00471BA8"/>
    <w:rsid w:val="004926A2"/>
    <w:rsid w:val="004B1A64"/>
    <w:rsid w:val="004B7710"/>
    <w:rsid w:val="00550D67"/>
    <w:rsid w:val="00582062"/>
    <w:rsid w:val="005918EF"/>
    <w:rsid w:val="005E0C29"/>
    <w:rsid w:val="006120EC"/>
    <w:rsid w:val="00640437"/>
    <w:rsid w:val="006715C1"/>
    <w:rsid w:val="006C6FDB"/>
    <w:rsid w:val="00707858"/>
    <w:rsid w:val="007F2E4D"/>
    <w:rsid w:val="008C1B5F"/>
    <w:rsid w:val="008D2BDA"/>
    <w:rsid w:val="00975E41"/>
    <w:rsid w:val="00986E46"/>
    <w:rsid w:val="00A63F3B"/>
    <w:rsid w:val="00C6374C"/>
    <w:rsid w:val="00C863B5"/>
    <w:rsid w:val="00C936D2"/>
    <w:rsid w:val="00C977E5"/>
    <w:rsid w:val="00D00D53"/>
    <w:rsid w:val="00D12A75"/>
    <w:rsid w:val="00D22038"/>
    <w:rsid w:val="00D65DC6"/>
    <w:rsid w:val="00DA16F8"/>
    <w:rsid w:val="00DB7CE6"/>
    <w:rsid w:val="00E44914"/>
    <w:rsid w:val="00E66674"/>
    <w:rsid w:val="00EA54B1"/>
    <w:rsid w:val="00EE4E0A"/>
    <w:rsid w:val="00EE6ACE"/>
    <w:rsid w:val="550771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D6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550D67"/>
    <w:rPr>
      <w:color w:val="333333"/>
      <w:sz w:val="12"/>
      <w:szCs w:val="12"/>
      <w:u w:val="none"/>
    </w:rPr>
  </w:style>
  <w:style w:type="character" w:styleId="a4">
    <w:name w:val="Hyperlink"/>
    <w:basedOn w:val="a0"/>
    <w:rsid w:val="00550D67"/>
    <w:rPr>
      <w:color w:val="333333"/>
      <w:sz w:val="12"/>
      <w:szCs w:val="12"/>
      <w:u w:val="none"/>
    </w:rPr>
  </w:style>
  <w:style w:type="paragraph" w:styleId="a5">
    <w:name w:val="header"/>
    <w:basedOn w:val="a"/>
    <w:link w:val="Char"/>
    <w:rsid w:val="008D2B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D2BDA"/>
    <w:rPr>
      <w:rFonts w:asciiTheme="minorHAnsi" w:eastAsiaTheme="minorEastAsia" w:hAnsiTheme="minorHAnsi" w:cstheme="minorBidi"/>
      <w:kern w:val="2"/>
      <w:sz w:val="18"/>
      <w:szCs w:val="18"/>
    </w:rPr>
  </w:style>
  <w:style w:type="paragraph" w:styleId="a6">
    <w:name w:val="footer"/>
    <w:basedOn w:val="a"/>
    <w:link w:val="Char0"/>
    <w:rsid w:val="008D2BDA"/>
    <w:pPr>
      <w:tabs>
        <w:tab w:val="center" w:pos="4153"/>
        <w:tab w:val="right" w:pos="8306"/>
      </w:tabs>
      <w:snapToGrid w:val="0"/>
      <w:jc w:val="left"/>
    </w:pPr>
    <w:rPr>
      <w:sz w:val="18"/>
      <w:szCs w:val="18"/>
    </w:rPr>
  </w:style>
  <w:style w:type="character" w:customStyle="1" w:styleId="Char0">
    <w:name w:val="页脚 Char"/>
    <w:basedOn w:val="a0"/>
    <w:link w:val="a6"/>
    <w:rsid w:val="008D2BDA"/>
    <w:rPr>
      <w:rFonts w:asciiTheme="minorHAnsi" w:eastAsiaTheme="minorEastAsia" w:hAnsiTheme="minorHAnsi" w:cstheme="minorBidi"/>
      <w:kern w:val="2"/>
      <w:sz w:val="18"/>
      <w:szCs w:val="18"/>
    </w:rPr>
  </w:style>
  <w:style w:type="paragraph" w:styleId="a7">
    <w:name w:val="Balloon Text"/>
    <w:basedOn w:val="a"/>
    <w:link w:val="Char1"/>
    <w:rsid w:val="00C936D2"/>
    <w:rPr>
      <w:sz w:val="18"/>
      <w:szCs w:val="18"/>
    </w:rPr>
  </w:style>
  <w:style w:type="character" w:customStyle="1" w:styleId="Char1">
    <w:name w:val="批注框文本 Char"/>
    <w:basedOn w:val="a0"/>
    <w:link w:val="a7"/>
    <w:rsid w:val="00C936D2"/>
    <w:rPr>
      <w:rFonts w:asciiTheme="minorHAnsi" w:eastAsiaTheme="minorEastAsia" w:hAnsiTheme="minorHAnsi" w:cstheme="minorBidi"/>
      <w:kern w:val="2"/>
      <w:sz w:val="18"/>
      <w:szCs w:val="18"/>
    </w:rPr>
  </w:style>
  <w:style w:type="paragraph" w:styleId="a8">
    <w:name w:val="Normal (Web)"/>
    <w:basedOn w:val="a"/>
    <w:uiPriority w:val="99"/>
    <w:unhideWhenUsed/>
    <w:rsid w:val="00D12A7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628</Characters>
  <Application>Microsoft Office Word</Application>
  <DocSecurity>4</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xuhw</dc:creator>
  <cp:lastModifiedBy>ZHONGM</cp:lastModifiedBy>
  <cp:revision>2</cp:revision>
  <dcterms:created xsi:type="dcterms:W3CDTF">2026-03-09T16:01:00Z</dcterms:created>
  <dcterms:modified xsi:type="dcterms:W3CDTF">2026-03-09T16:01:00Z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46374F2D99894D498DE8100A3298D701</vt:lpwstr>
  </property>
</Properties>
</file>